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D5EB3" w14:textId="77777777" w:rsidR="001511A2" w:rsidRPr="00810B69" w:rsidRDefault="001511A2" w:rsidP="007A309D">
      <w:pPr>
        <w:spacing w:after="0" w:line="240" w:lineRule="auto"/>
        <w:jc w:val="center"/>
        <w:rPr>
          <w:b/>
          <w:sz w:val="24"/>
        </w:rPr>
      </w:pPr>
      <w:r w:rsidRPr="00810B69">
        <w:rPr>
          <w:b/>
          <w:sz w:val="24"/>
        </w:rPr>
        <w:t>Dirección General de Evaluación Institucional</w:t>
      </w:r>
    </w:p>
    <w:p w14:paraId="6A06AB9A" w14:textId="57E610B0" w:rsidR="001511A2" w:rsidRPr="00810B69" w:rsidRDefault="001511A2" w:rsidP="007A309D">
      <w:pPr>
        <w:spacing w:after="0" w:line="240" w:lineRule="auto"/>
        <w:jc w:val="center"/>
        <w:rPr>
          <w:b/>
          <w:sz w:val="24"/>
        </w:rPr>
      </w:pPr>
      <w:r w:rsidRPr="00810B69">
        <w:rPr>
          <w:b/>
          <w:sz w:val="24"/>
        </w:rPr>
        <w:t xml:space="preserve">Ciudad Universitaria, DF a </w:t>
      </w:r>
      <w:r w:rsidR="00AA3C84" w:rsidRPr="00810B69">
        <w:rPr>
          <w:b/>
          <w:sz w:val="24"/>
        </w:rPr>
        <w:t>8</w:t>
      </w:r>
      <w:r w:rsidRPr="00810B69">
        <w:rPr>
          <w:b/>
          <w:sz w:val="24"/>
        </w:rPr>
        <w:t xml:space="preserve"> de </w:t>
      </w:r>
      <w:r w:rsidR="00AA3C84" w:rsidRPr="00810B69">
        <w:rPr>
          <w:b/>
          <w:sz w:val="24"/>
        </w:rPr>
        <w:t>junio</w:t>
      </w:r>
      <w:r w:rsidR="0045138C" w:rsidRPr="00810B69">
        <w:rPr>
          <w:b/>
          <w:sz w:val="24"/>
        </w:rPr>
        <w:t xml:space="preserve"> </w:t>
      </w:r>
      <w:r w:rsidR="00AA3C84" w:rsidRPr="00810B69">
        <w:rPr>
          <w:b/>
          <w:sz w:val="24"/>
        </w:rPr>
        <w:t>de 2017</w:t>
      </w:r>
    </w:p>
    <w:p w14:paraId="1CF22417" w14:textId="77777777" w:rsidR="001511A2" w:rsidRPr="00810B69" w:rsidRDefault="001511A2" w:rsidP="007A309D">
      <w:pPr>
        <w:spacing w:after="0" w:line="240" w:lineRule="auto"/>
        <w:jc w:val="center"/>
        <w:rPr>
          <w:b/>
          <w:sz w:val="24"/>
        </w:rPr>
      </w:pPr>
    </w:p>
    <w:p w14:paraId="7844F295" w14:textId="1A6BED89" w:rsidR="001511A2" w:rsidRPr="00810B69" w:rsidRDefault="001511A2" w:rsidP="005A6FC1">
      <w:pPr>
        <w:spacing w:after="0" w:line="240" w:lineRule="auto"/>
        <w:jc w:val="center"/>
        <w:rPr>
          <w:b/>
          <w:sz w:val="28"/>
          <w:szCs w:val="28"/>
        </w:rPr>
      </w:pPr>
      <w:r w:rsidRPr="00810B69">
        <w:rPr>
          <w:b/>
          <w:sz w:val="28"/>
          <w:szCs w:val="28"/>
        </w:rPr>
        <w:t xml:space="preserve">UNAM EN </w:t>
      </w:r>
      <w:r w:rsidR="007B4D15" w:rsidRPr="00810B69">
        <w:rPr>
          <w:b/>
          <w:sz w:val="28"/>
          <w:szCs w:val="28"/>
        </w:rPr>
        <w:t xml:space="preserve">EL </w:t>
      </w:r>
      <w:r w:rsidR="00FF505C" w:rsidRPr="00810B69">
        <w:rPr>
          <w:b/>
          <w:sz w:val="28"/>
          <w:szCs w:val="28"/>
        </w:rPr>
        <w:t>QS R</w:t>
      </w:r>
      <w:r w:rsidR="003043A7" w:rsidRPr="00810B69">
        <w:rPr>
          <w:b/>
          <w:sz w:val="28"/>
          <w:szCs w:val="28"/>
        </w:rPr>
        <w:t>ANKING MUNDIAL DE UNIVERSIDADES</w:t>
      </w:r>
    </w:p>
    <w:p w14:paraId="61B94DBB" w14:textId="4B7DE37C" w:rsidR="00260339" w:rsidRDefault="00260339" w:rsidP="002603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(Edición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14:paraId="206DCAFA" w14:textId="77777777" w:rsidR="00EF2EDE" w:rsidRPr="00810B69" w:rsidRDefault="00EF2EDE" w:rsidP="007A309D">
      <w:pPr>
        <w:spacing w:after="0" w:line="240" w:lineRule="auto"/>
        <w:rPr>
          <w:sz w:val="24"/>
        </w:rPr>
      </w:pPr>
    </w:p>
    <w:p w14:paraId="270AFEB9" w14:textId="1DC8137D" w:rsidR="00894FE3" w:rsidRPr="00810B69" w:rsidRDefault="00FC2854" w:rsidP="007A30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10B69">
        <w:rPr>
          <w:sz w:val="24"/>
        </w:rPr>
        <w:t xml:space="preserve">Quacquarelli Symonds </w:t>
      </w:r>
      <w:r w:rsidR="00894FE3" w:rsidRPr="00810B69">
        <w:rPr>
          <w:sz w:val="24"/>
        </w:rPr>
        <w:t xml:space="preserve">(QS) </w:t>
      </w:r>
      <w:r w:rsidRPr="00810B69">
        <w:rPr>
          <w:sz w:val="24"/>
        </w:rPr>
        <w:t xml:space="preserve">publicó los resultados del ranking mundial de universidades el día </w:t>
      </w:r>
      <w:r w:rsidR="00AA3C84" w:rsidRPr="00810B69">
        <w:rPr>
          <w:sz w:val="24"/>
        </w:rPr>
        <w:t>8</w:t>
      </w:r>
      <w:r w:rsidR="0045138C" w:rsidRPr="00810B69">
        <w:rPr>
          <w:sz w:val="24"/>
        </w:rPr>
        <w:t xml:space="preserve"> </w:t>
      </w:r>
      <w:r w:rsidRPr="00810B69">
        <w:rPr>
          <w:sz w:val="24"/>
        </w:rPr>
        <w:t xml:space="preserve">de </w:t>
      </w:r>
      <w:r w:rsidR="00662201" w:rsidRPr="00810B69">
        <w:rPr>
          <w:sz w:val="24"/>
        </w:rPr>
        <w:t>junio</w:t>
      </w:r>
      <w:r w:rsidR="0045138C" w:rsidRPr="00810B69">
        <w:rPr>
          <w:sz w:val="24"/>
        </w:rPr>
        <w:t xml:space="preserve"> </w:t>
      </w:r>
      <w:r w:rsidR="00AA3C84" w:rsidRPr="00810B69">
        <w:rPr>
          <w:sz w:val="24"/>
        </w:rPr>
        <w:t>de 2017</w:t>
      </w:r>
      <w:r w:rsidRPr="00810B69">
        <w:rPr>
          <w:sz w:val="24"/>
        </w:rPr>
        <w:t>.</w:t>
      </w:r>
      <w:r w:rsidR="00894FE3" w:rsidRPr="00810B69">
        <w:rPr>
          <w:sz w:val="24"/>
        </w:rPr>
        <w:t xml:space="preserve"> </w:t>
      </w:r>
    </w:p>
    <w:p w14:paraId="35E445E8" w14:textId="77777777" w:rsidR="00FC2854" w:rsidRPr="00810B69" w:rsidRDefault="00FC2854" w:rsidP="007A309D">
      <w:pPr>
        <w:pStyle w:val="Prrafodelista"/>
        <w:spacing w:after="0" w:line="240" w:lineRule="auto"/>
        <w:jc w:val="both"/>
        <w:rPr>
          <w:sz w:val="24"/>
        </w:rPr>
      </w:pPr>
    </w:p>
    <w:p w14:paraId="08C5E30D" w14:textId="31AA0D3C" w:rsidR="00894FE3" w:rsidRPr="00810B69" w:rsidRDefault="0050401D" w:rsidP="007A30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10B69">
        <w:rPr>
          <w:sz w:val="24"/>
        </w:rPr>
        <w:t>D</w:t>
      </w:r>
      <w:r w:rsidR="00894FE3" w:rsidRPr="00810B69">
        <w:rPr>
          <w:sz w:val="24"/>
        </w:rPr>
        <w:t>esde el año 20</w:t>
      </w:r>
      <w:r w:rsidR="003043A7" w:rsidRPr="00810B69">
        <w:rPr>
          <w:sz w:val="24"/>
        </w:rPr>
        <w:t>04</w:t>
      </w:r>
      <w:r w:rsidR="00A66A80" w:rsidRPr="00810B69">
        <w:rPr>
          <w:sz w:val="24"/>
        </w:rPr>
        <w:t xml:space="preserve">, </w:t>
      </w:r>
      <w:r w:rsidRPr="00810B69">
        <w:rPr>
          <w:sz w:val="24"/>
        </w:rPr>
        <w:t xml:space="preserve">QS </w:t>
      </w:r>
      <w:r w:rsidR="00894FE3" w:rsidRPr="00810B69">
        <w:rPr>
          <w:sz w:val="24"/>
        </w:rPr>
        <w:t xml:space="preserve">publica </w:t>
      </w:r>
      <w:r w:rsidR="00C53381" w:rsidRPr="00810B69">
        <w:rPr>
          <w:sz w:val="24"/>
        </w:rPr>
        <w:t xml:space="preserve">el </w:t>
      </w:r>
      <w:r w:rsidR="00A66A80" w:rsidRPr="00810B69">
        <w:rPr>
          <w:sz w:val="24"/>
        </w:rPr>
        <w:t>ranking</w:t>
      </w:r>
      <w:r w:rsidR="00894FE3" w:rsidRPr="00810B69">
        <w:rPr>
          <w:sz w:val="24"/>
        </w:rPr>
        <w:t xml:space="preserve"> </w:t>
      </w:r>
      <w:r w:rsidR="00C53381" w:rsidRPr="00810B69">
        <w:rPr>
          <w:sz w:val="24"/>
        </w:rPr>
        <w:t>mundial con el objetivo de ayudar a los consumidores de los servicios educativos a identificar las mejores universidades del mundo</w:t>
      </w:r>
      <w:r w:rsidR="00894FE3" w:rsidRPr="00810B69">
        <w:rPr>
          <w:sz w:val="24"/>
        </w:rPr>
        <w:t>.</w:t>
      </w:r>
    </w:p>
    <w:p w14:paraId="2418565D" w14:textId="77777777" w:rsidR="00894FE3" w:rsidRPr="00810B69" w:rsidRDefault="00894FE3" w:rsidP="007A309D">
      <w:pPr>
        <w:spacing w:after="0" w:line="240" w:lineRule="auto"/>
        <w:jc w:val="both"/>
      </w:pPr>
    </w:p>
    <w:p w14:paraId="72E1404F" w14:textId="51FA3667" w:rsidR="00113D12" w:rsidRPr="00810B69" w:rsidRDefault="00D110B7" w:rsidP="007A309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10B69">
        <w:rPr>
          <w:sz w:val="24"/>
        </w:rPr>
        <w:t xml:space="preserve">En </w:t>
      </w:r>
      <w:r w:rsidR="00470121">
        <w:rPr>
          <w:sz w:val="24"/>
        </w:rPr>
        <w:t xml:space="preserve">esta </w:t>
      </w:r>
      <w:r w:rsidRPr="00810B69">
        <w:rPr>
          <w:sz w:val="24"/>
        </w:rPr>
        <w:t xml:space="preserve">edición del </w:t>
      </w:r>
      <w:r w:rsidR="0050401D" w:rsidRPr="00810B69">
        <w:rPr>
          <w:sz w:val="24"/>
        </w:rPr>
        <w:t xml:space="preserve">QS </w:t>
      </w:r>
      <w:r w:rsidR="00113D12" w:rsidRPr="00810B69">
        <w:rPr>
          <w:sz w:val="24"/>
        </w:rPr>
        <w:t>ranking mundial de universidade</w:t>
      </w:r>
      <w:r w:rsidR="00D738CF" w:rsidRPr="00810B69">
        <w:rPr>
          <w:sz w:val="24"/>
        </w:rPr>
        <w:t>s,</w:t>
      </w:r>
      <w:r w:rsidR="00BF77DE" w:rsidRPr="00810B69">
        <w:rPr>
          <w:sz w:val="24"/>
        </w:rPr>
        <w:t xml:space="preserve"> la UNAM ocupa el lugar 122</w:t>
      </w:r>
      <w:r w:rsidR="00113D12" w:rsidRPr="00810B69">
        <w:rPr>
          <w:sz w:val="24"/>
        </w:rPr>
        <w:t xml:space="preserve"> en la clasificación mundial, ubicándose como la tercer mejor universidad en Iberoamérica al estar por debajo de la </w:t>
      </w:r>
      <w:r w:rsidR="009B7E5A" w:rsidRPr="00810B69">
        <w:rPr>
          <w:sz w:val="24"/>
        </w:rPr>
        <w:t xml:space="preserve">Universidad </w:t>
      </w:r>
      <w:r w:rsidR="00A41A11" w:rsidRPr="00810B69">
        <w:rPr>
          <w:sz w:val="24"/>
        </w:rPr>
        <w:t xml:space="preserve">de Sao Paulo ubicada en la posición 121 y </w:t>
      </w:r>
      <w:r w:rsidR="008626E8">
        <w:rPr>
          <w:sz w:val="24"/>
        </w:rPr>
        <w:t xml:space="preserve">de </w:t>
      </w:r>
      <w:r w:rsidR="00A41A11" w:rsidRPr="00810B69">
        <w:rPr>
          <w:sz w:val="24"/>
        </w:rPr>
        <w:t>la Universidad de Buenos Aires</w:t>
      </w:r>
      <w:r w:rsidR="008626E8">
        <w:rPr>
          <w:sz w:val="24"/>
        </w:rPr>
        <w:t>,</w:t>
      </w:r>
      <w:r w:rsidR="00A41A11" w:rsidRPr="00810B69">
        <w:rPr>
          <w:sz w:val="24"/>
        </w:rPr>
        <w:t xml:space="preserve"> en la posición 75</w:t>
      </w:r>
      <w:r w:rsidR="00113D12" w:rsidRPr="00810B69">
        <w:rPr>
          <w:sz w:val="24"/>
        </w:rPr>
        <w:t xml:space="preserve">. </w:t>
      </w:r>
    </w:p>
    <w:p w14:paraId="3E94F0A8" w14:textId="77777777" w:rsidR="00113D12" w:rsidRPr="00810B69" w:rsidRDefault="00113D12" w:rsidP="007A309D">
      <w:pPr>
        <w:pStyle w:val="Prrafodelista"/>
        <w:spacing w:after="0" w:line="240" w:lineRule="auto"/>
        <w:jc w:val="both"/>
        <w:rPr>
          <w:b/>
          <w:sz w:val="24"/>
        </w:rPr>
      </w:pPr>
    </w:p>
    <w:p w14:paraId="194A55EC" w14:textId="77777777" w:rsidR="00770185" w:rsidRPr="00810B69" w:rsidRDefault="00770185" w:rsidP="00770185">
      <w:pPr>
        <w:pStyle w:val="Prrafodelista"/>
        <w:spacing w:after="0" w:line="240" w:lineRule="auto"/>
        <w:jc w:val="both"/>
        <w:rPr>
          <w:b/>
          <w:sz w:val="24"/>
        </w:rPr>
      </w:pPr>
      <w:r w:rsidRPr="00810B69">
        <w:rPr>
          <w:b/>
          <w:sz w:val="24"/>
        </w:rPr>
        <w:t>Metodología e Indicadores</w:t>
      </w:r>
    </w:p>
    <w:p w14:paraId="501E70EF" w14:textId="65E85FAD" w:rsidR="004A5CDA" w:rsidRPr="00810B69" w:rsidRDefault="00473561" w:rsidP="00473561">
      <w:pPr>
        <w:pStyle w:val="Prrafodelista"/>
        <w:spacing w:after="0" w:line="240" w:lineRule="auto"/>
        <w:jc w:val="both"/>
        <w:rPr>
          <w:sz w:val="24"/>
        </w:rPr>
      </w:pPr>
      <w:r w:rsidRPr="00810B69">
        <w:rPr>
          <w:sz w:val="24"/>
        </w:rPr>
        <w:t xml:space="preserve">Fueron consideradas un total de 4,300 universidades alrededor del mundo para la clasificación de </w:t>
      </w:r>
      <w:r w:rsidR="00F50CF2" w:rsidRPr="00810B69">
        <w:rPr>
          <w:sz w:val="24"/>
        </w:rPr>
        <w:t xml:space="preserve">más </w:t>
      </w:r>
      <w:r w:rsidR="00113D12" w:rsidRPr="00810B69">
        <w:rPr>
          <w:sz w:val="24"/>
        </w:rPr>
        <w:t xml:space="preserve">de </w:t>
      </w:r>
      <w:r w:rsidRPr="00810B69">
        <w:rPr>
          <w:sz w:val="24"/>
        </w:rPr>
        <w:t xml:space="preserve">950 </w:t>
      </w:r>
      <w:r w:rsidR="00113D12" w:rsidRPr="00810B69">
        <w:rPr>
          <w:sz w:val="24"/>
        </w:rPr>
        <w:t>universidades</w:t>
      </w:r>
      <w:r w:rsidR="00493403" w:rsidRPr="00810B69">
        <w:rPr>
          <w:sz w:val="24"/>
        </w:rPr>
        <w:t>.</w:t>
      </w:r>
    </w:p>
    <w:p w14:paraId="54A0692B" w14:textId="77777777" w:rsidR="00473561" w:rsidRPr="00810B69" w:rsidRDefault="00473561" w:rsidP="007A309D">
      <w:pPr>
        <w:pStyle w:val="Prrafodelista"/>
        <w:spacing w:after="0" w:line="240" w:lineRule="auto"/>
        <w:jc w:val="both"/>
        <w:rPr>
          <w:sz w:val="16"/>
          <w:szCs w:val="16"/>
        </w:rPr>
      </w:pPr>
    </w:p>
    <w:p w14:paraId="2F1FAAC6" w14:textId="62D6D666" w:rsidR="0023315E" w:rsidRPr="00810B69" w:rsidRDefault="0023315E" w:rsidP="007A309D">
      <w:pPr>
        <w:pStyle w:val="Prrafodelista"/>
        <w:spacing w:after="0" w:line="240" w:lineRule="auto"/>
        <w:jc w:val="both"/>
        <w:rPr>
          <w:b/>
          <w:sz w:val="24"/>
        </w:rPr>
      </w:pPr>
      <w:r w:rsidRPr="00810B69">
        <w:rPr>
          <w:b/>
          <w:sz w:val="24"/>
        </w:rPr>
        <w:t>Indicadores</w:t>
      </w:r>
      <w:r w:rsidR="00BE3F9E" w:rsidRPr="00810B69">
        <w:rPr>
          <w:b/>
          <w:sz w:val="24"/>
        </w:rPr>
        <w:t xml:space="preserve"> y Ponderadores </w:t>
      </w:r>
    </w:p>
    <w:p w14:paraId="2955A644" w14:textId="5C5BF38B" w:rsidR="000F3B73" w:rsidRPr="00810B69" w:rsidRDefault="000F3B73" w:rsidP="007A309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810B69">
        <w:rPr>
          <w:b/>
          <w:sz w:val="24"/>
        </w:rPr>
        <w:t>Reputación según académicos</w:t>
      </w:r>
      <w:r w:rsidRPr="00810B69">
        <w:rPr>
          <w:sz w:val="24"/>
        </w:rPr>
        <w:t xml:space="preserve"> (40%)</w:t>
      </w:r>
      <w:r w:rsidR="00D40232" w:rsidRPr="00810B69">
        <w:rPr>
          <w:sz w:val="24"/>
        </w:rPr>
        <w:t>.</w:t>
      </w:r>
      <w:r w:rsidRPr="00810B69">
        <w:rPr>
          <w:sz w:val="24"/>
        </w:rPr>
        <w:t xml:space="preserve"> </w:t>
      </w:r>
    </w:p>
    <w:p w14:paraId="55D83F97" w14:textId="1DFF0B29" w:rsidR="000F3B73" w:rsidRPr="00810B69" w:rsidRDefault="000F3B73" w:rsidP="007A309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810B69">
        <w:rPr>
          <w:b/>
          <w:sz w:val="24"/>
        </w:rPr>
        <w:t>Reputación según empleadores</w:t>
      </w:r>
      <w:r w:rsidRPr="00810B69">
        <w:rPr>
          <w:sz w:val="24"/>
        </w:rPr>
        <w:t xml:space="preserve"> (10%)</w:t>
      </w:r>
      <w:r w:rsidR="00D40232" w:rsidRPr="00810B69">
        <w:rPr>
          <w:sz w:val="24"/>
        </w:rPr>
        <w:t>.</w:t>
      </w:r>
      <w:r w:rsidRPr="00810B69">
        <w:rPr>
          <w:sz w:val="24"/>
        </w:rPr>
        <w:t xml:space="preserve"> </w:t>
      </w:r>
    </w:p>
    <w:p w14:paraId="640C693B" w14:textId="7469BDBC" w:rsidR="000F3B73" w:rsidRPr="00810B69" w:rsidRDefault="000F3B73" w:rsidP="007A309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810B69">
        <w:rPr>
          <w:b/>
          <w:sz w:val="24"/>
        </w:rPr>
        <w:t>Relación entre estudiantes y profesores</w:t>
      </w:r>
      <w:r w:rsidRPr="00810B69">
        <w:rPr>
          <w:sz w:val="24"/>
        </w:rPr>
        <w:t xml:space="preserve"> (20%)</w:t>
      </w:r>
      <w:r w:rsidR="00F50CF2" w:rsidRPr="00810B69">
        <w:rPr>
          <w:sz w:val="24"/>
        </w:rPr>
        <w:t>.</w:t>
      </w:r>
    </w:p>
    <w:p w14:paraId="4B2DF36B" w14:textId="75BDF2EB" w:rsidR="000F3B73" w:rsidRPr="00810B69" w:rsidRDefault="000F3B73" w:rsidP="007A309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810B69">
        <w:rPr>
          <w:b/>
          <w:sz w:val="24"/>
        </w:rPr>
        <w:t>Citas académicas por artículo entre planta académica</w:t>
      </w:r>
      <w:r w:rsidRPr="00810B69">
        <w:rPr>
          <w:sz w:val="24"/>
        </w:rPr>
        <w:t xml:space="preserve"> (20%)</w:t>
      </w:r>
      <w:r w:rsidR="00F50CF2" w:rsidRPr="00810B69">
        <w:rPr>
          <w:sz w:val="24"/>
        </w:rPr>
        <w:t xml:space="preserve">, se consideran los artículos publicados en Elsevier Scopus durante un periodo de </w:t>
      </w:r>
      <w:r w:rsidR="00C019D1" w:rsidRPr="00810B69">
        <w:rPr>
          <w:sz w:val="24"/>
        </w:rPr>
        <w:t>6</w:t>
      </w:r>
      <w:r w:rsidR="00F50CF2" w:rsidRPr="00810B69">
        <w:rPr>
          <w:sz w:val="24"/>
        </w:rPr>
        <w:t xml:space="preserve"> años.</w:t>
      </w:r>
      <w:r w:rsidR="005A0D1F" w:rsidRPr="00810B69">
        <w:rPr>
          <w:sz w:val="24"/>
        </w:rPr>
        <w:t xml:space="preserve"> Las auto-citas se encuentran excluidas.</w:t>
      </w:r>
    </w:p>
    <w:p w14:paraId="3CE03ACB" w14:textId="7D8B0B4F" w:rsidR="000F3B73" w:rsidRPr="00810B69" w:rsidRDefault="000F3B73" w:rsidP="007A309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810B69">
        <w:rPr>
          <w:b/>
          <w:sz w:val="24"/>
        </w:rPr>
        <w:t xml:space="preserve">Proporción </w:t>
      </w:r>
      <w:r w:rsidR="00F50CF2" w:rsidRPr="00810B69">
        <w:rPr>
          <w:b/>
          <w:sz w:val="24"/>
        </w:rPr>
        <w:t>de estudiantes extranjeros</w:t>
      </w:r>
      <w:r w:rsidR="00F50CF2" w:rsidRPr="00810B69">
        <w:rPr>
          <w:sz w:val="24"/>
        </w:rPr>
        <w:t xml:space="preserve"> (5%).</w:t>
      </w:r>
    </w:p>
    <w:p w14:paraId="67CAB9F2" w14:textId="0FDAE4DF" w:rsidR="000F3B73" w:rsidRPr="00810B69" w:rsidRDefault="000F3B73" w:rsidP="007A309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sz w:val="24"/>
        </w:rPr>
      </w:pPr>
      <w:r w:rsidRPr="00810B69">
        <w:rPr>
          <w:b/>
          <w:sz w:val="24"/>
        </w:rPr>
        <w:t>Proporción de académicos extranjeros</w:t>
      </w:r>
      <w:r w:rsidR="00F50CF2" w:rsidRPr="00810B69">
        <w:rPr>
          <w:sz w:val="24"/>
        </w:rPr>
        <w:t xml:space="preserve"> </w:t>
      </w:r>
      <w:r w:rsidRPr="00810B69">
        <w:rPr>
          <w:sz w:val="24"/>
        </w:rPr>
        <w:t>(5%)</w:t>
      </w:r>
      <w:r w:rsidR="00F50CF2" w:rsidRPr="00810B69">
        <w:rPr>
          <w:sz w:val="24"/>
        </w:rPr>
        <w:t>.</w:t>
      </w:r>
    </w:p>
    <w:p w14:paraId="4F937073" w14:textId="77777777" w:rsidR="00C1696D" w:rsidRPr="00810B69" w:rsidRDefault="00C1696D" w:rsidP="007A309D">
      <w:pPr>
        <w:pStyle w:val="Prrafodelista"/>
        <w:spacing w:after="0" w:line="240" w:lineRule="auto"/>
        <w:ind w:left="1418" w:hanging="709"/>
        <w:jc w:val="both"/>
        <w:rPr>
          <w:sz w:val="16"/>
          <w:szCs w:val="16"/>
        </w:rPr>
      </w:pPr>
    </w:p>
    <w:p w14:paraId="2FAFFC35" w14:textId="77777777" w:rsidR="00945346" w:rsidRPr="00810B69" w:rsidRDefault="00945346" w:rsidP="00493403">
      <w:pPr>
        <w:pStyle w:val="Prrafodelista"/>
        <w:spacing w:after="0" w:line="240" w:lineRule="auto"/>
        <w:jc w:val="both"/>
        <w:rPr>
          <w:sz w:val="24"/>
        </w:rPr>
      </w:pPr>
      <w:r w:rsidRPr="00810B69">
        <w:rPr>
          <w:sz w:val="24"/>
        </w:rPr>
        <w:t>Todos los puntajes del ranking se encuentran normalizados al 100% con referencia al valor de 100 puntos asignados a la universidad con mejor desempeño en cada indicador.</w:t>
      </w:r>
    </w:p>
    <w:p w14:paraId="67E93D78" w14:textId="77777777" w:rsidR="00945346" w:rsidRPr="00810B69" w:rsidRDefault="00945346" w:rsidP="007A309D">
      <w:pPr>
        <w:pStyle w:val="Prrafodelista"/>
        <w:spacing w:after="0" w:line="240" w:lineRule="auto"/>
        <w:ind w:left="1418" w:hanging="709"/>
        <w:jc w:val="both"/>
        <w:rPr>
          <w:sz w:val="16"/>
          <w:szCs w:val="16"/>
        </w:rPr>
      </w:pPr>
    </w:p>
    <w:p w14:paraId="0A065F56" w14:textId="77777777" w:rsidR="004F1B6E" w:rsidRPr="00810B69" w:rsidRDefault="004F1B6E" w:rsidP="006B3FF3">
      <w:pPr>
        <w:pStyle w:val="Prrafodelista"/>
        <w:jc w:val="both"/>
        <w:rPr>
          <w:b/>
          <w:sz w:val="24"/>
        </w:rPr>
      </w:pPr>
      <w:r w:rsidRPr="00810B69">
        <w:rPr>
          <w:b/>
          <w:sz w:val="24"/>
        </w:rPr>
        <w:t xml:space="preserve">Resultados </w:t>
      </w:r>
    </w:p>
    <w:p w14:paraId="7E211F03" w14:textId="3F4AED29" w:rsidR="004F1B6E" w:rsidRPr="00810B69" w:rsidRDefault="004F1B6E" w:rsidP="004F1B6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10B69">
        <w:rPr>
          <w:sz w:val="24"/>
        </w:rPr>
        <w:t>En el QS ranking mundial de universidades, las universidades iberoamericanas fueron representadas por 113 universidades de diez países; donde se destaca la participación de 23 universidades españolas, 22 brasileñas, 16 argentinas y 14 mexicanas.</w:t>
      </w:r>
    </w:p>
    <w:p w14:paraId="59C7388E" w14:textId="54E0595C" w:rsidR="008B6B90" w:rsidRDefault="008B6B90">
      <w:pPr>
        <w:rPr>
          <w:sz w:val="24"/>
        </w:rPr>
      </w:pPr>
      <w:r>
        <w:rPr>
          <w:sz w:val="24"/>
        </w:rPr>
        <w:br w:type="page"/>
      </w: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4F1B6E" w:rsidRPr="00810B69" w14:paraId="66DE9F30" w14:textId="77777777" w:rsidTr="00B460BD">
        <w:trPr>
          <w:trHeight w:val="427"/>
          <w:jc w:val="center"/>
        </w:trPr>
        <w:tc>
          <w:tcPr>
            <w:tcW w:w="10065" w:type="dxa"/>
            <w:shd w:val="clear" w:color="auto" w:fill="auto"/>
            <w:noWrap/>
            <w:vAlign w:val="center"/>
          </w:tcPr>
          <w:p w14:paraId="4997FD56" w14:textId="77777777" w:rsidR="004F1B6E" w:rsidRPr="00810B69" w:rsidRDefault="004F1B6E" w:rsidP="004F1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</w:pPr>
            <w:r w:rsidRPr="00810B69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lastRenderedPageBreak/>
              <w:t>Gráfico 1. Total de universidades iberoamericanas por país en el</w:t>
            </w:r>
            <w:r w:rsidRPr="00810B69">
              <w:t xml:space="preserve"> </w:t>
            </w:r>
            <w:r w:rsidRPr="00810B69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QS ranking mundial de universidades, 2017.</w:t>
            </w:r>
          </w:p>
        </w:tc>
      </w:tr>
      <w:tr w:rsidR="004F1B6E" w:rsidRPr="00810B69" w14:paraId="77AD87E2" w14:textId="77777777" w:rsidTr="00B460BD">
        <w:trPr>
          <w:trHeight w:val="427"/>
          <w:jc w:val="center"/>
        </w:trPr>
        <w:tc>
          <w:tcPr>
            <w:tcW w:w="10065" w:type="dxa"/>
            <w:shd w:val="clear" w:color="auto" w:fill="auto"/>
            <w:noWrap/>
            <w:vAlign w:val="center"/>
          </w:tcPr>
          <w:p w14:paraId="673858A4" w14:textId="73F34006" w:rsidR="004F1B6E" w:rsidRPr="00810B69" w:rsidRDefault="004F1B6E" w:rsidP="00630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6"/>
                <w:szCs w:val="18"/>
                <w:lang w:eastAsia="es-MX"/>
              </w:rPr>
            </w:pPr>
            <w:r w:rsidRPr="00810B69">
              <w:rPr>
                <w:noProof/>
                <w:lang w:eastAsia="es-MX"/>
              </w:rPr>
              <w:drawing>
                <wp:inline distT="0" distB="0" distL="0" distR="0" wp14:anchorId="55EC2688" wp14:editId="05E49253">
                  <wp:extent cx="6273800" cy="2266950"/>
                  <wp:effectExtent l="0" t="0" r="0" b="0"/>
                  <wp:docPr id="4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79176B" w:rsidRPr="00810B69" w14:paraId="4E470A4D" w14:textId="77777777" w:rsidTr="0079176B">
        <w:trPr>
          <w:trHeight w:val="121"/>
          <w:jc w:val="center"/>
        </w:trPr>
        <w:tc>
          <w:tcPr>
            <w:tcW w:w="10065" w:type="dxa"/>
            <w:shd w:val="clear" w:color="auto" w:fill="auto"/>
            <w:noWrap/>
            <w:vAlign w:val="center"/>
          </w:tcPr>
          <w:p w14:paraId="05740095" w14:textId="5D97C682" w:rsidR="0079176B" w:rsidRPr="0079176B" w:rsidRDefault="0079176B" w:rsidP="00543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0B6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>Fuente:</w:t>
            </w:r>
            <w:r w:rsidRPr="00810B6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Elaboración propia con datos publicados del QS ranking mundial de universidades, 2011-2017.</w:t>
            </w:r>
          </w:p>
        </w:tc>
      </w:tr>
    </w:tbl>
    <w:p w14:paraId="3320A1EC" w14:textId="77777777" w:rsidR="004F1B6E" w:rsidRPr="00810B69" w:rsidRDefault="004F1B6E" w:rsidP="006B3FF3">
      <w:pPr>
        <w:pStyle w:val="Prrafodelista"/>
        <w:jc w:val="both"/>
        <w:rPr>
          <w:sz w:val="24"/>
        </w:rPr>
      </w:pPr>
    </w:p>
    <w:p w14:paraId="64CF725E" w14:textId="0FC161B2" w:rsidR="00263F3E" w:rsidRPr="00810B69" w:rsidRDefault="00263F3E" w:rsidP="00263F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10B69">
        <w:rPr>
          <w:sz w:val="24"/>
        </w:rPr>
        <w:t xml:space="preserve">Del total de universidades iberoamericanas fueron clasificadas únicamente 65 instituciones dentro de las primeras 700. </w:t>
      </w:r>
    </w:p>
    <w:p w14:paraId="5F1F3AB9" w14:textId="77777777" w:rsidR="00B460BD" w:rsidRPr="00810B69" w:rsidRDefault="00B460BD" w:rsidP="00B460BD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114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2759"/>
        <w:gridCol w:w="805"/>
        <w:gridCol w:w="762"/>
        <w:gridCol w:w="1045"/>
        <w:gridCol w:w="1045"/>
        <w:gridCol w:w="1045"/>
        <w:gridCol w:w="1045"/>
        <w:gridCol w:w="1045"/>
        <w:gridCol w:w="1053"/>
        <w:gridCol w:w="12"/>
      </w:tblGrid>
      <w:tr w:rsidR="006303B1" w:rsidRPr="00810B69" w14:paraId="5F9AA5A3" w14:textId="77777777" w:rsidTr="00B42CB1">
        <w:trPr>
          <w:trHeight w:val="255"/>
          <w:tblHeader/>
          <w:jc w:val="center"/>
        </w:trPr>
        <w:tc>
          <w:tcPr>
            <w:tcW w:w="11401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8CF4DD" w14:textId="08CDA443" w:rsidR="006303B1" w:rsidRPr="00810B69" w:rsidRDefault="006303B1" w:rsidP="006303B1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810B69">
              <w:rPr>
                <w:b/>
                <w:sz w:val="20"/>
                <w:szCs w:val="18"/>
              </w:rPr>
              <w:t xml:space="preserve">Tabla 2. </w:t>
            </w:r>
            <w:r w:rsidRPr="00810B69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Posición de las </w:t>
            </w:r>
            <w:r w:rsidR="00932412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 xml:space="preserve">65 </w:t>
            </w:r>
            <w:r w:rsidRPr="00810B69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universidades iberoamericanas en el</w:t>
            </w:r>
            <w:r w:rsidRPr="00810B69">
              <w:t xml:space="preserve"> </w:t>
            </w:r>
            <w:r w:rsidRPr="00810B69">
              <w:rPr>
                <w:rFonts w:ascii="Calibri" w:eastAsia="Times New Roman" w:hAnsi="Calibri" w:cs="Times New Roman"/>
                <w:b/>
                <w:color w:val="050505"/>
                <w:sz w:val="20"/>
                <w:szCs w:val="24"/>
                <w:lang w:eastAsia="es-MX"/>
              </w:rPr>
              <w:t>QS ranking mundial de universidades, 2017.</w:t>
            </w:r>
          </w:p>
        </w:tc>
      </w:tr>
      <w:tr w:rsidR="00B460BD" w:rsidRPr="00810B69" w14:paraId="5AB8DBBD" w14:textId="77777777" w:rsidTr="00B42CB1">
        <w:trPr>
          <w:gridAfter w:val="1"/>
          <w:wAfter w:w="12" w:type="dxa"/>
          <w:trHeight w:val="464"/>
          <w:tblHeader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7304206" w14:textId="0825A113" w:rsidR="00B460BD" w:rsidRPr="00810B69" w:rsidRDefault="00B460BD" w:rsidP="00B4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b/>
                <w:bCs/>
                <w:sz w:val="16"/>
                <w:szCs w:val="16"/>
              </w:rPr>
              <w:t>Posición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D158DF" w14:textId="26A108E5" w:rsidR="00B460BD" w:rsidRPr="00810B69" w:rsidRDefault="00B460BD" w:rsidP="00B4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b/>
                <w:bCs/>
                <w:sz w:val="16"/>
                <w:szCs w:val="16"/>
              </w:rPr>
              <w:t>Institución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C4B4A1D" w14:textId="0ADEF0C1" w:rsidR="00B460BD" w:rsidRPr="00810B69" w:rsidRDefault="00B460BD" w:rsidP="00B4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F6711FA" w14:textId="25C6D6BF" w:rsidR="00B460BD" w:rsidRPr="00810B69" w:rsidRDefault="00B460BD" w:rsidP="00B4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b/>
                <w:bCs/>
                <w:sz w:val="16"/>
                <w:szCs w:val="16"/>
              </w:rPr>
              <w:t>Puntaje Gral.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0297CB0" w14:textId="5829292D" w:rsidR="00B460BD" w:rsidRPr="00810B69" w:rsidRDefault="00B460BD" w:rsidP="00B4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b/>
                <w:bCs/>
                <w:sz w:val="16"/>
                <w:szCs w:val="16"/>
              </w:rPr>
              <w:t>Reputación según académicos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12A12FC0" w14:textId="3E1D85FE" w:rsidR="00B460BD" w:rsidRPr="00810B69" w:rsidRDefault="00B460BD" w:rsidP="00B4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b/>
                <w:bCs/>
                <w:sz w:val="16"/>
                <w:szCs w:val="16"/>
              </w:rPr>
              <w:t>Reputación según empleadores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CB19AFC" w14:textId="0DAA2CF4" w:rsidR="00B460BD" w:rsidRPr="00810B69" w:rsidRDefault="00B460BD" w:rsidP="00B4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b/>
                <w:bCs/>
                <w:sz w:val="16"/>
                <w:szCs w:val="16"/>
              </w:rPr>
              <w:t>Relación entre estudiantes y profesores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493A544" w14:textId="548B51A6" w:rsidR="00B460BD" w:rsidRPr="00810B69" w:rsidRDefault="00B460BD" w:rsidP="00B4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b/>
                <w:bCs/>
                <w:sz w:val="16"/>
                <w:szCs w:val="16"/>
              </w:rPr>
              <w:t>Citas académicas por artículo entre planta académica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3F37F4E0" w14:textId="7FC8324E" w:rsidR="00B460BD" w:rsidRPr="00810B69" w:rsidRDefault="00B460BD" w:rsidP="00B4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b/>
                <w:bCs/>
                <w:sz w:val="16"/>
                <w:szCs w:val="16"/>
              </w:rPr>
              <w:t>Proporción de académicos extranjeros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60BA00AD" w14:textId="3E3ED4D8" w:rsidR="00B460BD" w:rsidRPr="00810B69" w:rsidRDefault="00B460BD" w:rsidP="00B4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b/>
                <w:bCs/>
                <w:sz w:val="16"/>
                <w:szCs w:val="16"/>
              </w:rPr>
              <w:t>Proporción de estudiantes extranjeros</w:t>
            </w:r>
          </w:p>
        </w:tc>
      </w:tr>
      <w:tr w:rsidR="00B460BD" w:rsidRPr="00810B69" w14:paraId="1DC7E663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3500" w14:textId="689BA81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75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DB46" w14:textId="5514AA8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Buenos Aires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B857" w14:textId="6532ED7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Argentina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6A605" w14:textId="6DCC810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69.1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C692" w14:textId="597F26D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94.5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DD2CD" w14:textId="7E00CCC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95.5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D92A" w14:textId="7FBDF37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75.1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4002A" w14:textId="3C28422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73848" w14:textId="35322D8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50.3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E0B8" w14:textId="6109029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70.6</w:t>
            </w:r>
          </w:p>
        </w:tc>
      </w:tr>
      <w:tr w:rsidR="00B460BD" w:rsidRPr="00810B69" w14:paraId="294C35AC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44AC68" w14:textId="31B501F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121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DE1B0A" w14:textId="081959E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Universidade de Sao Paulo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C01584" w14:textId="4F9A4EA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Brasil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063C59" w14:textId="6DC839C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59.1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46028B" w14:textId="355E653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94.8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DC4AAA" w14:textId="015D864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90.2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293021" w14:textId="7BF564C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31.4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2829B2" w14:textId="1028F4D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25.7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D464FC" w14:textId="60F15C1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32F0C9" w14:textId="2829A6D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48AA1546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AB21" w14:textId="0E460F4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122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DB7A" w14:textId="30C43C6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Nacional Autónoma de México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7C8E9" w14:textId="734F1F8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México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7A92" w14:textId="3D7A4B0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0A7C" w14:textId="179D071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95.8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E98D" w14:textId="7E26A68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89.6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48A08" w14:textId="2BCF24F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50.9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3D82" w14:textId="7A69274A" w:rsidR="00B460BD" w:rsidRPr="00810B69" w:rsidRDefault="005E49CA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6D95" w14:textId="7EE1A175" w:rsidR="00B460BD" w:rsidRPr="00810B69" w:rsidRDefault="005E49CA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C04D" w14:textId="140B8BD9" w:rsidR="00B460BD" w:rsidRPr="00810B69" w:rsidRDefault="005E49CA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</w:tr>
      <w:tr w:rsidR="00B460BD" w:rsidRPr="00810B69" w14:paraId="31673ADD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4E95E30" w14:textId="44CAF4A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137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FF0D53" w14:textId="3919408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Pontificia Universidad Católica de Chile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AEFC66" w14:textId="18CC5C6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Chile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15A753" w14:textId="7302609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C105ED" w14:textId="3D416EE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92.4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0D28CA" w14:textId="124793B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94.6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6E2C978" w14:textId="5EFAB57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57AC48" w14:textId="6C42B47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78F5A9" w14:textId="2F585F0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E753461" w14:textId="5875841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32A5C20A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4F74" w14:textId="5311465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156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1104" w14:textId="58C5425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Barcelona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B367" w14:textId="228ED44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2DF0" w14:textId="5C737FD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52.9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40E2" w14:textId="55FD1EB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D8C5" w14:textId="6A90661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60.7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E005" w14:textId="40A953C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30.6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1395" w14:textId="3AFECCF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33.4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06F5" w14:textId="69672C7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B7F4" w14:textId="5C09B58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33.7</w:t>
            </w:r>
          </w:p>
        </w:tc>
      </w:tr>
      <w:tr w:rsidR="00B460BD" w:rsidRPr="00810B69" w14:paraId="64040624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2147A3" w14:textId="7B861D2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182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11CE87" w14:textId="14DEC6C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Estatal de Campinas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2CE329" w14:textId="4602B36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Brasil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139F18" w14:textId="70A9C9B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49.5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CB37A7" w14:textId="3CAC540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76.9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22FD01" w14:textId="3A1FCB8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73.4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50C23E" w14:textId="355F0D9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3884CF" w14:textId="70D0157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4BF38E" w14:textId="555B216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CB8040" w14:textId="3D8C95C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44BF8C5D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58B1" w14:textId="79D3859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187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8CB1" w14:textId="42B9B1B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Autónoma de Madrid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0E36" w14:textId="68E3F06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F207" w14:textId="0B89A1D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49.2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CA29" w14:textId="3A127E7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65.7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07C03" w14:textId="728A480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74.1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22EF8" w14:textId="3DFA72F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43.4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BC8E" w14:textId="4C1829C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24.7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72F8" w14:textId="1620411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76B4" w14:textId="56082AF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24.3</w:t>
            </w:r>
          </w:p>
        </w:tc>
      </w:tr>
      <w:tr w:rsidR="00B460BD" w:rsidRPr="00810B69" w14:paraId="64DE084A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EE2AE8" w14:textId="1264ED8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195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78B5BD" w14:textId="44F8CC1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Autónoma de Barcelona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E0C0FE" w14:textId="17BAD18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158A5FD" w14:textId="7505A20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48.1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E4D351" w14:textId="7424D86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72.1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8BC6BC" w14:textId="448ED1B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41.5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53DAF6" w14:textId="2F91D69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03DFD7" w14:textId="3611364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43.7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AF1817" w14:textId="4D5BE38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21.5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3C1427" w14:textId="5933E86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28.6</w:t>
            </w:r>
          </w:p>
        </w:tc>
      </w:tr>
      <w:tr w:rsidR="00B460BD" w:rsidRPr="00810B69" w14:paraId="4B9E3D5C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93E8" w14:textId="376708F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199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DCD8" w14:textId="06CFADE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1BC5" w14:textId="684EEC9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México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0B1D" w14:textId="36D6C10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3A5F" w14:textId="67B9276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42.8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F206" w14:textId="4528804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84.9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2D422" w14:textId="3DCE7EB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77.1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0CAE1" w14:textId="1A00C15A" w:rsidR="00B460BD" w:rsidRPr="00810B69" w:rsidRDefault="005E49CA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123A" w14:textId="35E0C2B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98.4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BF18B" w14:textId="0A99FCA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23.2</w:t>
            </w:r>
          </w:p>
        </w:tc>
      </w:tr>
      <w:tr w:rsidR="00B460BD" w:rsidRPr="00810B69" w14:paraId="589D102A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93A3BF" w14:textId="507F8D2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201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A4C06D" w14:textId="485616B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Chile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76CC73" w14:textId="29B30BC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Chile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8E09C1" w14:textId="54D7B73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47.8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1910DF" w14:textId="729BD43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82.7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A91A18" w14:textId="5F289CF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85.1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5AF7D0" w14:textId="771FCA7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E1D263" w14:textId="7B97518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50E221" w14:textId="422409C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FFCE61" w14:textId="4568021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0FA08374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10D5" w14:textId="341A940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233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04AC" w14:textId="7AAEE59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Complutense de Madrid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F36F" w14:textId="22AB433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89E9A" w14:textId="1F3DD7E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43.2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9330A" w14:textId="2291046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68.9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F036" w14:textId="306389F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76.8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6F879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6FDEB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F08A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EBF9" w14:textId="75B07D5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33.8</w:t>
            </w:r>
          </w:p>
        </w:tc>
      </w:tr>
      <w:tr w:rsidR="00B460BD" w:rsidRPr="00810B69" w14:paraId="057320D8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853735" w14:textId="0EC4ECF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254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DFC45F" w14:textId="33C467E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Nacional de Colombia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27D3212" w14:textId="10D3A38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Colombia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F6DA45" w14:textId="2236116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40.9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205B1C" w14:textId="0F4619E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8543D67" w14:textId="0F5B531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82.7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C4786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4BD50C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38E7BA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1EB78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34186536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147A" w14:textId="3D901D8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256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A270" w14:textId="5CC8D0E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los Andes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75D5B" w14:textId="1F021A9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Colombia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4E83" w14:textId="2EC3A8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40.6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EB5A" w14:textId="2322B63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CDE3" w14:textId="05B660A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77.2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5068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A8E9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A153" w14:textId="40A6073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30.9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CD3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64AE812D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719C40" w14:textId="3C6F6CB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270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EFA53B" w14:textId="19AAC15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Navarra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A28F64" w14:textId="46C7C8B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63C9B1" w14:textId="796B474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39.8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3D6764" w14:textId="239B51B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33.3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B423DF" w14:textId="189B370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85.7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D0F2DB" w14:textId="159B7F1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52.2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01BB6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7E9A4F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F29E44" w14:textId="09680E0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55.3</w:t>
            </w:r>
          </w:p>
        </w:tc>
      </w:tr>
      <w:tr w:rsidR="00B460BD" w:rsidRPr="00810B69" w14:paraId="613C1485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E118" w14:textId="77EF90A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275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7976" w14:textId="3C8DAD5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Politécnica de Cataluña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5CBC" w14:textId="223FA58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9354" w14:textId="7EBD9AA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39.4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0E13F" w14:textId="4AE319D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42.4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EA9" w14:textId="05631BD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49.1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6BE5" w14:textId="463076B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AE325" w14:textId="4C47931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22.3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C9B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A7E7" w14:textId="70E1B05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30.7</w:t>
            </w:r>
          </w:p>
        </w:tc>
      </w:tr>
      <w:tr w:rsidR="00B460BD" w:rsidRPr="00810B69" w14:paraId="756B69D4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65BD06" w14:textId="1D35F5A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281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EC16B8" w14:textId="417C699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Carlos III de Madrid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3079F7" w14:textId="2DE43EE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C3F2DE" w14:textId="284D7E8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38.9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48E51F" w14:textId="3FFBE8B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37.6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8AB221" w14:textId="3E1CA9D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64.9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E05AA1" w14:textId="6CACC81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68.3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01A6A2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626E05" w14:textId="3B85078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34.4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7236F2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6403990B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2B38" w14:textId="797E928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296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DB3C" w14:textId="07C8C9C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Pompeu Fabra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51F4" w14:textId="3CF24EC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F095" w14:textId="36C526E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37.8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502F" w14:textId="4473048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37.8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DC90" w14:textId="0B816BE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36.3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50B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2C23" w14:textId="7F14A9D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47.7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0245" w14:textId="56C3CCA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74.8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FCD0" w14:textId="308E39B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31.6</w:t>
            </w:r>
          </w:p>
        </w:tc>
      </w:tr>
      <w:tr w:rsidR="00B460BD" w:rsidRPr="00810B69" w14:paraId="1FE096CA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69270C" w14:textId="5B48292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301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1320E5" w14:textId="7A5F553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Porto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E1F297" w14:textId="36552AF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Portugal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247F5F" w14:textId="7C5D6B7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37.6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337245E" w14:textId="26EFAC9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45.6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7B2794" w14:textId="53BDBF8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49.3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AA352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C5F195" w14:textId="316881B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52.8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0D1C7DB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ECF78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2DE38327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D2C1" w14:textId="1146339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305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8566" w14:textId="4D36BC7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Lisboa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4E82" w14:textId="47E9F8E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Portugal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8A66" w14:textId="75FF7D0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37.3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353D" w14:textId="656D5D9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47.4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11E5" w14:textId="2FABA20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428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1016" w14:textId="6672AC6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37.5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C3C8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9470" w14:textId="584D7D9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32.1</w:t>
            </w:r>
          </w:p>
        </w:tc>
      </w:tr>
      <w:tr w:rsidR="00B460BD" w:rsidRPr="00810B69" w14:paraId="07F1DA30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73C31E" w14:textId="2FD7888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2B2964" w14:textId="7A9CB2B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Federal de Río de Janeiro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DF99F9" w14:textId="688158B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Brasil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22CB96" w14:textId="4534774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36.7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E90326" w14:textId="08D1F8F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67.1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2A917C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1C233B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805877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CE9263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D2D2E7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3E4A4169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4BFA" w14:textId="7A4867A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331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16FC" w14:textId="46BD68A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Austral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C08D" w14:textId="6B64B99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Argentina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9B67D" w14:textId="1230B76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35.3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CE60" w14:textId="71F9242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C011B" w14:textId="7DED441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51.2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468B" w14:textId="125AD2E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86.4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2541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F18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836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302ED70A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8E76B3" w14:textId="4159643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337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BC27D2" w14:textId="1D67A28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Belgrano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A50727C" w14:textId="2BD3B0A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Argentina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44FF07" w14:textId="732C975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34.9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F86C50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5FF874" w14:textId="10B69F9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47.5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CB473D" w14:textId="4914A27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78EBD8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FC7A88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F5B509" w14:textId="37A8B34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86.5</w:t>
            </w:r>
          </w:p>
        </w:tc>
      </w:tr>
      <w:tr w:rsidR="00B460BD" w:rsidRPr="00810B69" w14:paraId="7D6E29BC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9631" w14:textId="5DF35A2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361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5A07" w14:textId="5BD75BF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Nueva de Lisboa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66548" w14:textId="6FEF267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Portugal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5178" w14:textId="44A344A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33.1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A7264" w14:textId="468D6EB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34.6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1B4E" w14:textId="3ADE521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60.9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42ED" w14:textId="7DFFA80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35.4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36E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BCE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5E9A" w14:textId="53DECBF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23.5</w:t>
            </w:r>
          </w:p>
        </w:tc>
      </w:tr>
      <w:tr w:rsidR="00B460BD" w:rsidRPr="00810B69" w14:paraId="26347830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A595B6B" w14:textId="2542D8D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lastRenderedPageBreak/>
              <w:t>364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4411CE" w14:textId="5CEB2FD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Pontificia Universidad Católica Argentina Santa María de los Buenos Aires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6BACBA" w14:textId="06FFDB1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Argentina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9CE51CF" w14:textId="208508D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253DF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C6859F" w14:textId="2AB0701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66.9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00DF49" w14:textId="4DC8788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76.9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82A1AC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813F7D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6D8FDB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213E0673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53DB" w14:textId="1EC55F1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373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82AF" w14:textId="14DCB83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Politécnica de Valencia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44B9" w14:textId="7294C45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3C2E" w14:textId="503C2E3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32.5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79BC8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373A" w14:textId="2FC4F4D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36.7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714F" w14:textId="31F1397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65.6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90E2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F5E2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B963" w14:textId="0E374D6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28.7</w:t>
            </w:r>
          </w:p>
        </w:tc>
      </w:tr>
      <w:tr w:rsidR="00B460BD" w:rsidRPr="00810B69" w14:paraId="1C94C917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41E07A" w14:textId="7AA1057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401-410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8A2A70" w14:textId="0E5C788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Coímbra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8B0186" w14:textId="0C88D77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Portugal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C64EAA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C4B98F" w14:textId="78BDE25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38.1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50F68B5" w14:textId="27A0163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30C5B7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1DCEC7" w14:textId="43811F4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25.3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92853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0CFEB8" w14:textId="4B991AA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41.2</w:t>
            </w:r>
          </w:p>
        </w:tc>
      </w:tr>
      <w:tr w:rsidR="00B460BD" w:rsidRPr="00810B69" w14:paraId="351DA674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CEE9" w14:textId="4BA0D6F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401-410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2E95" w14:textId="7464323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Externado de Colombia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B896" w14:textId="42E89DA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Colombia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1DA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23E7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0A0A" w14:textId="70F44EB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39.8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1984" w14:textId="677C3D1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99.8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5CEC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A3209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E4E4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15FF3795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3C0121" w14:textId="24404BD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431-440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876D82" w14:textId="51AA183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Pontificia Universidad Católica del Perú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F80E4FF" w14:textId="0570277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Perú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DE037E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38F873" w14:textId="3AA7A5A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A04165" w14:textId="4C8AB6D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45.9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8F9B5EE" w14:textId="2CE16F5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C53710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EDE4537" w14:textId="574C804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12381B" w14:textId="54C6523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0728FC81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EFA8" w14:textId="0094E7F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431-440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0573" w14:textId="4596A26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Palermo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20110" w14:textId="78975AF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Argentina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BF6B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F4855" w14:textId="58606CA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C443" w14:textId="3C02F43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20F3" w14:textId="6189340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BF41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E432" w14:textId="679D03D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34.2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4C38" w14:textId="0DA879F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95.4</w:t>
            </w:r>
          </w:p>
        </w:tc>
      </w:tr>
      <w:tr w:rsidR="00B460BD" w:rsidRPr="00810B69" w14:paraId="7E262E24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33723E" w14:textId="135CAB9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451-460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A6B9397" w14:textId="3EE1CAD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Santiago de Chile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09E093" w14:textId="44DE8ED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Chile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F91D47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E4F746" w14:textId="291BB3A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45.7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EF0109" w14:textId="26C8528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54.5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07907B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3EB332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6D7050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7A7D50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48F744ED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8DB08" w14:textId="6E11FF3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461-470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113E" w14:textId="4378F7D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Pontificia Universidad Javeriana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33C3C" w14:textId="12C7B2C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Colombia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92EE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72B9" w14:textId="1221D8A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42.5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5213C" w14:textId="378060A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57.4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E890" w14:textId="76C55C9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E07D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DEC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10B9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719D8A49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1A104B" w14:textId="530870B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461-470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1C0905" w14:textId="05D8B6A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Zaragoza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92E540" w14:textId="65E3276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719953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13CD28" w14:textId="46A7735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B266BA" w14:textId="120AE2B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1BB654" w14:textId="566AE63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12E764E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7D543F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15BA6C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5506475A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631E" w14:textId="5E0DCED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491-500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168B" w14:textId="52C54DF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Estatal Paulista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AE6E" w14:textId="764E107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Brasil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AD4C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EF7D" w14:textId="2BD9B2F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37.2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4EB3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0886" w14:textId="59B3879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27.4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D68E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6EDE2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F14F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45AA050A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F86BC0" w14:textId="5764BDB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491-500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CEC3803" w14:textId="4ECEC88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Politécnica de Madrid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2DAFA5" w14:textId="6DEEF17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CB81DCB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5BA7D8" w14:textId="02B1BAE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28.6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430506" w14:textId="775BAF3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24A52D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E17BB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535F63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7F3F3D" w14:textId="135EC56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33.6</w:t>
            </w:r>
          </w:p>
        </w:tc>
      </w:tr>
      <w:tr w:rsidR="00B460BD" w:rsidRPr="00810B69" w14:paraId="75FEA728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B637" w14:textId="35C6DB5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501-550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3078" w14:textId="28D9DF9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Pontificia Universidade Católica de São Paulo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2B49" w14:textId="496474A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Brasil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5222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A82F" w14:textId="1E16BA5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F801" w14:textId="2DDC3D1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41.7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0B9E" w14:textId="751FFF4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55.2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56A4B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7413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B28D" w14:textId="1E0E1A6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0D3D4CDA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DF08C50" w14:textId="67905C6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501-550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5FB054" w14:textId="28356B3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Pontificia Universidade Católica do Rio de Janeiro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FC57AB" w14:textId="245F766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Brasil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BBE3BC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41C6802" w14:textId="7D4EEBB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40.2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CEF4DC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94777C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B8A88B" w14:textId="2EE6F94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267D77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A81513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75A40133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9738" w14:textId="57B5CD8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501-550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FD99" w14:textId="749BA70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Aveiro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851E" w14:textId="1263038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Portugal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7BA8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B8DE" w14:textId="572019D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F883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B879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8911" w14:textId="7B8BC33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56.8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2984" w14:textId="2497302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58CB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3CDDD7F5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B4EA1F" w14:textId="3BCDC98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501-550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CEEEA0" w14:textId="60B9669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Granada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0A53596" w14:textId="43A2405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057D9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AF788C" w14:textId="428B495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39.5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B06E4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833DFC" w14:textId="5F0CD8F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8EDBC32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359A73A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71267A" w14:textId="748A1CA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21.6</w:t>
            </w:r>
          </w:p>
        </w:tc>
      </w:tr>
      <w:tr w:rsidR="00B460BD" w:rsidRPr="00810B69" w14:paraId="76C90A12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6F5B" w14:textId="7179D80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501-550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B057" w14:textId="6A62838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Montevideo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C761" w14:textId="605BAD6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Uruguay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C2E9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22FC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8FC2E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F5A5D" w14:textId="381905F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56.3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59C2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3541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C6EB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0C664CE4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25CCE99" w14:textId="3306A6A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501-550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94598A" w14:textId="2133366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Federal de Río Grande del Sur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3BC67E" w14:textId="44BB8F1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Brasil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3AB4ED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A3BCA54" w14:textId="6A6D7EF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35.8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CDD77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CF35F0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5505E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CFBD2A" w14:textId="05AC64C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44.6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98DD1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681746C9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A8603" w14:textId="41A3161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501-550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8DA3" w14:textId="2893242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Federal de Sao Paulo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672A4" w14:textId="2FDDF38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Brasil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E1E9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636F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9794" w14:textId="5D73CCF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E528" w14:textId="70D497A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68.5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E19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F7DB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678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56359138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17F935" w14:textId="26CB979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551-600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037565" w14:textId="7730AB5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Instituto Tecnológico de Buenos Aires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FBB7E80" w14:textId="0D4398D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Argentina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F0FA6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5C2E54E" w14:textId="2D2780B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E3E1C3" w14:textId="754A98D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36.3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58DC91" w14:textId="49D54C5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1281A3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60437B0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D91CE0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70C694D9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78D8" w14:textId="16DD708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551-600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F4FF" w14:textId="4831DDB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Alcalá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3CACF" w14:textId="3C1412B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177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9615" w14:textId="004238B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6E69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7043" w14:textId="691FEB9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34.2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8411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C762F" w14:textId="089F227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EEC94" w14:textId="5BFA9BD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72</w:t>
            </w:r>
          </w:p>
        </w:tc>
      </w:tr>
      <w:tr w:rsidR="00B460BD" w:rsidRPr="00810B69" w14:paraId="5E6E7E2C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A370A2E" w14:textId="3839EBD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551-600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4933AF" w14:textId="211A45D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Valencia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C5074F3" w14:textId="07F5362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A366D8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8AD3AC5" w14:textId="652C084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33.5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B46A4A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5E60BD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BB213EB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B2EF5E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095D08D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346D2FA4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67C0" w14:textId="6545906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551-600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4CBA" w14:textId="38C0F99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Federal de Minas Gerais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B673F" w14:textId="5E33BE3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Brasil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900A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6934B" w14:textId="021626B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36.9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D7EE8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823F" w14:textId="7231D03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56F1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B5444" w14:textId="4A9932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C70B9" w14:textId="31F978B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290866AF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6CCF6A" w14:textId="26D729C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551-600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C98207" w14:textId="212A431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Nacional de La Plata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8E27C3" w14:textId="56C0747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Argentina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498447F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088A21D" w14:textId="30418ED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42.3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C0148B" w14:textId="5C4AB59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7E0E274" w14:textId="367C5EB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5C3A5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2369F93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94BC4C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02BA872F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2002" w14:textId="5E11A71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601-650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0E75" w14:textId="6645220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Anáhuac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71E6" w14:textId="0536871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México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64C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6F5F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463E3" w14:textId="17E9211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43.4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8B3D0" w14:textId="65A7883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42.3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FCD0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B7FD" w14:textId="6721481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21.5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4BA3" w14:textId="206282A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3111EA48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F6E413" w14:textId="02D6CD2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601-650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E0B6D1" w14:textId="058A341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Antioquia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D2583A" w14:textId="21FDB3D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Colombia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8F93EA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62A791B" w14:textId="1CE9539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36.2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674FFD1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186A3D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47F0FB" w14:textId="1A24770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F4956B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14E13D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359103F6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DAE54A" w14:textId="3E392C5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601-650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58F38" w14:textId="32673C0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Salamanca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6420A0" w14:textId="3D765A5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44665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673F1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6AACB4" w14:textId="2B23A9B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0728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E63F58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18E38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DD22E8" w14:textId="0074A33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27.6</w:t>
            </w:r>
          </w:p>
        </w:tc>
      </w:tr>
      <w:tr w:rsidR="00B460BD" w:rsidRPr="00810B69" w14:paraId="1DB76B86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C5B202" w14:textId="15A6F04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601-650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51BA81" w14:textId="6D5D51A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San Andrés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6C9AF0" w14:textId="5104E7A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Argentina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80CC3F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28454F" w14:textId="79F553A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DF7B8ED" w14:textId="443736C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36.9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37E0BAD" w14:textId="153D2C9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50.3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592D2CC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CADCBF9" w14:textId="66E53EF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20.7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27716EE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0DD94FCE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E32B" w14:textId="03ADE2A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601-650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BCF6" w14:textId="40DCCE6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Santiago de Compostela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F591" w14:textId="71E60B1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B17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EA6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AEBB" w14:textId="3162B69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A22D1" w14:textId="7265405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5F1A" w14:textId="2143955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22.9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449C" w14:textId="76E2B5C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3D82F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02D2ACBE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CD0C85" w14:textId="38C528B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601-650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D7454F" w14:textId="7EB79C7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Sevilla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8ADFBC" w14:textId="64FB677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7B608B0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781629" w14:textId="1BBD040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33.6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F71502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EDE011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B9CD0F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5FC8CF9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4B8DBBD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3A559385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8345" w14:textId="3D50DC3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601-650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A8A6" w14:textId="301159C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Iberoamericana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C7EB" w14:textId="286EB25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México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D4429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C9ECD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50A5F" w14:textId="39BC7EE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A791" w14:textId="401CEED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4357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1608" w14:textId="1F0FE6F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F7F0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7A533EC1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483874C" w14:textId="0F5D792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651-700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092D49" w14:textId="0FFE869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Instituto Politécnico Nacional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B1B066F" w14:textId="327E477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México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D2C40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EB6A019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28C655" w14:textId="3189712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44.6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4D9069" w14:textId="00C7EBB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25.2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CA9C46A" w14:textId="34A5CD6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E10027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CFDCB8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61ABFBCC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FC02" w14:textId="10A9DA6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651-700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6FFE" w14:textId="5F2CEAA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Instituto Tecnológico Autónomo de México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4431B" w14:textId="5933CFD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México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F48DD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090B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6E521" w14:textId="33B95D4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50.6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FFAC" w14:textId="12B0C2B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5DC7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4B2C" w14:textId="693CFF8E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55.1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7B372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295AB8F4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0DCD57" w14:textId="6424C75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651-700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E7A3B8" w14:textId="7200763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Adolfo Ibáñez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A807ED1" w14:textId="16C4613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Chile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E8E01E1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EAC211" w14:textId="70021C0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240241" w14:textId="06D171A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77700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A116C0D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6AE857" w14:textId="2C01561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41.2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5604599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7F783B4A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B1F8" w14:textId="4A500B4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651-700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2F3A" w14:textId="7BCD0CE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Católica Andrés Bello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7B99" w14:textId="0475455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Venezuela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408D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11BE3" w14:textId="21F2472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28.8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7DC49" w14:textId="66A0FC4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61.1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AAA13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B4E4E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D10A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4A2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4C0409FB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6B9E1C9" w14:textId="48FC4BA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651-700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877B85" w14:textId="24AD8AB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Católica Portuguesa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29A7E0C" w14:textId="3D17852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Portugal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BE27F4E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B3AB139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ADA209" w14:textId="4A5B8341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54.9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2E144D" w14:textId="001DD8E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CDB06E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0F6395C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03709E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5EAD5CAA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1563" w14:textId="33C731E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651-700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BEF2" w14:textId="7BD223D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Central de Venezuela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1ECE" w14:textId="47B6B0E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Venezuela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BD52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2CF9F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08FE" w14:textId="46AE2D4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33.1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9A00F" w14:textId="2636DC5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4A99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09FD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767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0064770A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540092" w14:textId="230B7A3F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651-700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C8D0C2" w14:textId="0A5D95FC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 Concepción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1FD64A4" w14:textId="434FA8E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Chile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10AA9F8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27400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9CFF11C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9618B39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E26F18F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0DCB80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44AB17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2CB1" w:rsidRPr="00810B69" w14:paraId="0BE8AFD8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6A579A" w14:textId="620EB2C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651-700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F7946" w14:textId="68EC68FB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del Miño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C5376" w14:textId="5084615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Portugal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AB85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6E158F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3DB469" w14:textId="09793B1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3F1975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C05F84" w14:textId="01971FA0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41.9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1D25C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3EAFBC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4799DB26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8AE9E59" w14:textId="1DA4E88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651-700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DB4F7" w14:textId="5A78A396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del País Vasco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1452A7" w14:textId="6128871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España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B3B239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7C92194" w14:textId="655F9C7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A1A01B0" w14:textId="0A9A87F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2BF6507" w14:textId="6AD3A4E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45.3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9377D7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6932B8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DCB9EDA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2CB1" w:rsidRPr="00810B69" w14:paraId="599D7530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79255B" w14:textId="5469C4B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651-700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B0B1E" w14:textId="78ACDDD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Federal de Sao Carlos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066FDD" w14:textId="1AC6C1B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Brasil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FE55B0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2A2A10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9C7B96" w14:textId="1559FE89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3DDFD2" w14:textId="56027035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43.7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C022DA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05DB70" w14:textId="4826D8DA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C03427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0250E6AE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A5950C" w14:textId="36977C3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lastRenderedPageBreak/>
              <w:t>651-700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53A255" w14:textId="6C85377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 Torcuato Di Tella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8780D4" w14:textId="4DAD1F1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Argentina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B6618B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6CED3D6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7A18AC9" w14:textId="058E161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42.2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563D40" w14:textId="36F313D4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26.7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678A03B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A7EB6D" w14:textId="45CB556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0FF6EF8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460BD" w:rsidRPr="00810B69" w14:paraId="5FA05716" w14:textId="77777777" w:rsidTr="00B42CB1">
        <w:trPr>
          <w:gridAfter w:val="1"/>
          <w:wAfter w:w="12" w:type="dxa"/>
          <w:trHeight w:val="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E58BB" w14:textId="264C75D2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651-700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EEEA0" w14:textId="5E50CFE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Universidade de Brasilia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65683D" w14:textId="5D44D038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Brasil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5CA628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5F16A4" w14:textId="33F4E57D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sz w:val="16"/>
                <w:szCs w:val="16"/>
              </w:rPr>
              <w:t>28.5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F43757" w14:textId="461692A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FBF36C" w14:textId="7D9B3393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B668E0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E22FC4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4F5C9A" w14:textId="77777777" w:rsidR="00B460BD" w:rsidRPr="00810B69" w:rsidRDefault="00B460BD" w:rsidP="00B460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9066FE" w:rsidRPr="00810B69" w14:paraId="22639021" w14:textId="77777777" w:rsidTr="00B42CB1">
        <w:trPr>
          <w:trHeight w:val="264"/>
          <w:jc w:val="center"/>
        </w:trPr>
        <w:tc>
          <w:tcPr>
            <w:tcW w:w="1140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3D276" w14:textId="65E35744" w:rsidR="009066FE" w:rsidRPr="00810B69" w:rsidRDefault="00B460BD" w:rsidP="00B460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0B6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>Fuente:</w:t>
            </w:r>
            <w:r w:rsidRPr="00810B6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Elaboración propia con datos publicados del QS ranking mundial de universidades, 2011-2017.</w:t>
            </w:r>
          </w:p>
          <w:p w14:paraId="0E27A7F8" w14:textId="533D230E" w:rsidR="00B460BD" w:rsidRPr="00810B69" w:rsidRDefault="00B460BD" w:rsidP="00B460B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810B6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 xml:space="preserve">Nota: </w:t>
            </w:r>
            <w:r w:rsidRPr="00810B6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Ordenado conforme a la posición obtenida en 2017 y el nombre de la institución.</w:t>
            </w:r>
          </w:p>
        </w:tc>
      </w:tr>
    </w:tbl>
    <w:p w14:paraId="4ABCE030" w14:textId="77777777" w:rsidR="00CF5D11" w:rsidRPr="00810B69" w:rsidRDefault="00CF5D11" w:rsidP="00CF5D11">
      <w:pPr>
        <w:pStyle w:val="Prrafodelista"/>
        <w:jc w:val="both"/>
        <w:rPr>
          <w:b/>
          <w:sz w:val="24"/>
        </w:rPr>
      </w:pPr>
    </w:p>
    <w:p w14:paraId="11BE407E" w14:textId="369A89AC" w:rsidR="00CF5D11" w:rsidRPr="00810B69" w:rsidRDefault="00CF5D11" w:rsidP="00CF5D11">
      <w:pPr>
        <w:pStyle w:val="Prrafodelista"/>
        <w:jc w:val="both"/>
        <w:rPr>
          <w:b/>
          <w:sz w:val="24"/>
        </w:rPr>
      </w:pPr>
      <w:r w:rsidRPr="00810B69">
        <w:rPr>
          <w:b/>
          <w:sz w:val="24"/>
        </w:rPr>
        <w:t>Universidades Mexicanas</w:t>
      </w:r>
    </w:p>
    <w:p w14:paraId="244DD6A7" w14:textId="702682F0" w:rsidR="00CF5D11" w:rsidRPr="00810B69" w:rsidRDefault="00FC5858" w:rsidP="00CF5D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10B69">
        <w:rPr>
          <w:sz w:val="24"/>
        </w:rPr>
        <w:t>Fueron clasificadas 14</w:t>
      </w:r>
      <w:r w:rsidR="003F525C" w:rsidRPr="00810B69">
        <w:rPr>
          <w:sz w:val="24"/>
        </w:rPr>
        <w:t xml:space="preserve"> </w:t>
      </w:r>
      <w:r w:rsidRPr="00810B69">
        <w:rPr>
          <w:sz w:val="24"/>
        </w:rPr>
        <w:t xml:space="preserve">universidades mexicanas </w:t>
      </w:r>
      <w:r w:rsidR="00CF5D11" w:rsidRPr="00810B69">
        <w:rPr>
          <w:sz w:val="24"/>
        </w:rPr>
        <w:t xml:space="preserve">en </w:t>
      </w:r>
      <w:r w:rsidRPr="00810B69">
        <w:rPr>
          <w:sz w:val="24"/>
        </w:rPr>
        <w:t xml:space="preserve">esta edición del </w:t>
      </w:r>
      <w:r w:rsidR="001D0B61">
        <w:rPr>
          <w:sz w:val="24"/>
        </w:rPr>
        <w:t xml:space="preserve">QS </w:t>
      </w:r>
      <w:r w:rsidRPr="00810B69">
        <w:rPr>
          <w:sz w:val="24"/>
        </w:rPr>
        <w:t xml:space="preserve">ranking mundial, sin embargo únicamente 6 instituciones se ubicaron dentro de </w:t>
      </w:r>
      <w:r w:rsidR="00CF5D11" w:rsidRPr="00810B69">
        <w:rPr>
          <w:sz w:val="24"/>
        </w:rPr>
        <w:t xml:space="preserve">los primeros </w:t>
      </w:r>
      <w:r w:rsidR="003F525C" w:rsidRPr="00810B69">
        <w:rPr>
          <w:sz w:val="24"/>
        </w:rPr>
        <w:t>7</w:t>
      </w:r>
      <w:r w:rsidR="00CF5D11" w:rsidRPr="00810B69">
        <w:rPr>
          <w:sz w:val="24"/>
        </w:rPr>
        <w:t xml:space="preserve">00 lugares: </w:t>
      </w:r>
      <w:r w:rsidR="0085352B" w:rsidRPr="00810B69">
        <w:rPr>
          <w:sz w:val="24"/>
        </w:rPr>
        <w:t>La Universidad Nacional Autónoma de México en el lugar 122, el Instituto Tecnológico y de Estudios Superiores de Monterrey en el 199, la Universidad Iberoamericana y la Universidad Anáhuac en el rango 601-650, y finalmente el Instituto Tecnológico Autónomo de México y el Instituto Politécnico Nacional en el rango 651-700.</w:t>
      </w:r>
    </w:p>
    <w:p w14:paraId="5E84DA4B" w14:textId="23526EFA" w:rsidR="00F30D00" w:rsidRPr="00810B69" w:rsidRDefault="00F30D00" w:rsidP="00F30D00">
      <w:pPr>
        <w:pStyle w:val="Prrafodelista"/>
        <w:spacing w:after="0" w:line="240" w:lineRule="auto"/>
        <w:jc w:val="both"/>
        <w:rPr>
          <w:sz w:val="24"/>
        </w:rPr>
      </w:pPr>
    </w:p>
    <w:p w14:paraId="29B75321" w14:textId="1D71A118" w:rsidR="00F30D00" w:rsidRPr="00810B69" w:rsidRDefault="003805B5" w:rsidP="00CF5D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10B69">
        <w:rPr>
          <w:sz w:val="24"/>
        </w:rPr>
        <w:t xml:space="preserve">Llama la atención que tanto las universidades públicas como privadas fueron </w:t>
      </w:r>
      <w:r w:rsidR="001D0B61">
        <w:rPr>
          <w:sz w:val="24"/>
        </w:rPr>
        <w:t xml:space="preserve">clasificadas </w:t>
      </w:r>
      <w:r w:rsidRPr="00810B69">
        <w:rPr>
          <w:sz w:val="24"/>
        </w:rPr>
        <w:t>por 7</w:t>
      </w:r>
      <w:r w:rsidR="003549CE" w:rsidRPr="00810B69">
        <w:rPr>
          <w:sz w:val="24"/>
        </w:rPr>
        <w:t xml:space="preserve"> universidades</w:t>
      </w:r>
      <w:r w:rsidR="00F30D00" w:rsidRPr="00810B69">
        <w:rPr>
          <w:sz w:val="24"/>
        </w:rPr>
        <w:t xml:space="preserve"> </w:t>
      </w:r>
      <w:r w:rsidR="003549CE" w:rsidRPr="00810B69">
        <w:rPr>
          <w:sz w:val="24"/>
        </w:rPr>
        <w:t>cada una</w:t>
      </w:r>
      <w:r w:rsidR="00F30D00" w:rsidRPr="00810B69">
        <w:rPr>
          <w:sz w:val="24"/>
        </w:rPr>
        <w:t>.</w:t>
      </w:r>
    </w:p>
    <w:p w14:paraId="1A44C1FD" w14:textId="77777777" w:rsidR="003549CE" w:rsidRPr="00810B69" w:rsidRDefault="003549CE" w:rsidP="003549CE">
      <w:pPr>
        <w:pStyle w:val="Prrafodelista"/>
        <w:spacing w:after="0"/>
        <w:rPr>
          <w:sz w:val="24"/>
        </w:rPr>
      </w:pPr>
    </w:p>
    <w:tbl>
      <w:tblPr>
        <w:tblW w:w="59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</w:tblGrid>
      <w:tr w:rsidR="00FC5858" w:rsidRPr="00810B69" w14:paraId="65950A3E" w14:textId="77777777" w:rsidTr="00FC5858">
        <w:trPr>
          <w:trHeight w:val="242"/>
          <w:jc w:val="center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63B149" w14:textId="37831FB4" w:rsidR="00FC5858" w:rsidRPr="00810B69" w:rsidRDefault="00FC5858" w:rsidP="00FC5858">
            <w:pPr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810B69">
              <w:rPr>
                <w:b/>
                <w:sz w:val="20"/>
                <w:szCs w:val="18"/>
              </w:rPr>
              <w:t>Tabla 3. Universidades mexicanas clasificadas en el QS ranking mundial de universidades, 2017.</w:t>
            </w:r>
          </w:p>
        </w:tc>
      </w:tr>
      <w:tr w:rsidR="00FC5858" w:rsidRPr="00810B69" w14:paraId="1BFFBCEA" w14:textId="77777777" w:rsidTr="00FC5858">
        <w:trPr>
          <w:trHeight w:val="439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21B6ECBA" w14:textId="77777777" w:rsidR="00FC5858" w:rsidRPr="00810B69" w:rsidRDefault="00FC5858" w:rsidP="0038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6"/>
                <w:szCs w:val="16"/>
                <w:lang w:eastAsia="es-MX"/>
              </w:rPr>
            </w:pPr>
            <w:r w:rsidRPr="00810B69">
              <w:rPr>
                <w:rFonts w:ascii="Calibri" w:eastAsia="Times New Roman" w:hAnsi="Calibri" w:cs="Times New Roman"/>
                <w:b/>
                <w:color w:val="050505"/>
                <w:sz w:val="16"/>
                <w:szCs w:val="16"/>
                <w:lang w:eastAsia="es-MX"/>
              </w:rPr>
              <w:t>Universidad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01A46D3F" w14:textId="77777777" w:rsidR="00FC5858" w:rsidRPr="00810B69" w:rsidRDefault="00FC5858" w:rsidP="003805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50505"/>
                <w:sz w:val="16"/>
                <w:szCs w:val="16"/>
                <w:lang w:eastAsia="es-MX"/>
              </w:rPr>
            </w:pPr>
            <w:r w:rsidRPr="00810B69">
              <w:rPr>
                <w:rFonts w:ascii="Calibri" w:eastAsia="Times New Roman" w:hAnsi="Calibri" w:cs="Times New Roman"/>
                <w:b/>
                <w:color w:val="050505"/>
                <w:sz w:val="16"/>
                <w:szCs w:val="16"/>
                <w:lang w:eastAsia="es-MX"/>
              </w:rPr>
              <w:t>Posición</w:t>
            </w:r>
          </w:p>
        </w:tc>
      </w:tr>
      <w:tr w:rsidR="00FC5858" w:rsidRPr="00810B69" w14:paraId="0BB2F164" w14:textId="77777777" w:rsidTr="00FC585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F2B3C" w14:textId="562422CD" w:rsidR="00FC5858" w:rsidRPr="00810B69" w:rsidRDefault="00FC5858" w:rsidP="00FC585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Universidad Nacional Autónoma de México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A740E" w14:textId="1F6D8699" w:rsidR="00FC5858" w:rsidRPr="00810B69" w:rsidRDefault="00FC5858" w:rsidP="00FC5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</w:tr>
      <w:tr w:rsidR="00FC5858" w:rsidRPr="00810B69" w14:paraId="0793E0A6" w14:textId="77777777" w:rsidTr="00FC585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AE3348F" w14:textId="46FD5FA7" w:rsidR="00FC5858" w:rsidRPr="00810B69" w:rsidRDefault="00FC5858" w:rsidP="00FC585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y de Estudios Superiores de Monterrey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644ABC" w14:textId="4274D813" w:rsidR="00FC5858" w:rsidRPr="00810B69" w:rsidRDefault="00FC5858" w:rsidP="00FC5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199</w:t>
            </w:r>
          </w:p>
        </w:tc>
      </w:tr>
      <w:tr w:rsidR="00FC5858" w:rsidRPr="00810B69" w14:paraId="3875C802" w14:textId="77777777" w:rsidTr="00FC585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DE552" w14:textId="44BCEEDF" w:rsidR="00FC5858" w:rsidRPr="00810B69" w:rsidRDefault="00FC5858" w:rsidP="00FC585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Universidad Anáhuac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4A4A" w14:textId="5B5B1039" w:rsidR="00FC5858" w:rsidRPr="00810B69" w:rsidRDefault="00FC5858" w:rsidP="00FC5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601-650</w:t>
            </w:r>
          </w:p>
        </w:tc>
      </w:tr>
      <w:tr w:rsidR="00FC5858" w:rsidRPr="00810B69" w14:paraId="7FF51437" w14:textId="77777777" w:rsidTr="00FC585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86C760" w14:textId="73561FA4" w:rsidR="00FC5858" w:rsidRPr="00810B69" w:rsidRDefault="00FC5858" w:rsidP="00FC585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Universidad Iberoamericana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29B6EC3" w14:textId="228F589F" w:rsidR="00FC5858" w:rsidRPr="00810B69" w:rsidRDefault="00FC5858" w:rsidP="00FC5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601-650</w:t>
            </w:r>
          </w:p>
        </w:tc>
      </w:tr>
      <w:tr w:rsidR="00FC5858" w:rsidRPr="00810B69" w14:paraId="1010964E" w14:textId="77777777" w:rsidTr="00FC585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78F7" w14:textId="3B271B5D" w:rsidR="00FC5858" w:rsidRPr="00810B69" w:rsidRDefault="00FC5858" w:rsidP="00FC585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Instituto Politécnico Nacional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E86A7" w14:textId="4F668160" w:rsidR="00FC5858" w:rsidRPr="00810B69" w:rsidRDefault="00FC5858" w:rsidP="00FC5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651-700</w:t>
            </w:r>
          </w:p>
        </w:tc>
      </w:tr>
      <w:tr w:rsidR="00FC5858" w:rsidRPr="00810B69" w14:paraId="6842931E" w14:textId="77777777" w:rsidTr="00FC585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62D585" w14:textId="747BF7FC" w:rsidR="00FC5858" w:rsidRPr="00810B69" w:rsidRDefault="00FC5858" w:rsidP="00FC585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Instituto Tecnológico Autónomo de México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A64F71" w14:textId="75A4EB53" w:rsidR="00FC5858" w:rsidRPr="00810B69" w:rsidRDefault="00FC5858" w:rsidP="00FC5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651-700</w:t>
            </w:r>
          </w:p>
        </w:tc>
      </w:tr>
      <w:tr w:rsidR="00FC5858" w:rsidRPr="00810B69" w14:paraId="1B98E5EA" w14:textId="77777777" w:rsidTr="00FC585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C368" w14:textId="752F23E3" w:rsidR="00FC5858" w:rsidRPr="00810B69" w:rsidRDefault="00FC5858" w:rsidP="00FC585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Metropolitana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F60FF" w14:textId="19A5E765" w:rsidR="00FC5858" w:rsidRPr="00810B69" w:rsidRDefault="00FC5858" w:rsidP="00FC5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751-800</w:t>
            </w:r>
          </w:p>
        </w:tc>
      </w:tr>
      <w:tr w:rsidR="00FC5858" w:rsidRPr="00810B69" w14:paraId="778F1164" w14:textId="77777777" w:rsidTr="00FC585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B8FC3A" w14:textId="103CA3B7" w:rsidR="00FC5858" w:rsidRPr="00810B69" w:rsidRDefault="00FC5858" w:rsidP="00FC585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Benemérita Universidad Autónoma de Puebla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AB11C13" w14:textId="0FBED641" w:rsidR="00FC5858" w:rsidRPr="00810B69" w:rsidRDefault="00FC5858" w:rsidP="00FC5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801-1000</w:t>
            </w:r>
          </w:p>
        </w:tc>
      </w:tr>
      <w:tr w:rsidR="00FC5858" w:rsidRPr="00810B69" w14:paraId="6C631824" w14:textId="77777777" w:rsidTr="00FC585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B1959" w14:textId="33CE2BA4" w:rsidR="00FC5858" w:rsidRPr="00810B69" w:rsidRDefault="00FC5858" w:rsidP="00FC585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de Nuevo León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3416" w14:textId="79CF1127" w:rsidR="00FC5858" w:rsidRPr="00810B69" w:rsidRDefault="00FC5858" w:rsidP="00FC5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801-1000</w:t>
            </w:r>
          </w:p>
        </w:tc>
      </w:tr>
      <w:tr w:rsidR="00FC5858" w:rsidRPr="00810B69" w14:paraId="604C8B5C" w14:textId="77777777" w:rsidTr="00FC585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A2095A" w14:textId="76273BD7" w:rsidR="00FC5858" w:rsidRPr="00810B69" w:rsidRDefault="00FC5858" w:rsidP="00FC585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Universidad Autónoma del Estado de México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4D874E" w14:textId="75AD1F55" w:rsidR="00FC5858" w:rsidRPr="00810B69" w:rsidRDefault="00FC5858" w:rsidP="00FC5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801-1000</w:t>
            </w:r>
          </w:p>
        </w:tc>
      </w:tr>
      <w:tr w:rsidR="00FC5858" w:rsidRPr="00810B69" w14:paraId="6C414310" w14:textId="77777777" w:rsidTr="00FC585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21F5" w14:textId="684C411F" w:rsidR="00FC5858" w:rsidRPr="00810B69" w:rsidRDefault="00FC5858" w:rsidP="00FC585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Universidad de Guadalajara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B688" w14:textId="6C457221" w:rsidR="00FC5858" w:rsidRPr="00810B69" w:rsidRDefault="00FC5858" w:rsidP="00FC5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801-1000</w:t>
            </w:r>
          </w:p>
        </w:tc>
      </w:tr>
      <w:tr w:rsidR="00FC5858" w:rsidRPr="00810B69" w14:paraId="33E3358E" w14:textId="77777777" w:rsidTr="00FC585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B6BDD7" w14:textId="1A8D49A0" w:rsidR="00FC5858" w:rsidRPr="00810B69" w:rsidRDefault="00FC5858" w:rsidP="00FC585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Universidad de las Américas Puebla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9DB2DA" w14:textId="31379DAB" w:rsidR="00FC5858" w:rsidRPr="00810B69" w:rsidRDefault="00FC5858" w:rsidP="00FC5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801-1000</w:t>
            </w:r>
          </w:p>
        </w:tc>
      </w:tr>
      <w:tr w:rsidR="00FC5858" w:rsidRPr="00810B69" w14:paraId="25B6706B" w14:textId="77777777" w:rsidTr="00FC5858">
        <w:trPr>
          <w:trHeight w:val="25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52B1" w14:textId="12C199A9" w:rsidR="00FC5858" w:rsidRPr="00810B69" w:rsidRDefault="00FC5858" w:rsidP="00FC585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Universidad de Monterrey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1C6E" w14:textId="06D96952" w:rsidR="00FC5858" w:rsidRPr="00810B69" w:rsidRDefault="00FC5858" w:rsidP="00FC5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801-1000</w:t>
            </w:r>
          </w:p>
        </w:tc>
      </w:tr>
      <w:tr w:rsidR="00FC5858" w:rsidRPr="00810B69" w14:paraId="42F43D90" w14:textId="77777777" w:rsidTr="00FC5858">
        <w:trPr>
          <w:trHeight w:val="250"/>
          <w:jc w:val="center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3038525" w14:textId="70F2F480" w:rsidR="00FC5858" w:rsidRPr="00810B69" w:rsidRDefault="00FC5858" w:rsidP="00FC585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Universidad Panamericana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17D933" w14:textId="2420F04B" w:rsidR="00FC5858" w:rsidRPr="00810B69" w:rsidRDefault="00FC5858" w:rsidP="00FC5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801-1000</w:t>
            </w:r>
          </w:p>
        </w:tc>
      </w:tr>
      <w:tr w:rsidR="00FC5858" w:rsidRPr="00810B69" w14:paraId="722846DE" w14:textId="77777777" w:rsidTr="00FC5858">
        <w:trPr>
          <w:trHeight w:val="264"/>
          <w:jc w:val="center"/>
        </w:trPr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D4933E" w14:textId="464BD2D0" w:rsidR="00FC5858" w:rsidRPr="00810B69" w:rsidRDefault="00FC5858" w:rsidP="00380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810B6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>Fuente:</w:t>
            </w:r>
            <w:r w:rsidRPr="00810B6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Elaboración propia con datos publicados del QS ranking mundial de universidades, 2017.</w:t>
            </w:r>
          </w:p>
          <w:p w14:paraId="26219A46" w14:textId="77777777" w:rsidR="00FC5858" w:rsidRPr="00810B69" w:rsidRDefault="00FC5858" w:rsidP="003805B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810B6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 xml:space="preserve">Nota: </w:t>
            </w:r>
            <w:r w:rsidRPr="00810B6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Ordenado conforme a la posición obtenida en 2017 y el nombre de la institución.</w:t>
            </w:r>
          </w:p>
        </w:tc>
      </w:tr>
    </w:tbl>
    <w:p w14:paraId="23D40756" w14:textId="77777777" w:rsidR="00CF5D11" w:rsidRPr="00810B69" w:rsidRDefault="00CF5D11" w:rsidP="006B3FF3">
      <w:pPr>
        <w:pStyle w:val="Prrafodelista"/>
        <w:jc w:val="both"/>
        <w:rPr>
          <w:b/>
          <w:sz w:val="24"/>
        </w:rPr>
      </w:pPr>
    </w:p>
    <w:p w14:paraId="239B3F51" w14:textId="318414D9" w:rsidR="00F6783A" w:rsidRPr="00810B69" w:rsidRDefault="006B3FF3" w:rsidP="006B3FF3">
      <w:pPr>
        <w:pStyle w:val="Prrafodelista"/>
        <w:jc w:val="both"/>
        <w:rPr>
          <w:b/>
          <w:sz w:val="24"/>
        </w:rPr>
      </w:pPr>
      <w:r w:rsidRPr="00810B69">
        <w:rPr>
          <w:b/>
          <w:sz w:val="24"/>
        </w:rPr>
        <w:t>C</w:t>
      </w:r>
      <w:r w:rsidR="00F6783A" w:rsidRPr="00810B69">
        <w:rPr>
          <w:b/>
          <w:sz w:val="24"/>
        </w:rPr>
        <w:t xml:space="preserve">omportamiento de la UNAM en el periodo 2011 </w:t>
      </w:r>
      <w:r w:rsidR="00250246" w:rsidRPr="00810B69">
        <w:rPr>
          <w:b/>
          <w:sz w:val="24"/>
        </w:rPr>
        <w:t xml:space="preserve">- </w:t>
      </w:r>
      <w:r w:rsidR="00062B9F" w:rsidRPr="00810B69">
        <w:rPr>
          <w:b/>
          <w:sz w:val="24"/>
        </w:rPr>
        <w:t>2017</w:t>
      </w:r>
      <w:r w:rsidR="00F6783A" w:rsidRPr="00810B69">
        <w:rPr>
          <w:b/>
          <w:sz w:val="24"/>
        </w:rPr>
        <w:t>.</w:t>
      </w:r>
    </w:p>
    <w:p w14:paraId="15D8D1BB" w14:textId="3AE91E61" w:rsidR="00F6783A" w:rsidRPr="00810B69" w:rsidRDefault="00F6783A" w:rsidP="007A309D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810B69">
        <w:rPr>
          <w:sz w:val="24"/>
        </w:rPr>
        <w:t xml:space="preserve">La UNAM </w:t>
      </w:r>
      <w:r w:rsidR="00F23B8F" w:rsidRPr="00810B69">
        <w:rPr>
          <w:sz w:val="24"/>
        </w:rPr>
        <w:t>pasó</w:t>
      </w:r>
      <w:r w:rsidRPr="00810B69">
        <w:rPr>
          <w:sz w:val="24"/>
        </w:rPr>
        <w:t xml:space="preserve"> del lugar </w:t>
      </w:r>
      <w:r w:rsidR="00945346" w:rsidRPr="00810B69">
        <w:rPr>
          <w:sz w:val="24"/>
        </w:rPr>
        <w:t>128</w:t>
      </w:r>
      <w:r w:rsidR="008866FB" w:rsidRPr="00810B69">
        <w:rPr>
          <w:sz w:val="24"/>
        </w:rPr>
        <w:t xml:space="preserve"> en 2016 al 122 e</w:t>
      </w:r>
      <w:r w:rsidR="00F23B8F" w:rsidRPr="00810B69">
        <w:rPr>
          <w:sz w:val="24"/>
        </w:rPr>
        <w:t xml:space="preserve">n 2017. </w:t>
      </w:r>
      <w:r w:rsidR="005C66F9" w:rsidRPr="00810B69">
        <w:rPr>
          <w:sz w:val="24"/>
        </w:rPr>
        <w:t xml:space="preserve">Considerando </w:t>
      </w:r>
      <w:r w:rsidR="00F23B8F" w:rsidRPr="00810B69">
        <w:rPr>
          <w:sz w:val="24"/>
        </w:rPr>
        <w:t>los últimos 5</w:t>
      </w:r>
      <w:r w:rsidR="008866FB" w:rsidRPr="00810B69">
        <w:rPr>
          <w:sz w:val="24"/>
        </w:rPr>
        <w:t xml:space="preserve"> años en el ranking se ha avanzado </w:t>
      </w:r>
      <w:r w:rsidR="00F23B8F" w:rsidRPr="00810B69">
        <w:rPr>
          <w:sz w:val="24"/>
        </w:rPr>
        <w:t xml:space="preserve">41 </w:t>
      </w:r>
      <w:r w:rsidRPr="00810B69">
        <w:rPr>
          <w:sz w:val="24"/>
        </w:rPr>
        <w:t>posiciones</w:t>
      </w:r>
      <w:r w:rsidR="00945346" w:rsidRPr="00810B69">
        <w:rPr>
          <w:sz w:val="24"/>
        </w:rPr>
        <w:t>;</w:t>
      </w:r>
      <w:r w:rsidRPr="00810B69">
        <w:rPr>
          <w:sz w:val="24"/>
        </w:rPr>
        <w:t xml:space="preserve"> </w:t>
      </w:r>
    </w:p>
    <w:p w14:paraId="7CA2D088" w14:textId="0EC1AED2" w:rsidR="0025102A" w:rsidRPr="00810B69" w:rsidRDefault="0025102A" w:rsidP="007A309D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810B69">
        <w:rPr>
          <w:sz w:val="24"/>
        </w:rPr>
        <w:t xml:space="preserve">En el puntaje general </w:t>
      </w:r>
      <w:r w:rsidR="00667AE4" w:rsidRPr="00810B69">
        <w:rPr>
          <w:sz w:val="24"/>
        </w:rPr>
        <w:t xml:space="preserve">se obtuvieron </w:t>
      </w:r>
      <w:r w:rsidRPr="00810B69">
        <w:rPr>
          <w:sz w:val="24"/>
        </w:rPr>
        <w:t>5</w:t>
      </w:r>
      <w:r w:rsidR="005C66F9" w:rsidRPr="00810B69">
        <w:rPr>
          <w:sz w:val="24"/>
        </w:rPr>
        <w:t>9</w:t>
      </w:r>
      <w:r w:rsidRPr="00810B69">
        <w:rPr>
          <w:sz w:val="24"/>
        </w:rPr>
        <w:t xml:space="preserve"> </w:t>
      </w:r>
      <w:r w:rsidR="00667AE4" w:rsidRPr="00810B69">
        <w:rPr>
          <w:sz w:val="24"/>
        </w:rPr>
        <w:t xml:space="preserve">puntos sobre </w:t>
      </w:r>
      <w:r w:rsidRPr="00810B69">
        <w:rPr>
          <w:sz w:val="24"/>
        </w:rPr>
        <w:t>un total de 100</w:t>
      </w:r>
      <w:r w:rsidR="00133440" w:rsidRPr="00810B69">
        <w:rPr>
          <w:sz w:val="24"/>
        </w:rPr>
        <w:t xml:space="preserve"> posibles</w:t>
      </w:r>
      <w:r w:rsidR="00E97A19" w:rsidRPr="00810B69">
        <w:rPr>
          <w:sz w:val="24"/>
        </w:rPr>
        <w:t>, lo cual representó un incremento de 0.7 puntos respecto al año pasado</w:t>
      </w:r>
      <w:r w:rsidRPr="00810B69">
        <w:rPr>
          <w:sz w:val="24"/>
        </w:rPr>
        <w:t>;</w:t>
      </w:r>
    </w:p>
    <w:p w14:paraId="4A75D98D" w14:textId="2C5EF06A" w:rsidR="0097047B" w:rsidRPr="002D1CCB" w:rsidRDefault="00F22953" w:rsidP="00411016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2D1CCB">
        <w:rPr>
          <w:sz w:val="24"/>
        </w:rPr>
        <w:lastRenderedPageBreak/>
        <w:t xml:space="preserve">Se tuvo un decremento de 2.7 </w:t>
      </w:r>
      <w:r w:rsidR="00847AF9" w:rsidRPr="002D1CCB">
        <w:rPr>
          <w:sz w:val="24"/>
        </w:rPr>
        <w:t xml:space="preserve">puntos </w:t>
      </w:r>
      <w:r w:rsidRPr="002D1CCB">
        <w:rPr>
          <w:sz w:val="24"/>
        </w:rPr>
        <w:t>en el rubro de "reputación según empleadores", 0.2 en las "citas académicas por artículo entre planta académica", 0.7 en la "proporción de académicos extranjeros" y 0.1 en la "proporc</w:t>
      </w:r>
      <w:r w:rsidR="00847AF9" w:rsidRPr="002D1CCB">
        <w:rPr>
          <w:sz w:val="24"/>
        </w:rPr>
        <w:t>ión de estudiantes extranjeros".</w:t>
      </w:r>
    </w:p>
    <w:p w14:paraId="668296AC" w14:textId="2179097C" w:rsidR="00F22953" w:rsidRPr="00810B69" w:rsidRDefault="00F22953" w:rsidP="00F22953">
      <w:pPr>
        <w:pStyle w:val="Prrafodelista"/>
        <w:spacing w:after="0" w:line="240" w:lineRule="auto"/>
        <w:ind w:left="1440"/>
        <w:jc w:val="both"/>
        <w:rPr>
          <w:sz w:val="24"/>
        </w:rPr>
      </w:pPr>
      <w:r w:rsidRPr="00810B69">
        <w:rPr>
          <w:sz w:val="24"/>
        </w:rPr>
        <w:t xml:space="preserve">Para el caso de la reputación según la opinión </w:t>
      </w:r>
      <w:r w:rsidR="0097047B" w:rsidRPr="00810B69">
        <w:rPr>
          <w:sz w:val="24"/>
        </w:rPr>
        <w:t xml:space="preserve">de los empleadores, el ranking realizó un cambio en el método de cálculo del indicador. </w:t>
      </w:r>
      <w:r w:rsidRPr="00810B69">
        <w:rPr>
          <w:sz w:val="24"/>
        </w:rPr>
        <w:t xml:space="preserve">Anteriormente, </w:t>
      </w:r>
      <w:r w:rsidR="0097047B" w:rsidRPr="00810B69">
        <w:rPr>
          <w:sz w:val="24"/>
        </w:rPr>
        <w:t>la encuesta se dividía en 70% respuestas internacionales y 30% respuestas nacionales. Para esta edición</w:t>
      </w:r>
      <w:r w:rsidR="00847AF9">
        <w:rPr>
          <w:sz w:val="24"/>
        </w:rPr>
        <w:t>,</w:t>
      </w:r>
      <w:r w:rsidR="0097047B" w:rsidRPr="00810B69">
        <w:rPr>
          <w:sz w:val="24"/>
        </w:rPr>
        <w:t xml:space="preserve"> se han ponderado las respuestas internacionales y nacionales en 50%, lo cual probablemente ha contribuido a la disminución </w:t>
      </w:r>
      <w:r w:rsidR="00947DCF" w:rsidRPr="00810B69">
        <w:rPr>
          <w:sz w:val="24"/>
        </w:rPr>
        <w:t xml:space="preserve">de la UNAM de 2.7 puntos </w:t>
      </w:r>
      <w:r w:rsidR="00847AF9">
        <w:rPr>
          <w:sz w:val="24"/>
        </w:rPr>
        <w:t>en este indicador;</w:t>
      </w:r>
    </w:p>
    <w:p w14:paraId="4B5B5D23" w14:textId="670B2AE0" w:rsidR="00E75DE8" w:rsidRPr="00810B69" w:rsidRDefault="00676787" w:rsidP="006303B1">
      <w:pPr>
        <w:pStyle w:val="Prrafodelista"/>
        <w:numPr>
          <w:ilvl w:val="1"/>
          <w:numId w:val="11"/>
        </w:numPr>
        <w:spacing w:after="0" w:line="240" w:lineRule="auto"/>
        <w:jc w:val="both"/>
        <w:rPr>
          <w:sz w:val="24"/>
        </w:rPr>
      </w:pPr>
      <w:r w:rsidRPr="00810B69">
        <w:rPr>
          <w:sz w:val="24"/>
        </w:rPr>
        <w:t xml:space="preserve">La UNAM mejoró en 1.3 puntos en el indicador de </w:t>
      </w:r>
      <w:r w:rsidR="00E75DE8" w:rsidRPr="00810B69">
        <w:rPr>
          <w:sz w:val="24"/>
        </w:rPr>
        <w:t>“relación entre estudiantes y profesores”</w:t>
      </w:r>
      <w:r w:rsidR="003B2D5D">
        <w:rPr>
          <w:sz w:val="24"/>
        </w:rPr>
        <w:t xml:space="preserve"> y en 1.5 puntos en </w:t>
      </w:r>
      <w:r w:rsidRPr="00810B69">
        <w:rPr>
          <w:sz w:val="24"/>
        </w:rPr>
        <w:t>“reputación según académicos”.</w:t>
      </w:r>
    </w:p>
    <w:p w14:paraId="1C5420B5" w14:textId="77777777" w:rsidR="003F6DF0" w:rsidRPr="00810B69" w:rsidRDefault="003F6DF0" w:rsidP="007A309D">
      <w:pPr>
        <w:pStyle w:val="Prrafodelista"/>
        <w:spacing w:after="0" w:line="240" w:lineRule="auto"/>
        <w:rPr>
          <w:sz w:val="20"/>
        </w:rPr>
      </w:pPr>
    </w:p>
    <w:tbl>
      <w:tblPr>
        <w:tblW w:w="105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852"/>
        <w:gridCol w:w="852"/>
        <w:gridCol w:w="1278"/>
        <w:gridCol w:w="1278"/>
        <w:gridCol w:w="1279"/>
        <w:gridCol w:w="1453"/>
        <w:gridCol w:w="1209"/>
        <w:gridCol w:w="1177"/>
      </w:tblGrid>
      <w:tr w:rsidR="00945346" w:rsidRPr="00810B69" w14:paraId="56FB97A4" w14:textId="77777777" w:rsidTr="007D5D89">
        <w:trPr>
          <w:trHeight w:val="299"/>
          <w:jc w:val="center"/>
        </w:trPr>
        <w:tc>
          <w:tcPr>
            <w:tcW w:w="10546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89512A" w14:textId="2EADDDD7" w:rsidR="00945346" w:rsidRPr="00810B69" w:rsidRDefault="00945346" w:rsidP="00FC58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810B69">
              <w:rPr>
                <w:b/>
                <w:sz w:val="20"/>
                <w:szCs w:val="18"/>
              </w:rPr>
              <w:t xml:space="preserve">Tabla </w:t>
            </w:r>
            <w:r w:rsidR="00FC5858" w:rsidRPr="00810B69">
              <w:rPr>
                <w:b/>
                <w:sz w:val="20"/>
                <w:szCs w:val="18"/>
              </w:rPr>
              <w:t>3</w:t>
            </w:r>
            <w:r w:rsidRPr="00810B69">
              <w:rPr>
                <w:b/>
                <w:sz w:val="20"/>
                <w:szCs w:val="18"/>
              </w:rPr>
              <w:t xml:space="preserve">. Desempeño de la UNAM en los indicadores del </w:t>
            </w:r>
            <w:r w:rsidR="001A7734" w:rsidRPr="00810B69">
              <w:rPr>
                <w:b/>
                <w:sz w:val="20"/>
                <w:szCs w:val="18"/>
              </w:rPr>
              <w:t>QS ranking mundial de universidades</w:t>
            </w:r>
            <w:r w:rsidRPr="00810B69">
              <w:rPr>
                <w:b/>
                <w:sz w:val="20"/>
                <w:szCs w:val="18"/>
              </w:rPr>
              <w:t>, 2011-201</w:t>
            </w:r>
            <w:r w:rsidR="00062B9F" w:rsidRPr="00810B69">
              <w:rPr>
                <w:b/>
                <w:sz w:val="20"/>
                <w:szCs w:val="18"/>
              </w:rPr>
              <w:t>7</w:t>
            </w:r>
            <w:r w:rsidRPr="00810B69">
              <w:rPr>
                <w:b/>
                <w:sz w:val="20"/>
                <w:szCs w:val="18"/>
              </w:rPr>
              <w:t>.</w:t>
            </w:r>
          </w:p>
        </w:tc>
      </w:tr>
      <w:tr w:rsidR="00945346" w:rsidRPr="00810B69" w14:paraId="24BC8054" w14:textId="77777777" w:rsidTr="007D5D89">
        <w:trPr>
          <w:trHeight w:val="71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CF55130" w14:textId="77777777" w:rsidR="00945346" w:rsidRPr="00810B69" w:rsidRDefault="00945346" w:rsidP="007A3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38536A" w14:textId="77777777" w:rsidR="00945346" w:rsidRPr="00810B69" w:rsidRDefault="00945346" w:rsidP="007A3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b/>
                <w:sz w:val="16"/>
                <w:szCs w:val="16"/>
              </w:rPr>
              <w:t>Posición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E4CD18" w14:textId="07297100" w:rsidR="00945346" w:rsidRPr="00810B69" w:rsidRDefault="00945346" w:rsidP="007A30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0B69">
              <w:rPr>
                <w:b/>
                <w:sz w:val="16"/>
                <w:szCs w:val="16"/>
              </w:rPr>
              <w:t>Puntaje Gral.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9CE569" w14:textId="5BE0C139" w:rsidR="00945346" w:rsidRPr="00810B69" w:rsidRDefault="00945346" w:rsidP="007A30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0B69">
              <w:rPr>
                <w:b/>
                <w:sz w:val="16"/>
                <w:szCs w:val="16"/>
              </w:rPr>
              <w:t>Reputación según académicos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19E93A" w14:textId="586198B3" w:rsidR="00945346" w:rsidRPr="00810B69" w:rsidRDefault="00945346" w:rsidP="007A30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0B69">
              <w:rPr>
                <w:b/>
                <w:sz w:val="16"/>
                <w:szCs w:val="16"/>
              </w:rPr>
              <w:t>Reputación según empleadores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15281D" w14:textId="332BE192" w:rsidR="00945346" w:rsidRPr="00810B69" w:rsidRDefault="00945346" w:rsidP="007A30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0B69">
              <w:rPr>
                <w:b/>
                <w:sz w:val="16"/>
                <w:szCs w:val="16"/>
              </w:rPr>
              <w:t>Relación entre estudiantes y profesores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B0DCC4" w14:textId="35797003" w:rsidR="00945346" w:rsidRPr="00810B69" w:rsidRDefault="00945346" w:rsidP="007A30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0B69">
              <w:rPr>
                <w:b/>
                <w:sz w:val="16"/>
                <w:szCs w:val="16"/>
              </w:rPr>
              <w:t>Citas académicas por artículo entre planta académica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122B56" w14:textId="0ECAF1FE" w:rsidR="00945346" w:rsidRPr="00810B69" w:rsidRDefault="00945346" w:rsidP="007A30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0B69">
              <w:rPr>
                <w:b/>
                <w:sz w:val="16"/>
                <w:szCs w:val="16"/>
              </w:rPr>
              <w:t>Proporción de académicos extranjeros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155DCE" w14:textId="1AB25B04" w:rsidR="00945346" w:rsidRPr="00810B69" w:rsidRDefault="00945346" w:rsidP="007A309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10B69">
              <w:rPr>
                <w:b/>
                <w:sz w:val="16"/>
                <w:szCs w:val="16"/>
              </w:rPr>
              <w:t>Proporción de estudiantes extranjeros</w:t>
            </w:r>
          </w:p>
        </w:tc>
      </w:tr>
      <w:tr w:rsidR="00C74F61" w:rsidRPr="00810B69" w14:paraId="79559FA4" w14:textId="77777777" w:rsidTr="006303B1">
        <w:trPr>
          <w:trHeight w:val="204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7FE5A0" w14:textId="2E1602A9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F991094" w14:textId="1D70C957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1DD582" w14:textId="0AE8CE13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94AA99" w14:textId="20365C9C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61AFA2" w14:textId="608B9EDE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9BC406" w14:textId="675A8E73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52.6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BC02C8" w14:textId="1817CFE2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C37C04" w14:textId="648EDF7A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16.1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0795242" w14:textId="58202502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3.8</w:t>
            </w:r>
          </w:p>
        </w:tc>
      </w:tr>
      <w:tr w:rsidR="00C74F61" w:rsidRPr="00810B69" w14:paraId="49BCA4EF" w14:textId="77777777" w:rsidTr="006303B1">
        <w:trPr>
          <w:trHeight w:val="204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458C" w14:textId="6438A7D3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E626" w14:textId="6C8B2B48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14EC" w14:textId="32085CFF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88C3" w14:textId="05E47596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89.6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A7150" w14:textId="287FB1E4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9E70C" w14:textId="45D84CB9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56.3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1A129" w14:textId="16042755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67A6" w14:textId="38659E5A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4FA0" w14:textId="2D78BE8F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</w:tr>
      <w:tr w:rsidR="00C74F61" w:rsidRPr="00810B69" w14:paraId="02F62D9B" w14:textId="77777777" w:rsidTr="006303B1">
        <w:trPr>
          <w:trHeight w:val="204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5104FAC" w14:textId="0C3341F4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CD5413" w14:textId="2575E47D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1F2789" w14:textId="36CB67C0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57.3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B3C62F4" w14:textId="34581082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ACD640" w14:textId="317E2A50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A42426" w14:textId="502A05CB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44.7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0BA9E8" w14:textId="772D2891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821CE5" w14:textId="1A7A2B21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19.2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9B6172" w14:textId="5BD54C8E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2.7</w:t>
            </w:r>
          </w:p>
        </w:tc>
      </w:tr>
      <w:tr w:rsidR="00C74F61" w:rsidRPr="00810B69" w14:paraId="0618C911" w14:textId="77777777" w:rsidTr="006303B1">
        <w:trPr>
          <w:trHeight w:val="204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048F5" w14:textId="20E6CCF0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BBAF1" w14:textId="5150D580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9B85" w14:textId="251B5FD3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56.9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33C7" w14:textId="2637F0B4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539E0" w14:textId="4B19F511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A2562" w14:textId="3DDB788C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906BB" w14:textId="27AC77DD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FD83" w14:textId="1E7F2D6F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72AA" w14:textId="0FFEAE21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2.9</w:t>
            </w:r>
          </w:p>
        </w:tc>
      </w:tr>
      <w:tr w:rsidR="00C74F61" w:rsidRPr="00810B69" w14:paraId="4E68D560" w14:textId="77777777" w:rsidTr="006303B1">
        <w:trPr>
          <w:trHeight w:val="204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E63477" w14:textId="386AE14F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77A846" w14:textId="77526BD0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7F66C3" w14:textId="2FFEFBC8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59.6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961ECE" w14:textId="640DECD0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628A81F" w14:textId="0542DA82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C65439" w14:textId="70C552C3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399F9EE" w14:textId="5D05031E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15F687" w14:textId="24556E8A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14.7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69F756E" w14:textId="7C7E7966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3.6</w:t>
            </w:r>
          </w:p>
        </w:tc>
      </w:tr>
      <w:tr w:rsidR="00C74F61" w:rsidRPr="00810B69" w14:paraId="357060CE" w14:textId="77777777" w:rsidTr="006303B1">
        <w:trPr>
          <w:trHeight w:val="204"/>
          <w:jc w:val="center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EAA9B" w14:textId="1B043305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B0E8" w14:textId="0B260F20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6A1C1" w14:textId="4E1EFCF7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58.3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2B0D" w14:textId="15DB6E5E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86592" w14:textId="1E25CF70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D4F54" w14:textId="2B93B383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49.6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939AF" w14:textId="5C5A686D" w:rsidR="00C74F61" w:rsidRPr="00810B69" w:rsidRDefault="00C74F61" w:rsidP="00C74F61">
            <w:pPr>
              <w:tabs>
                <w:tab w:val="left" w:pos="494"/>
                <w:tab w:val="center" w:pos="656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6C530" w14:textId="13651483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7C1BF" w14:textId="27D0A32F" w:rsidR="00C74F61" w:rsidRPr="00810B69" w:rsidRDefault="00C74F61" w:rsidP="00C74F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2.7</w:t>
            </w:r>
          </w:p>
        </w:tc>
      </w:tr>
      <w:tr w:rsidR="00C74F61" w:rsidRPr="00810B69" w14:paraId="55E09D8A" w14:textId="77777777" w:rsidTr="006303B1">
        <w:trPr>
          <w:trHeight w:val="204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5613B2" w14:textId="0A110164" w:rsidR="00C74F61" w:rsidRPr="00810B69" w:rsidRDefault="00C74F61" w:rsidP="00C74F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3E82A1" w14:textId="496F1F76" w:rsidR="00C74F61" w:rsidRPr="00810B69" w:rsidRDefault="00C74F61" w:rsidP="00C74F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265B11" w14:textId="4716CC4E" w:rsidR="00C74F61" w:rsidRPr="00810B69" w:rsidRDefault="00C74F61" w:rsidP="00C74F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4806953" w14:textId="50A8AF64" w:rsidR="00C74F61" w:rsidRPr="00810B69" w:rsidRDefault="00C74F61" w:rsidP="00C74F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55804D" w14:textId="725D6E1C" w:rsidR="00C74F61" w:rsidRPr="00810B69" w:rsidRDefault="00C74F61" w:rsidP="00C74F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89.6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27DA12" w14:textId="05561FC3" w:rsidR="00C74F61" w:rsidRPr="00810B69" w:rsidRDefault="00C74F61" w:rsidP="00C74F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10B69">
              <w:rPr>
                <w:rFonts w:ascii="Calibri" w:hAnsi="Calibri" w:cs="Calibri"/>
                <w:color w:val="000000"/>
                <w:sz w:val="16"/>
                <w:szCs w:val="16"/>
              </w:rPr>
              <w:t>50.9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7E5C50C" w14:textId="540D2B6B" w:rsidR="00C74F61" w:rsidRPr="00810B69" w:rsidRDefault="00C74F61" w:rsidP="00C74F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10B69">
              <w:rPr>
                <w:sz w:val="16"/>
                <w:szCs w:val="16"/>
              </w:rPr>
              <w:t>3.8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4C53566" w14:textId="18478ED3" w:rsidR="00C74F61" w:rsidRPr="00810B69" w:rsidRDefault="00C74F61" w:rsidP="00C74F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10B69">
              <w:rPr>
                <w:sz w:val="16"/>
                <w:szCs w:val="16"/>
              </w:rPr>
              <w:t>11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C9E744E" w14:textId="0C3EFE29" w:rsidR="00C74F61" w:rsidRPr="00810B69" w:rsidRDefault="00C74F61" w:rsidP="00C74F6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10B69">
              <w:rPr>
                <w:sz w:val="16"/>
                <w:szCs w:val="16"/>
              </w:rPr>
              <w:t>2.6</w:t>
            </w:r>
          </w:p>
        </w:tc>
      </w:tr>
      <w:tr w:rsidR="009D015F" w:rsidRPr="00810B69" w14:paraId="1E0626C2" w14:textId="77777777" w:rsidTr="00596822">
        <w:trPr>
          <w:trHeight w:val="204"/>
          <w:jc w:val="center"/>
        </w:trPr>
        <w:tc>
          <w:tcPr>
            <w:tcW w:w="10546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14:paraId="6C6FF490" w14:textId="22A75E44" w:rsidR="009D015F" w:rsidRPr="00810B69" w:rsidRDefault="009D015F" w:rsidP="0054331B">
            <w:pPr>
              <w:spacing w:after="0" w:line="240" w:lineRule="auto"/>
              <w:rPr>
                <w:rFonts w:eastAsia="Times New Roman" w:cs="Times New Roman"/>
                <w:sz w:val="18"/>
                <w:szCs w:val="16"/>
                <w:lang w:eastAsia="es-MX"/>
              </w:rPr>
            </w:pPr>
            <w:r w:rsidRPr="00810B6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>Fuente:</w:t>
            </w:r>
            <w:r w:rsidRPr="00810B6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Elaboración propia con datos publicados del QS ranking mundial de universidades, 2011-2017.</w:t>
            </w:r>
          </w:p>
        </w:tc>
      </w:tr>
    </w:tbl>
    <w:p w14:paraId="7204C62A" w14:textId="77777777" w:rsidR="00115A9D" w:rsidRPr="00810B69" w:rsidRDefault="00115A9D" w:rsidP="007A309D">
      <w:pPr>
        <w:pStyle w:val="Prrafodelista"/>
        <w:spacing w:after="0" w:line="240" w:lineRule="auto"/>
        <w:rPr>
          <w:sz w:val="20"/>
        </w:rPr>
      </w:pPr>
    </w:p>
    <w:p w14:paraId="7A7118AE" w14:textId="064EF3DB" w:rsidR="001A7734" w:rsidRPr="00810B69" w:rsidRDefault="002D1CCB" w:rsidP="001A77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La</w:t>
      </w:r>
      <w:r w:rsidR="001A7734" w:rsidRPr="00810B69">
        <w:rPr>
          <w:sz w:val="24"/>
        </w:rPr>
        <w:t xml:space="preserve"> UNAM y el Instituto Tecnológico y de Estudios Superiores de Monterrey (ITESM) son las universidades mexicanas mejor posicionadas en el ranking. </w:t>
      </w:r>
    </w:p>
    <w:p w14:paraId="423B06CE" w14:textId="77777777" w:rsidR="00E47F95" w:rsidRPr="00810B69" w:rsidRDefault="00E47F95" w:rsidP="007A309D">
      <w:pPr>
        <w:pStyle w:val="Prrafodelista"/>
        <w:spacing w:after="0" w:line="240" w:lineRule="auto"/>
        <w:jc w:val="both"/>
        <w:rPr>
          <w:sz w:val="4"/>
        </w:rPr>
      </w:pPr>
    </w:p>
    <w:p w14:paraId="6D80E7A6" w14:textId="5C4E5B58" w:rsidR="00E47F95" w:rsidRPr="00810B69" w:rsidRDefault="001A7734" w:rsidP="007A309D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sz w:val="24"/>
        </w:rPr>
      </w:pPr>
      <w:r w:rsidRPr="00810B69">
        <w:rPr>
          <w:sz w:val="24"/>
        </w:rPr>
        <w:t>La UNAM se ubicó</w:t>
      </w:r>
      <w:r w:rsidR="005C1662" w:rsidRPr="00810B69">
        <w:rPr>
          <w:sz w:val="24"/>
        </w:rPr>
        <w:t xml:space="preserve"> en la posición 12</w:t>
      </w:r>
      <w:r w:rsidRPr="00810B69">
        <w:rPr>
          <w:sz w:val="24"/>
        </w:rPr>
        <w:t>2</w:t>
      </w:r>
      <w:r w:rsidR="005C1662" w:rsidRPr="00810B69">
        <w:rPr>
          <w:sz w:val="24"/>
        </w:rPr>
        <w:t xml:space="preserve"> y el </w:t>
      </w:r>
      <w:r w:rsidR="00E47F95" w:rsidRPr="00810B69">
        <w:rPr>
          <w:sz w:val="24"/>
        </w:rPr>
        <w:t xml:space="preserve">ITESM en la posición </w:t>
      </w:r>
      <w:r w:rsidRPr="00810B69">
        <w:rPr>
          <w:sz w:val="24"/>
        </w:rPr>
        <w:t>199</w:t>
      </w:r>
      <w:r w:rsidR="005C1662" w:rsidRPr="00810B69">
        <w:rPr>
          <w:sz w:val="24"/>
        </w:rPr>
        <w:t>;</w:t>
      </w:r>
    </w:p>
    <w:p w14:paraId="0543AAD8" w14:textId="180135B2" w:rsidR="00E47F95" w:rsidRPr="00810B69" w:rsidRDefault="00436361" w:rsidP="007A309D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sz w:val="24"/>
        </w:rPr>
      </w:pPr>
      <w:r w:rsidRPr="00810B69">
        <w:rPr>
          <w:sz w:val="24"/>
        </w:rPr>
        <w:t xml:space="preserve">La diferencia entre ambas instituciones fue de </w:t>
      </w:r>
      <w:r w:rsidR="001A7734" w:rsidRPr="00810B69">
        <w:rPr>
          <w:sz w:val="24"/>
        </w:rPr>
        <w:t xml:space="preserve">11 en </w:t>
      </w:r>
      <w:r w:rsidR="005C1662" w:rsidRPr="00810B69">
        <w:rPr>
          <w:sz w:val="24"/>
        </w:rPr>
        <w:t>el puntaje general del ranking</w:t>
      </w:r>
      <w:r w:rsidRPr="00810B69">
        <w:rPr>
          <w:sz w:val="24"/>
        </w:rPr>
        <w:t xml:space="preserve">, al haber obtenido la UNAM 59 </w:t>
      </w:r>
      <w:r w:rsidR="006318D8" w:rsidRPr="00810B69">
        <w:rPr>
          <w:sz w:val="24"/>
        </w:rPr>
        <w:t xml:space="preserve">puntos </w:t>
      </w:r>
      <w:r w:rsidRPr="00810B69">
        <w:rPr>
          <w:sz w:val="24"/>
        </w:rPr>
        <w:t xml:space="preserve">y el ITESM 48 </w:t>
      </w:r>
      <w:r w:rsidR="006318D8" w:rsidRPr="00810B69">
        <w:rPr>
          <w:sz w:val="24"/>
        </w:rPr>
        <w:t xml:space="preserve">puntos </w:t>
      </w:r>
      <w:r w:rsidRPr="00810B69">
        <w:rPr>
          <w:sz w:val="24"/>
        </w:rPr>
        <w:t>de un total de 100 posibles</w:t>
      </w:r>
      <w:r w:rsidR="005C1662" w:rsidRPr="00810B69">
        <w:rPr>
          <w:sz w:val="24"/>
        </w:rPr>
        <w:t>;</w:t>
      </w:r>
    </w:p>
    <w:p w14:paraId="4F7F5345" w14:textId="52474BD1" w:rsidR="006318D8" w:rsidRPr="002D1CCB" w:rsidRDefault="006318D8" w:rsidP="00361A6B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sz w:val="24"/>
        </w:rPr>
      </w:pPr>
      <w:r w:rsidRPr="002D1CCB">
        <w:rPr>
          <w:sz w:val="24"/>
        </w:rPr>
        <w:t>La UNAM fue mejor posicionada en los indicadores de “</w:t>
      </w:r>
      <w:r w:rsidR="00436361" w:rsidRPr="002D1CCB">
        <w:rPr>
          <w:sz w:val="24"/>
        </w:rPr>
        <w:t>Reputación según académicos</w:t>
      </w:r>
      <w:r w:rsidRPr="002D1CCB">
        <w:rPr>
          <w:sz w:val="24"/>
        </w:rPr>
        <w:t>”, “</w:t>
      </w:r>
      <w:r w:rsidR="00436361" w:rsidRPr="002D1CCB">
        <w:rPr>
          <w:sz w:val="24"/>
        </w:rPr>
        <w:t>Reputación según empleadores</w:t>
      </w:r>
      <w:r w:rsidRPr="002D1CCB">
        <w:rPr>
          <w:sz w:val="24"/>
        </w:rPr>
        <w:t>” y “</w:t>
      </w:r>
      <w:r w:rsidR="00436361" w:rsidRPr="002D1CCB">
        <w:rPr>
          <w:sz w:val="24"/>
        </w:rPr>
        <w:t>Citas académicas</w:t>
      </w:r>
      <w:r w:rsidRPr="002D1CCB">
        <w:rPr>
          <w:sz w:val="24"/>
        </w:rPr>
        <w:t xml:space="preserve">” aventajando al ITESM en 53, 4.7 y 0.1 puntos respectivamente. </w:t>
      </w:r>
    </w:p>
    <w:p w14:paraId="0FFDC45D" w14:textId="581752E8" w:rsidR="00E47F95" w:rsidRPr="00810B69" w:rsidRDefault="002D1CCB" w:rsidP="006318D8">
      <w:pPr>
        <w:pStyle w:val="Prrafodelista"/>
        <w:spacing w:after="0" w:line="240" w:lineRule="auto"/>
        <w:ind w:left="1440"/>
        <w:jc w:val="both"/>
        <w:rPr>
          <w:sz w:val="24"/>
        </w:rPr>
      </w:pPr>
      <w:r>
        <w:rPr>
          <w:sz w:val="24"/>
        </w:rPr>
        <w:t xml:space="preserve">Es importante considerar que, </w:t>
      </w:r>
      <w:r w:rsidR="006318D8" w:rsidRPr="00810B69">
        <w:rPr>
          <w:sz w:val="24"/>
        </w:rPr>
        <w:t xml:space="preserve">la metodología establecida por el ranking </w:t>
      </w:r>
      <w:r>
        <w:rPr>
          <w:sz w:val="24"/>
        </w:rPr>
        <w:t xml:space="preserve">en </w:t>
      </w:r>
      <w:r w:rsidR="006318D8" w:rsidRPr="00810B69">
        <w:rPr>
          <w:sz w:val="24"/>
        </w:rPr>
        <w:t>estos tres indicadores</w:t>
      </w:r>
      <w:r>
        <w:rPr>
          <w:sz w:val="24"/>
        </w:rPr>
        <w:t>,</w:t>
      </w:r>
      <w:r w:rsidR="006318D8" w:rsidRPr="00810B69">
        <w:rPr>
          <w:sz w:val="24"/>
        </w:rPr>
        <w:t xml:space="preserve"> en los cuales la UNAM superó al ITESM</w:t>
      </w:r>
      <w:r>
        <w:rPr>
          <w:sz w:val="24"/>
        </w:rPr>
        <w:t>,</w:t>
      </w:r>
      <w:r w:rsidR="006318D8" w:rsidRPr="00810B69">
        <w:rPr>
          <w:sz w:val="24"/>
        </w:rPr>
        <w:t xml:space="preserve"> </w:t>
      </w:r>
      <w:r>
        <w:rPr>
          <w:sz w:val="24"/>
        </w:rPr>
        <w:t xml:space="preserve">tienen </w:t>
      </w:r>
      <w:r w:rsidR="006318D8" w:rsidRPr="00810B69">
        <w:rPr>
          <w:sz w:val="24"/>
        </w:rPr>
        <w:t>una ponderación que representa el 70% del ranking</w:t>
      </w:r>
      <w:r w:rsidR="00C34789">
        <w:rPr>
          <w:sz w:val="24"/>
        </w:rPr>
        <w:t>;</w:t>
      </w:r>
      <w:r w:rsidR="00503BA2" w:rsidRPr="00810B69">
        <w:rPr>
          <w:sz w:val="24"/>
        </w:rPr>
        <w:t xml:space="preserve"> </w:t>
      </w:r>
    </w:p>
    <w:p w14:paraId="649D6348" w14:textId="178A57F5" w:rsidR="00AE5856" w:rsidRPr="00810B69" w:rsidRDefault="00C34789" w:rsidP="000502A4">
      <w:pPr>
        <w:pStyle w:val="Prrafodelista"/>
        <w:numPr>
          <w:ilvl w:val="1"/>
          <w:numId w:val="13"/>
        </w:numPr>
        <w:spacing w:after="0" w:line="240" w:lineRule="auto"/>
        <w:jc w:val="both"/>
      </w:pPr>
      <w:r>
        <w:rPr>
          <w:sz w:val="24"/>
        </w:rPr>
        <w:t>Finalmente, la universidad f</w:t>
      </w:r>
      <w:r w:rsidR="00E47F95" w:rsidRPr="00810B69">
        <w:rPr>
          <w:sz w:val="24"/>
        </w:rPr>
        <w:t>ue superada por el ITESM en los rubros de</w:t>
      </w:r>
      <w:r w:rsidR="00503BA2" w:rsidRPr="00810B69">
        <w:rPr>
          <w:sz w:val="24"/>
        </w:rPr>
        <w:t xml:space="preserve"> “</w:t>
      </w:r>
      <w:r w:rsidR="00436361" w:rsidRPr="00810B69">
        <w:rPr>
          <w:sz w:val="24"/>
        </w:rPr>
        <w:t xml:space="preserve">Relación entre estudiantes y profesores”, </w:t>
      </w:r>
      <w:r w:rsidR="00503BA2" w:rsidRPr="00810B69">
        <w:rPr>
          <w:sz w:val="24"/>
        </w:rPr>
        <w:t>“Proporción de académicos extranjeros”,  y “Proporc</w:t>
      </w:r>
      <w:r w:rsidR="00436361" w:rsidRPr="00810B69">
        <w:rPr>
          <w:sz w:val="24"/>
        </w:rPr>
        <w:t>ión de estudiantes extranjeros”.</w:t>
      </w:r>
    </w:p>
    <w:p w14:paraId="29E11815" w14:textId="77777777" w:rsidR="00436361" w:rsidRDefault="00436361" w:rsidP="00436361">
      <w:pPr>
        <w:pStyle w:val="Prrafodelista"/>
        <w:spacing w:after="0" w:line="240" w:lineRule="auto"/>
        <w:ind w:left="1440"/>
        <w:jc w:val="both"/>
      </w:pPr>
    </w:p>
    <w:p w14:paraId="5139E78D" w14:textId="77777777" w:rsidR="002D1CCB" w:rsidRDefault="002D1CCB" w:rsidP="00436361">
      <w:pPr>
        <w:pStyle w:val="Prrafodelista"/>
        <w:spacing w:after="0" w:line="240" w:lineRule="auto"/>
        <w:ind w:left="1440"/>
        <w:jc w:val="both"/>
      </w:pPr>
    </w:p>
    <w:p w14:paraId="3574EC48" w14:textId="77777777" w:rsidR="002D1CCB" w:rsidRDefault="002D1CCB" w:rsidP="00436361">
      <w:pPr>
        <w:pStyle w:val="Prrafodelista"/>
        <w:spacing w:after="0" w:line="240" w:lineRule="auto"/>
        <w:ind w:left="1440"/>
        <w:jc w:val="both"/>
      </w:pPr>
    </w:p>
    <w:p w14:paraId="61995AC0" w14:textId="77777777" w:rsidR="002D1CCB" w:rsidRDefault="002D1CCB" w:rsidP="00436361">
      <w:pPr>
        <w:pStyle w:val="Prrafodelista"/>
        <w:spacing w:after="0" w:line="240" w:lineRule="auto"/>
        <w:ind w:left="1440"/>
        <w:jc w:val="both"/>
      </w:pPr>
    </w:p>
    <w:p w14:paraId="16778101" w14:textId="77777777" w:rsidR="008B6B90" w:rsidRDefault="008B6B90" w:rsidP="00436361">
      <w:pPr>
        <w:pStyle w:val="Prrafodelista"/>
        <w:spacing w:after="0" w:line="240" w:lineRule="auto"/>
        <w:ind w:left="1440"/>
        <w:jc w:val="both"/>
      </w:pPr>
    </w:p>
    <w:p w14:paraId="019CBE69" w14:textId="77777777" w:rsidR="008B6B90" w:rsidRPr="00810B69" w:rsidRDefault="008B6B90" w:rsidP="00436361">
      <w:pPr>
        <w:pStyle w:val="Prrafodelista"/>
        <w:spacing w:after="0" w:line="240" w:lineRule="auto"/>
        <w:ind w:left="1440"/>
        <w:jc w:val="both"/>
      </w:pPr>
    </w:p>
    <w:tbl>
      <w:tblPr>
        <w:tblStyle w:val="Tablaconcuadrcula"/>
        <w:tblW w:w="10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0"/>
      </w:tblGrid>
      <w:tr w:rsidR="009808C3" w:rsidRPr="00810B69" w14:paraId="208BF6AF" w14:textId="77777777" w:rsidTr="00CC4A69">
        <w:trPr>
          <w:trHeight w:val="321"/>
          <w:jc w:val="center"/>
        </w:trPr>
        <w:tc>
          <w:tcPr>
            <w:tcW w:w="10310" w:type="dxa"/>
            <w:vAlign w:val="center"/>
          </w:tcPr>
          <w:p w14:paraId="56D0BA67" w14:textId="07C40428" w:rsidR="005D07B4" w:rsidRPr="00810B69" w:rsidRDefault="005D07B4" w:rsidP="00020E31">
            <w:pPr>
              <w:jc w:val="center"/>
              <w:rPr>
                <w:b/>
                <w:sz w:val="20"/>
              </w:rPr>
            </w:pPr>
            <w:r w:rsidRPr="00810B69">
              <w:rPr>
                <w:b/>
                <w:sz w:val="20"/>
              </w:rPr>
              <w:lastRenderedPageBreak/>
              <w:t xml:space="preserve">Gráfica </w:t>
            </w:r>
            <w:r w:rsidR="00BC49A1" w:rsidRPr="00810B69">
              <w:rPr>
                <w:b/>
                <w:sz w:val="20"/>
              </w:rPr>
              <w:t>2</w:t>
            </w:r>
            <w:r w:rsidRPr="00810B69">
              <w:rPr>
                <w:b/>
                <w:sz w:val="20"/>
              </w:rPr>
              <w:t xml:space="preserve">. </w:t>
            </w:r>
            <w:r w:rsidR="005C1662" w:rsidRPr="00810B69">
              <w:rPr>
                <w:b/>
                <w:sz w:val="20"/>
              </w:rPr>
              <w:t xml:space="preserve">Comparativo de la UNAM y el </w:t>
            </w:r>
            <w:r w:rsidR="008B70DB" w:rsidRPr="00810B69">
              <w:rPr>
                <w:b/>
                <w:sz w:val="20"/>
              </w:rPr>
              <w:t xml:space="preserve">ITESM </w:t>
            </w:r>
            <w:r w:rsidR="005C1662" w:rsidRPr="00810B69">
              <w:rPr>
                <w:b/>
                <w:sz w:val="20"/>
              </w:rPr>
              <w:t xml:space="preserve">en </w:t>
            </w:r>
            <w:r w:rsidR="008B70DB" w:rsidRPr="00810B69">
              <w:rPr>
                <w:b/>
                <w:sz w:val="20"/>
              </w:rPr>
              <w:t>las posiciones d</w:t>
            </w:r>
            <w:r w:rsidRPr="00810B69">
              <w:rPr>
                <w:b/>
                <w:sz w:val="20"/>
              </w:rPr>
              <w:t>el QS ranking mundial de universidades, 201</w:t>
            </w:r>
            <w:r w:rsidR="00020E31" w:rsidRPr="00810B69">
              <w:rPr>
                <w:b/>
                <w:sz w:val="20"/>
              </w:rPr>
              <w:t>1</w:t>
            </w:r>
            <w:r w:rsidRPr="00810B69">
              <w:rPr>
                <w:b/>
                <w:sz w:val="20"/>
              </w:rPr>
              <w:t xml:space="preserve"> </w:t>
            </w:r>
            <w:r w:rsidR="006D051D" w:rsidRPr="00810B69">
              <w:rPr>
                <w:b/>
                <w:sz w:val="20"/>
              </w:rPr>
              <w:t xml:space="preserve">- </w:t>
            </w:r>
            <w:r w:rsidRPr="00810B69">
              <w:rPr>
                <w:b/>
                <w:sz w:val="20"/>
              </w:rPr>
              <w:t>201</w:t>
            </w:r>
            <w:r w:rsidR="00020E31" w:rsidRPr="00810B69">
              <w:rPr>
                <w:b/>
                <w:sz w:val="20"/>
              </w:rPr>
              <w:t>7</w:t>
            </w:r>
            <w:r w:rsidR="008B70DB" w:rsidRPr="00810B69">
              <w:rPr>
                <w:b/>
                <w:sz w:val="20"/>
              </w:rPr>
              <w:t>.</w:t>
            </w:r>
          </w:p>
        </w:tc>
      </w:tr>
      <w:tr w:rsidR="009808C3" w:rsidRPr="00810B69" w14:paraId="2D6CD1AE" w14:textId="77777777" w:rsidTr="00CC4A69">
        <w:tblPrEx>
          <w:tblCellMar>
            <w:left w:w="70" w:type="dxa"/>
            <w:right w:w="70" w:type="dxa"/>
          </w:tblCellMar>
        </w:tblPrEx>
        <w:trPr>
          <w:trHeight w:val="1844"/>
          <w:jc w:val="center"/>
        </w:trPr>
        <w:tc>
          <w:tcPr>
            <w:tcW w:w="10310" w:type="dxa"/>
          </w:tcPr>
          <w:p w14:paraId="34835551" w14:textId="3BBFBE7B" w:rsidR="005D07B4" w:rsidRPr="00810B69" w:rsidRDefault="00CC4A69" w:rsidP="007A309D">
            <w:pPr>
              <w:jc w:val="both"/>
            </w:pPr>
            <w:r w:rsidRPr="00810B69">
              <w:rPr>
                <w:noProof/>
                <w:lang w:eastAsia="es-MX"/>
              </w:rPr>
              <w:drawing>
                <wp:inline distT="0" distB="0" distL="0" distR="0" wp14:anchorId="45FB3BDE" wp14:editId="6C375467">
                  <wp:extent cx="6454238" cy="2743200"/>
                  <wp:effectExtent l="0" t="0" r="3810" b="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C4A69" w:rsidRPr="00810B69" w14:paraId="068A7877" w14:textId="77777777" w:rsidTr="00CC4A69">
        <w:tblPrEx>
          <w:tblCellMar>
            <w:left w:w="70" w:type="dxa"/>
            <w:right w:w="70" w:type="dxa"/>
          </w:tblCellMar>
        </w:tblPrEx>
        <w:trPr>
          <w:trHeight w:val="200"/>
          <w:jc w:val="center"/>
        </w:trPr>
        <w:tc>
          <w:tcPr>
            <w:tcW w:w="10310" w:type="dxa"/>
          </w:tcPr>
          <w:p w14:paraId="05D2E43C" w14:textId="09D825E8" w:rsidR="00CC4A69" w:rsidRPr="00810B69" w:rsidRDefault="00CC4A69" w:rsidP="0054331B">
            <w:pPr>
              <w:jc w:val="both"/>
              <w:rPr>
                <w:noProof/>
                <w:lang w:eastAsia="es-MX"/>
              </w:rPr>
            </w:pPr>
            <w:r w:rsidRPr="00810B6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>Fuente:</w:t>
            </w:r>
            <w:r w:rsidRPr="00810B6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Elaboración propia con datos publicados del QS ranking mundial de universidades, 2011-2017.</w:t>
            </w:r>
          </w:p>
        </w:tc>
      </w:tr>
    </w:tbl>
    <w:p w14:paraId="351AB8BF" w14:textId="77777777" w:rsidR="007A309D" w:rsidRPr="00810B69" w:rsidRDefault="007A309D" w:rsidP="007A309D">
      <w:pPr>
        <w:spacing w:after="0" w:line="240" w:lineRule="auto"/>
        <w:rPr>
          <w:sz w:val="20"/>
        </w:rPr>
      </w:pPr>
    </w:p>
    <w:tbl>
      <w:tblPr>
        <w:tblW w:w="107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864"/>
        <w:gridCol w:w="864"/>
        <w:gridCol w:w="1297"/>
        <w:gridCol w:w="1297"/>
        <w:gridCol w:w="1298"/>
        <w:gridCol w:w="1475"/>
        <w:gridCol w:w="1227"/>
        <w:gridCol w:w="1200"/>
      </w:tblGrid>
      <w:tr w:rsidR="008B70DB" w:rsidRPr="00810B69" w14:paraId="5F63638D" w14:textId="77777777" w:rsidTr="00BC49A1">
        <w:trPr>
          <w:trHeight w:val="320"/>
          <w:jc w:val="center"/>
        </w:trPr>
        <w:tc>
          <w:tcPr>
            <w:tcW w:w="10707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4E1408" w14:textId="52C65AE9" w:rsidR="008B70DB" w:rsidRPr="00810B69" w:rsidRDefault="008B70DB" w:rsidP="00BC49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8"/>
                <w:lang w:eastAsia="es-MX"/>
              </w:rPr>
            </w:pPr>
            <w:r w:rsidRPr="00810B69">
              <w:rPr>
                <w:b/>
                <w:sz w:val="20"/>
                <w:szCs w:val="18"/>
              </w:rPr>
              <w:t xml:space="preserve">Tabla </w:t>
            </w:r>
            <w:r w:rsidR="00BC49A1" w:rsidRPr="00810B69">
              <w:rPr>
                <w:b/>
                <w:sz w:val="20"/>
                <w:szCs w:val="18"/>
              </w:rPr>
              <w:t>4</w:t>
            </w:r>
            <w:r w:rsidRPr="00810B69">
              <w:rPr>
                <w:b/>
                <w:sz w:val="20"/>
                <w:szCs w:val="18"/>
              </w:rPr>
              <w:t xml:space="preserve">. Comparación entre la UNAM y el ITESM en los diferentes indicadores del QS </w:t>
            </w:r>
            <w:r w:rsidR="00BC49A1" w:rsidRPr="00810B69">
              <w:rPr>
                <w:b/>
                <w:sz w:val="20"/>
                <w:szCs w:val="18"/>
              </w:rPr>
              <w:t xml:space="preserve">ranking mundial de universidades, </w:t>
            </w:r>
            <w:r w:rsidRPr="00810B69">
              <w:rPr>
                <w:b/>
                <w:sz w:val="20"/>
                <w:szCs w:val="18"/>
              </w:rPr>
              <w:t>201</w:t>
            </w:r>
            <w:r w:rsidR="00BC49A1" w:rsidRPr="00810B69">
              <w:rPr>
                <w:b/>
                <w:sz w:val="20"/>
                <w:szCs w:val="18"/>
              </w:rPr>
              <w:t>7</w:t>
            </w:r>
            <w:r w:rsidRPr="00810B69">
              <w:rPr>
                <w:b/>
                <w:sz w:val="20"/>
                <w:szCs w:val="18"/>
              </w:rPr>
              <w:t>.</w:t>
            </w:r>
          </w:p>
        </w:tc>
      </w:tr>
      <w:tr w:rsidR="008B70DB" w:rsidRPr="00810B69" w14:paraId="48F3BA57" w14:textId="77777777" w:rsidTr="00BC49A1">
        <w:trPr>
          <w:trHeight w:val="76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2EF009A" w14:textId="605E4DCC" w:rsidR="008B70DB" w:rsidRPr="00810B69" w:rsidRDefault="008B70DB" w:rsidP="007A3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0B69">
              <w:rPr>
                <w:b/>
                <w:sz w:val="18"/>
              </w:rPr>
              <w:t>Universidad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F6C866" w14:textId="77777777" w:rsidR="008B70DB" w:rsidRPr="00810B69" w:rsidRDefault="008B70DB" w:rsidP="007A30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0B69">
              <w:rPr>
                <w:b/>
                <w:sz w:val="18"/>
              </w:rPr>
              <w:t>Posición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72AA3B" w14:textId="77777777" w:rsidR="008B70DB" w:rsidRPr="00810B69" w:rsidRDefault="008B70DB" w:rsidP="007A309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10B69">
              <w:rPr>
                <w:b/>
                <w:sz w:val="18"/>
              </w:rPr>
              <w:t>Puntaje Gral.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F95440" w14:textId="77777777" w:rsidR="008B70DB" w:rsidRPr="00810B69" w:rsidRDefault="008B70DB" w:rsidP="007A309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10B69">
              <w:rPr>
                <w:b/>
                <w:sz w:val="18"/>
              </w:rPr>
              <w:t>Reputación según académicos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220BA4" w14:textId="77777777" w:rsidR="008B70DB" w:rsidRPr="00810B69" w:rsidRDefault="008B70DB" w:rsidP="007A309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10B69">
              <w:rPr>
                <w:b/>
                <w:sz w:val="18"/>
              </w:rPr>
              <w:t>Reputación según empleadores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257E1A" w14:textId="77777777" w:rsidR="008B70DB" w:rsidRPr="00810B69" w:rsidRDefault="008B70DB" w:rsidP="007A309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10B69">
              <w:rPr>
                <w:b/>
                <w:sz w:val="18"/>
              </w:rPr>
              <w:t>Relación entre estudiantes y profesores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637819" w14:textId="77777777" w:rsidR="008B70DB" w:rsidRPr="00810B69" w:rsidRDefault="008B70DB" w:rsidP="007A309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10B69">
              <w:rPr>
                <w:b/>
                <w:sz w:val="18"/>
              </w:rPr>
              <w:t>Citas académicas por artículo entre planta académica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0329F4" w14:textId="77777777" w:rsidR="008B70DB" w:rsidRPr="00810B69" w:rsidRDefault="008B70DB" w:rsidP="007A309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10B69">
              <w:rPr>
                <w:b/>
                <w:sz w:val="18"/>
              </w:rPr>
              <w:t>Proporción de académicos extranjeros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6D4B6F" w14:textId="77777777" w:rsidR="008B70DB" w:rsidRPr="00810B69" w:rsidRDefault="008B70DB" w:rsidP="007A309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10B69">
              <w:rPr>
                <w:b/>
                <w:sz w:val="18"/>
              </w:rPr>
              <w:t>Proporción de estudiantes extranjeros</w:t>
            </w:r>
          </w:p>
        </w:tc>
      </w:tr>
      <w:tr w:rsidR="008B70DB" w:rsidRPr="00810B69" w14:paraId="1AFF1A00" w14:textId="77777777" w:rsidTr="00BC49A1">
        <w:trPr>
          <w:trHeight w:val="21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9406D5A" w14:textId="4BED61FA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UNAM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7AFF60E" w14:textId="348738D2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122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47F4131" w14:textId="61AD1BEC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0F4C0ED" w14:textId="470602F0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95.8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89A32EB" w14:textId="4CAB79CB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89.6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EA02DA6" w14:textId="696C3AF5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50.9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2040FB3" w14:textId="781EBD84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0DB0A11" w14:textId="552F21B1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E1DDEF4" w14:textId="0C2C71C0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</w:tr>
      <w:tr w:rsidR="008B70DB" w:rsidRPr="00810B69" w14:paraId="346CB5CF" w14:textId="77777777" w:rsidTr="00BC49A1">
        <w:trPr>
          <w:trHeight w:val="217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51FEE" w14:textId="6CD4A33C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ITESM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D490" w14:textId="31FA12B9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6FC2" w14:textId="491508F9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17FA" w14:textId="1F4D2F91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42.8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DBBFF" w14:textId="6F267E9A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84.9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1E7E0" w14:textId="32D3CB3D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77.1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945BA" w14:textId="0228AF37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3.7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4EA1A" w14:textId="6DD69277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98.4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5D944" w14:textId="5BBDD5FE" w:rsidR="008B70DB" w:rsidRPr="00810B69" w:rsidRDefault="00EB282F" w:rsidP="007A309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  <w:r w:rsidRPr="00810B69"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  <w:t>23.2</w:t>
            </w:r>
          </w:p>
        </w:tc>
      </w:tr>
      <w:tr w:rsidR="00BC49A1" w:rsidRPr="00B460BD" w14:paraId="4C6121B5" w14:textId="77777777" w:rsidTr="00BC49A1">
        <w:trPr>
          <w:trHeight w:val="217"/>
          <w:jc w:val="center"/>
        </w:trPr>
        <w:tc>
          <w:tcPr>
            <w:tcW w:w="10707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14:paraId="1352039C" w14:textId="4432E888" w:rsidR="00BC49A1" w:rsidRPr="00B460BD" w:rsidRDefault="00BC49A1" w:rsidP="0054331B">
            <w:pPr>
              <w:spacing w:after="0" w:line="240" w:lineRule="auto"/>
              <w:rPr>
                <w:sz w:val="16"/>
                <w:szCs w:val="16"/>
              </w:rPr>
            </w:pPr>
            <w:r w:rsidRPr="00810B69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es-MX"/>
              </w:rPr>
              <w:t>Fuente:</w:t>
            </w:r>
            <w:r w:rsidRPr="00810B6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Elaboración propia con datos publicados del QS ranking mundial de universidades, 2017.</w:t>
            </w:r>
          </w:p>
        </w:tc>
      </w:tr>
    </w:tbl>
    <w:p w14:paraId="3AB4CDF5" w14:textId="77777777" w:rsidR="008B70DB" w:rsidRDefault="008B70DB" w:rsidP="007A309D">
      <w:pPr>
        <w:spacing w:after="0" w:line="240" w:lineRule="auto"/>
        <w:rPr>
          <w:sz w:val="2"/>
        </w:rPr>
      </w:pPr>
    </w:p>
    <w:p w14:paraId="4FD1CE8E" w14:textId="77777777" w:rsidR="00EB282F" w:rsidRDefault="00EB282F" w:rsidP="007A309D">
      <w:pPr>
        <w:spacing w:after="0" w:line="240" w:lineRule="auto"/>
        <w:rPr>
          <w:sz w:val="2"/>
        </w:rPr>
      </w:pPr>
    </w:p>
    <w:p w14:paraId="3EEE02BD" w14:textId="77777777" w:rsidR="00EB282F" w:rsidRDefault="00EB282F" w:rsidP="007A309D">
      <w:pPr>
        <w:spacing w:after="0" w:line="240" w:lineRule="auto"/>
        <w:rPr>
          <w:sz w:val="2"/>
        </w:rPr>
      </w:pPr>
    </w:p>
    <w:p w14:paraId="4BEBEEBE" w14:textId="77777777" w:rsidR="00EB282F" w:rsidRDefault="00EB282F" w:rsidP="007A309D">
      <w:pPr>
        <w:spacing w:after="0" w:line="240" w:lineRule="auto"/>
        <w:rPr>
          <w:sz w:val="2"/>
        </w:rPr>
      </w:pPr>
    </w:p>
    <w:p w14:paraId="3532BFF2" w14:textId="77777777" w:rsidR="00EB282F" w:rsidRPr="006C15EC" w:rsidRDefault="00EB282F" w:rsidP="007A309D">
      <w:pPr>
        <w:spacing w:after="0" w:line="240" w:lineRule="auto"/>
        <w:rPr>
          <w:sz w:val="2"/>
        </w:rPr>
      </w:pPr>
    </w:p>
    <w:sectPr w:rsidR="00EB282F" w:rsidRPr="006C15EC" w:rsidSect="00CB1770">
      <w:pgSz w:w="12240" w:h="15840"/>
      <w:pgMar w:top="11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21B64" w14:textId="77777777" w:rsidR="0000652E" w:rsidRDefault="0000652E" w:rsidP="00C41170">
      <w:pPr>
        <w:spacing w:after="0" w:line="240" w:lineRule="auto"/>
      </w:pPr>
      <w:r>
        <w:separator/>
      </w:r>
    </w:p>
  </w:endnote>
  <w:endnote w:type="continuationSeparator" w:id="0">
    <w:p w14:paraId="3C7806B7" w14:textId="77777777" w:rsidR="0000652E" w:rsidRDefault="0000652E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E0FDD" w14:textId="77777777" w:rsidR="0000652E" w:rsidRDefault="0000652E" w:rsidP="00C41170">
      <w:pPr>
        <w:spacing w:after="0" w:line="240" w:lineRule="auto"/>
      </w:pPr>
      <w:r>
        <w:separator/>
      </w:r>
    </w:p>
  </w:footnote>
  <w:footnote w:type="continuationSeparator" w:id="0">
    <w:p w14:paraId="1E2DB87A" w14:textId="77777777" w:rsidR="0000652E" w:rsidRDefault="0000652E" w:rsidP="00C4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38C8"/>
    <w:multiLevelType w:val="hybridMultilevel"/>
    <w:tmpl w:val="CAFA8CDA"/>
    <w:lvl w:ilvl="0" w:tplc="0F3CAC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29DF"/>
    <w:multiLevelType w:val="hybridMultilevel"/>
    <w:tmpl w:val="DD72F9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9F7345D"/>
    <w:multiLevelType w:val="hybridMultilevel"/>
    <w:tmpl w:val="00C6F4C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F033E2"/>
    <w:multiLevelType w:val="hybridMultilevel"/>
    <w:tmpl w:val="65201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145A29"/>
    <w:multiLevelType w:val="hybridMultilevel"/>
    <w:tmpl w:val="C33EBC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F3909"/>
    <w:multiLevelType w:val="hybridMultilevel"/>
    <w:tmpl w:val="EE2483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1715E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71206"/>
    <w:multiLevelType w:val="hybridMultilevel"/>
    <w:tmpl w:val="36E2E1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A124999"/>
    <w:multiLevelType w:val="hybridMultilevel"/>
    <w:tmpl w:val="4F4CA0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7"/>
    <w:rsid w:val="0000652E"/>
    <w:rsid w:val="00020E31"/>
    <w:rsid w:val="0002187F"/>
    <w:rsid w:val="00026805"/>
    <w:rsid w:val="0003232C"/>
    <w:rsid w:val="00035884"/>
    <w:rsid w:val="0004030C"/>
    <w:rsid w:val="00055632"/>
    <w:rsid w:val="00062B9F"/>
    <w:rsid w:val="00072ABC"/>
    <w:rsid w:val="00095E29"/>
    <w:rsid w:val="000A62C9"/>
    <w:rsid w:val="000B2479"/>
    <w:rsid w:val="000B3CEF"/>
    <w:rsid w:val="000C31EF"/>
    <w:rsid w:val="000C3D13"/>
    <w:rsid w:val="000C6A1B"/>
    <w:rsid w:val="000D0015"/>
    <w:rsid w:val="000D06A3"/>
    <w:rsid w:val="000E06F7"/>
    <w:rsid w:val="000E3D1A"/>
    <w:rsid w:val="000E4209"/>
    <w:rsid w:val="000E5282"/>
    <w:rsid w:val="000F3986"/>
    <w:rsid w:val="000F3B73"/>
    <w:rsid w:val="00113D12"/>
    <w:rsid w:val="00115A9D"/>
    <w:rsid w:val="001217F8"/>
    <w:rsid w:val="00121ECB"/>
    <w:rsid w:val="001329FA"/>
    <w:rsid w:val="00133440"/>
    <w:rsid w:val="00135B1D"/>
    <w:rsid w:val="00145378"/>
    <w:rsid w:val="001468ED"/>
    <w:rsid w:val="001511A2"/>
    <w:rsid w:val="00162FFD"/>
    <w:rsid w:val="0017723B"/>
    <w:rsid w:val="0019282A"/>
    <w:rsid w:val="001A286B"/>
    <w:rsid w:val="001A3875"/>
    <w:rsid w:val="001A6B42"/>
    <w:rsid w:val="001A7734"/>
    <w:rsid w:val="001B70F9"/>
    <w:rsid w:val="001C74C7"/>
    <w:rsid w:val="001D0B61"/>
    <w:rsid w:val="001D1F74"/>
    <w:rsid w:val="001D4C47"/>
    <w:rsid w:val="001D5EBD"/>
    <w:rsid w:val="001F34B2"/>
    <w:rsid w:val="001F507B"/>
    <w:rsid w:val="00200345"/>
    <w:rsid w:val="00200691"/>
    <w:rsid w:val="00202ADD"/>
    <w:rsid w:val="00212D61"/>
    <w:rsid w:val="0023309E"/>
    <w:rsid w:val="0023315E"/>
    <w:rsid w:val="00234D0C"/>
    <w:rsid w:val="00245DE0"/>
    <w:rsid w:val="00250246"/>
    <w:rsid w:val="0025102A"/>
    <w:rsid w:val="00260339"/>
    <w:rsid w:val="00263F3E"/>
    <w:rsid w:val="00281678"/>
    <w:rsid w:val="00286835"/>
    <w:rsid w:val="00287D4C"/>
    <w:rsid w:val="00290141"/>
    <w:rsid w:val="00291132"/>
    <w:rsid w:val="002938AF"/>
    <w:rsid w:val="002A7AD8"/>
    <w:rsid w:val="002B25F8"/>
    <w:rsid w:val="002B705F"/>
    <w:rsid w:val="002C2928"/>
    <w:rsid w:val="002D1CCB"/>
    <w:rsid w:val="002D2258"/>
    <w:rsid w:val="002E342B"/>
    <w:rsid w:val="002E496D"/>
    <w:rsid w:val="002F62AE"/>
    <w:rsid w:val="00301FFD"/>
    <w:rsid w:val="003043A7"/>
    <w:rsid w:val="00306D1A"/>
    <w:rsid w:val="00306D26"/>
    <w:rsid w:val="0031474A"/>
    <w:rsid w:val="003201C2"/>
    <w:rsid w:val="00320A0B"/>
    <w:rsid w:val="00324AC0"/>
    <w:rsid w:val="0032598E"/>
    <w:rsid w:val="003345DC"/>
    <w:rsid w:val="00344794"/>
    <w:rsid w:val="003549CE"/>
    <w:rsid w:val="00354E9F"/>
    <w:rsid w:val="003805B5"/>
    <w:rsid w:val="00392FEF"/>
    <w:rsid w:val="003B2D5D"/>
    <w:rsid w:val="003B42BE"/>
    <w:rsid w:val="003B74C3"/>
    <w:rsid w:val="003C078B"/>
    <w:rsid w:val="003C102E"/>
    <w:rsid w:val="003C71DE"/>
    <w:rsid w:val="003E16DB"/>
    <w:rsid w:val="003E1861"/>
    <w:rsid w:val="003E2616"/>
    <w:rsid w:val="003E3CE4"/>
    <w:rsid w:val="003E470C"/>
    <w:rsid w:val="003F49B2"/>
    <w:rsid w:val="003F4E52"/>
    <w:rsid w:val="003F525C"/>
    <w:rsid w:val="003F6DF0"/>
    <w:rsid w:val="003F7797"/>
    <w:rsid w:val="00400C3E"/>
    <w:rsid w:val="004052AE"/>
    <w:rsid w:val="00405DF0"/>
    <w:rsid w:val="00406263"/>
    <w:rsid w:val="00407940"/>
    <w:rsid w:val="00415337"/>
    <w:rsid w:val="00427088"/>
    <w:rsid w:val="00431299"/>
    <w:rsid w:val="004333C9"/>
    <w:rsid w:val="00436361"/>
    <w:rsid w:val="004428C5"/>
    <w:rsid w:val="00450CB1"/>
    <w:rsid w:val="0045138C"/>
    <w:rsid w:val="0045419E"/>
    <w:rsid w:val="00470000"/>
    <w:rsid w:val="00470121"/>
    <w:rsid w:val="0047047E"/>
    <w:rsid w:val="00472C94"/>
    <w:rsid w:val="00473561"/>
    <w:rsid w:val="00477856"/>
    <w:rsid w:val="00483093"/>
    <w:rsid w:val="00493403"/>
    <w:rsid w:val="004A0BCC"/>
    <w:rsid w:val="004A5CDA"/>
    <w:rsid w:val="004B11C6"/>
    <w:rsid w:val="004B4A0F"/>
    <w:rsid w:val="004C4F5D"/>
    <w:rsid w:val="004C5FAD"/>
    <w:rsid w:val="004C7A6A"/>
    <w:rsid w:val="004D7EF7"/>
    <w:rsid w:val="004E0C72"/>
    <w:rsid w:val="004E45FF"/>
    <w:rsid w:val="004F1B6E"/>
    <w:rsid w:val="004F61D3"/>
    <w:rsid w:val="005001B4"/>
    <w:rsid w:val="00501E62"/>
    <w:rsid w:val="00503BA2"/>
    <w:rsid w:val="0050401D"/>
    <w:rsid w:val="00513426"/>
    <w:rsid w:val="00516B87"/>
    <w:rsid w:val="0052065E"/>
    <w:rsid w:val="005427A3"/>
    <w:rsid w:val="0054305B"/>
    <w:rsid w:val="0054331B"/>
    <w:rsid w:val="00561292"/>
    <w:rsid w:val="005612C8"/>
    <w:rsid w:val="00565CFB"/>
    <w:rsid w:val="00573E61"/>
    <w:rsid w:val="00575789"/>
    <w:rsid w:val="00577CEB"/>
    <w:rsid w:val="00581873"/>
    <w:rsid w:val="00596822"/>
    <w:rsid w:val="005A0D1F"/>
    <w:rsid w:val="005A4AEB"/>
    <w:rsid w:val="005A663A"/>
    <w:rsid w:val="005A6FC1"/>
    <w:rsid w:val="005B1ECF"/>
    <w:rsid w:val="005B79EA"/>
    <w:rsid w:val="005C1662"/>
    <w:rsid w:val="005C563E"/>
    <w:rsid w:val="005C66F9"/>
    <w:rsid w:val="005D07B4"/>
    <w:rsid w:val="005E02C6"/>
    <w:rsid w:val="005E49CA"/>
    <w:rsid w:val="0060365B"/>
    <w:rsid w:val="0062254D"/>
    <w:rsid w:val="006303B1"/>
    <w:rsid w:val="006318D8"/>
    <w:rsid w:val="006355D9"/>
    <w:rsid w:val="00651F04"/>
    <w:rsid w:val="00652FD6"/>
    <w:rsid w:val="00662201"/>
    <w:rsid w:val="00667AE4"/>
    <w:rsid w:val="00670550"/>
    <w:rsid w:val="006736A3"/>
    <w:rsid w:val="0067403C"/>
    <w:rsid w:val="00675AA8"/>
    <w:rsid w:val="00676787"/>
    <w:rsid w:val="006A21AB"/>
    <w:rsid w:val="006A60F4"/>
    <w:rsid w:val="006B05EF"/>
    <w:rsid w:val="006B3FF3"/>
    <w:rsid w:val="006C06E9"/>
    <w:rsid w:val="006C15EC"/>
    <w:rsid w:val="006C7BE7"/>
    <w:rsid w:val="006D051D"/>
    <w:rsid w:val="006F279A"/>
    <w:rsid w:val="006F4917"/>
    <w:rsid w:val="007018B4"/>
    <w:rsid w:val="00722D0E"/>
    <w:rsid w:val="00724EFA"/>
    <w:rsid w:val="00744819"/>
    <w:rsid w:val="00744964"/>
    <w:rsid w:val="00754BE1"/>
    <w:rsid w:val="00760949"/>
    <w:rsid w:val="00770185"/>
    <w:rsid w:val="00774187"/>
    <w:rsid w:val="00776C1B"/>
    <w:rsid w:val="00785E55"/>
    <w:rsid w:val="00790351"/>
    <w:rsid w:val="0079092E"/>
    <w:rsid w:val="0079176B"/>
    <w:rsid w:val="00795016"/>
    <w:rsid w:val="00796B30"/>
    <w:rsid w:val="007A309D"/>
    <w:rsid w:val="007B2B33"/>
    <w:rsid w:val="007B452F"/>
    <w:rsid w:val="007B4D15"/>
    <w:rsid w:val="007B5DBB"/>
    <w:rsid w:val="007D0730"/>
    <w:rsid w:val="007D1993"/>
    <w:rsid w:val="007D5D89"/>
    <w:rsid w:val="007E580C"/>
    <w:rsid w:val="007F3955"/>
    <w:rsid w:val="007F72AE"/>
    <w:rsid w:val="007F746F"/>
    <w:rsid w:val="008005A1"/>
    <w:rsid w:val="0080125E"/>
    <w:rsid w:val="0080512B"/>
    <w:rsid w:val="00810B69"/>
    <w:rsid w:val="00813422"/>
    <w:rsid w:val="00835B0A"/>
    <w:rsid w:val="0083640D"/>
    <w:rsid w:val="00847AF9"/>
    <w:rsid w:val="0085352B"/>
    <w:rsid w:val="008626E8"/>
    <w:rsid w:val="0086322B"/>
    <w:rsid w:val="008704FC"/>
    <w:rsid w:val="00875C5A"/>
    <w:rsid w:val="00876A66"/>
    <w:rsid w:val="008854CD"/>
    <w:rsid w:val="008866FB"/>
    <w:rsid w:val="00894FE3"/>
    <w:rsid w:val="008B3929"/>
    <w:rsid w:val="008B6B90"/>
    <w:rsid w:val="008B70DB"/>
    <w:rsid w:val="008C176E"/>
    <w:rsid w:val="008F2D1A"/>
    <w:rsid w:val="00903EBE"/>
    <w:rsid w:val="0090653A"/>
    <w:rsid w:val="009066FE"/>
    <w:rsid w:val="00910E42"/>
    <w:rsid w:val="0091324E"/>
    <w:rsid w:val="0092070D"/>
    <w:rsid w:val="009265F9"/>
    <w:rsid w:val="00927179"/>
    <w:rsid w:val="00932183"/>
    <w:rsid w:val="00932412"/>
    <w:rsid w:val="00945346"/>
    <w:rsid w:val="00947DCF"/>
    <w:rsid w:val="00950D2D"/>
    <w:rsid w:val="00954CDE"/>
    <w:rsid w:val="00955161"/>
    <w:rsid w:val="0096160B"/>
    <w:rsid w:val="009636DB"/>
    <w:rsid w:val="0097047B"/>
    <w:rsid w:val="0097677E"/>
    <w:rsid w:val="0097714D"/>
    <w:rsid w:val="0097768D"/>
    <w:rsid w:val="009808C3"/>
    <w:rsid w:val="00981BE7"/>
    <w:rsid w:val="00981CD5"/>
    <w:rsid w:val="009857C4"/>
    <w:rsid w:val="009862C8"/>
    <w:rsid w:val="00987969"/>
    <w:rsid w:val="0099194A"/>
    <w:rsid w:val="00995A41"/>
    <w:rsid w:val="009B4626"/>
    <w:rsid w:val="009B7E5A"/>
    <w:rsid w:val="009D015F"/>
    <w:rsid w:val="009D0F5E"/>
    <w:rsid w:val="009D416B"/>
    <w:rsid w:val="009F4A57"/>
    <w:rsid w:val="00A301BB"/>
    <w:rsid w:val="00A320B9"/>
    <w:rsid w:val="00A378D5"/>
    <w:rsid w:val="00A41A11"/>
    <w:rsid w:val="00A44795"/>
    <w:rsid w:val="00A5000B"/>
    <w:rsid w:val="00A52257"/>
    <w:rsid w:val="00A5715F"/>
    <w:rsid w:val="00A63125"/>
    <w:rsid w:val="00A66A80"/>
    <w:rsid w:val="00A7189F"/>
    <w:rsid w:val="00A71A4C"/>
    <w:rsid w:val="00A952B2"/>
    <w:rsid w:val="00AA1552"/>
    <w:rsid w:val="00AA3C84"/>
    <w:rsid w:val="00AB0508"/>
    <w:rsid w:val="00AB1258"/>
    <w:rsid w:val="00AB5481"/>
    <w:rsid w:val="00AB7217"/>
    <w:rsid w:val="00AC3FEF"/>
    <w:rsid w:val="00AC6036"/>
    <w:rsid w:val="00AE5228"/>
    <w:rsid w:val="00AE5856"/>
    <w:rsid w:val="00AE7143"/>
    <w:rsid w:val="00AF050E"/>
    <w:rsid w:val="00AF10A3"/>
    <w:rsid w:val="00AF1313"/>
    <w:rsid w:val="00AF3EB1"/>
    <w:rsid w:val="00AF7885"/>
    <w:rsid w:val="00B00D95"/>
    <w:rsid w:val="00B016CB"/>
    <w:rsid w:val="00B03CA8"/>
    <w:rsid w:val="00B1058D"/>
    <w:rsid w:val="00B167FE"/>
    <w:rsid w:val="00B17EEF"/>
    <w:rsid w:val="00B21449"/>
    <w:rsid w:val="00B2718E"/>
    <w:rsid w:val="00B33DF2"/>
    <w:rsid w:val="00B36FBB"/>
    <w:rsid w:val="00B42CB1"/>
    <w:rsid w:val="00B460BD"/>
    <w:rsid w:val="00B57999"/>
    <w:rsid w:val="00B60353"/>
    <w:rsid w:val="00B74898"/>
    <w:rsid w:val="00B80F2A"/>
    <w:rsid w:val="00BA483A"/>
    <w:rsid w:val="00BA65A1"/>
    <w:rsid w:val="00BB1ED0"/>
    <w:rsid w:val="00BB33B5"/>
    <w:rsid w:val="00BB3985"/>
    <w:rsid w:val="00BC49A1"/>
    <w:rsid w:val="00BC5A1E"/>
    <w:rsid w:val="00BC64E4"/>
    <w:rsid w:val="00BE3F9E"/>
    <w:rsid w:val="00BE7F7A"/>
    <w:rsid w:val="00BF4156"/>
    <w:rsid w:val="00BF77DE"/>
    <w:rsid w:val="00C019D1"/>
    <w:rsid w:val="00C0735B"/>
    <w:rsid w:val="00C1696D"/>
    <w:rsid w:val="00C34789"/>
    <w:rsid w:val="00C41170"/>
    <w:rsid w:val="00C45D7A"/>
    <w:rsid w:val="00C53381"/>
    <w:rsid w:val="00C568D8"/>
    <w:rsid w:val="00C625AC"/>
    <w:rsid w:val="00C67398"/>
    <w:rsid w:val="00C74F61"/>
    <w:rsid w:val="00C856B6"/>
    <w:rsid w:val="00C96CAA"/>
    <w:rsid w:val="00CA0B0D"/>
    <w:rsid w:val="00CA7F40"/>
    <w:rsid w:val="00CB0130"/>
    <w:rsid w:val="00CB1770"/>
    <w:rsid w:val="00CB7710"/>
    <w:rsid w:val="00CC4A69"/>
    <w:rsid w:val="00CC705F"/>
    <w:rsid w:val="00CE1B0F"/>
    <w:rsid w:val="00CE644D"/>
    <w:rsid w:val="00CF01EA"/>
    <w:rsid w:val="00CF49CA"/>
    <w:rsid w:val="00CF5D11"/>
    <w:rsid w:val="00D0231C"/>
    <w:rsid w:val="00D069A4"/>
    <w:rsid w:val="00D110B7"/>
    <w:rsid w:val="00D12605"/>
    <w:rsid w:val="00D246B5"/>
    <w:rsid w:val="00D333FD"/>
    <w:rsid w:val="00D40232"/>
    <w:rsid w:val="00D44972"/>
    <w:rsid w:val="00D55C1E"/>
    <w:rsid w:val="00D70652"/>
    <w:rsid w:val="00D71753"/>
    <w:rsid w:val="00D738CF"/>
    <w:rsid w:val="00D7465F"/>
    <w:rsid w:val="00D76DF8"/>
    <w:rsid w:val="00D80651"/>
    <w:rsid w:val="00D83316"/>
    <w:rsid w:val="00D8424B"/>
    <w:rsid w:val="00D91A4F"/>
    <w:rsid w:val="00DA70FB"/>
    <w:rsid w:val="00DC4030"/>
    <w:rsid w:val="00DF1EAA"/>
    <w:rsid w:val="00DF38E0"/>
    <w:rsid w:val="00E16DB1"/>
    <w:rsid w:val="00E2676F"/>
    <w:rsid w:val="00E4612D"/>
    <w:rsid w:val="00E47F95"/>
    <w:rsid w:val="00E64262"/>
    <w:rsid w:val="00E67EA9"/>
    <w:rsid w:val="00E75DE8"/>
    <w:rsid w:val="00E7695E"/>
    <w:rsid w:val="00E84175"/>
    <w:rsid w:val="00E879DC"/>
    <w:rsid w:val="00E93F34"/>
    <w:rsid w:val="00E97A19"/>
    <w:rsid w:val="00EB282F"/>
    <w:rsid w:val="00EC492E"/>
    <w:rsid w:val="00EC7F43"/>
    <w:rsid w:val="00EE2F6D"/>
    <w:rsid w:val="00EF2EDE"/>
    <w:rsid w:val="00EF4296"/>
    <w:rsid w:val="00EF4BA5"/>
    <w:rsid w:val="00EF4D43"/>
    <w:rsid w:val="00F00441"/>
    <w:rsid w:val="00F0100C"/>
    <w:rsid w:val="00F066F1"/>
    <w:rsid w:val="00F07F38"/>
    <w:rsid w:val="00F22953"/>
    <w:rsid w:val="00F23B8F"/>
    <w:rsid w:val="00F30D00"/>
    <w:rsid w:val="00F3118C"/>
    <w:rsid w:val="00F32C2B"/>
    <w:rsid w:val="00F4398E"/>
    <w:rsid w:val="00F505AC"/>
    <w:rsid w:val="00F50CF2"/>
    <w:rsid w:val="00F53886"/>
    <w:rsid w:val="00F55B98"/>
    <w:rsid w:val="00F65136"/>
    <w:rsid w:val="00F6783A"/>
    <w:rsid w:val="00F76BE7"/>
    <w:rsid w:val="00F81F73"/>
    <w:rsid w:val="00F84119"/>
    <w:rsid w:val="00F86566"/>
    <w:rsid w:val="00FB4024"/>
    <w:rsid w:val="00FC2854"/>
    <w:rsid w:val="00FC29B4"/>
    <w:rsid w:val="00FC5858"/>
    <w:rsid w:val="00FC7CC1"/>
    <w:rsid w:val="00FD273F"/>
    <w:rsid w:val="00FE4B30"/>
    <w:rsid w:val="00FE62EE"/>
    <w:rsid w:val="00FF06D9"/>
    <w:rsid w:val="00FF0EE1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8E8D8"/>
  <w15:chartTrackingRefBased/>
  <w15:docId w15:val="{789BB052-50DA-4040-B891-175017D3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de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11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17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B1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770"/>
  </w:style>
  <w:style w:type="paragraph" w:styleId="Piedepgina">
    <w:name w:val="footer"/>
    <w:basedOn w:val="Normal"/>
    <w:link w:val="PiedepginaCar"/>
    <w:uiPriority w:val="99"/>
    <w:unhideWhenUsed/>
    <w:rsid w:val="00CB1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ropbox\DGEI%20-%20UNAM\Reportes%20Rankings\Estadisticas\QS%20WUR%202017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ropbox\DGEI%20-%20UNAM\Reportes%20Rankings\Estadisticas\QS%20WUR%202017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'[QS WUR 2017.xlsx]Paises'!$A$2</c:f>
              <c:strCache>
                <c:ptCount val="1"/>
                <c:pt idx="0">
                  <c:v>España</c:v>
                </c:pt>
              </c:strCache>
            </c:strRef>
          </c:tx>
          <c:spPr>
            <a:solidFill>
              <a:srgbClr val="4472C4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'[QS WUR 2017.xlsx]Paises'!$B$2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'[QS WUR 2017.xlsx]Paises'!$A$3</c:f>
              <c:strCache>
                <c:ptCount val="1"/>
                <c:pt idx="0">
                  <c:v>Brasil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'[QS WUR 2017.xlsx]Paises'!$B$3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'[QS WUR 2017.xlsx]Paises'!$A$4</c:f>
              <c:strCache>
                <c:ptCount val="1"/>
                <c:pt idx="0">
                  <c:v>Argentina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'[QS WUR 2017.xlsx]Paises'!$B$4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</c:ser>
        <c:ser>
          <c:idx val="3"/>
          <c:order val="3"/>
          <c:tx>
            <c:strRef>
              <c:f>'[QS WUR 2017.xlsx]Paises'!$A$5</c:f>
              <c:strCache>
                <c:ptCount val="1"/>
                <c:pt idx="0">
                  <c:v>México</c:v>
                </c:pt>
              </c:strCache>
            </c:strRef>
          </c:tx>
          <c:spPr>
            <a:solidFill>
              <a:srgbClr val="70AD47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'[QS WUR 2017.xlsx]Paises'!$B$5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4"/>
          <c:order val="4"/>
          <c:tx>
            <c:strRef>
              <c:f>'[QS WUR 2017.xlsx]Paises'!$A$6</c:f>
              <c:strCache>
                <c:ptCount val="1"/>
                <c:pt idx="0">
                  <c:v>Chile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'[QS WUR 2017.xlsx]Paises'!$B$6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tx>
            <c:strRef>
              <c:f>'[QS WUR 2017.xlsx]Paises'!$A$7</c:f>
              <c:strCache>
                <c:ptCount val="1"/>
                <c:pt idx="0">
                  <c:v>Colombia</c:v>
                </c:pt>
              </c:strCache>
            </c:strRef>
          </c:tx>
          <c:spPr>
            <a:solidFill>
              <a:srgbClr val="FFC000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'[QS WUR 2017.xlsx]Paises'!$B$7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6"/>
          <c:order val="6"/>
          <c:tx>
            <c:strRef>
              <c:f>'[QS WUR 2017.xlsx]Paises'!$A$8</c:f>
              <c:strCache>
                <c:ptCount val="1"/>
                <c:pt idx="0">
                  <c:v>Portugal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'[QS WUR 2017.xlsx]Paises'!$B$8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7"/>
          <c:order val="7"/>
          <c:tx>
            <c:strRef>
              <c:f>'[QS WUR 2017.xlsx]Paises'!$A$9</c:f>
              <c:strCache>
                <c:ptCount val="1"/>
                <c:pt idx="0">
                  <c:v>Venezuela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'[QS WUR 2017.xlsx]Paises'!$B$9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8"/>
          <c:order val="8"/>
          <c:tx>
            <c:strRef>
              <c:f>'[QS WUR 2017.xlsx]Paises'!$A$10</c:f>
              <c:strCache>
                <c:ptCount val="1"/>
                <c:pt idx="0">
                  <c:v>Perú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'[QS WUR 2017.xlsx]Paises'!$B$10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9"/>
          <c:order val="9"/>
          <c:tx>
            <c:strRef>
              <c:f>'[QS WUR 2017.xlsx]Paises'!$A$11</c:f>
              <c:strCache>
                <c:ptCount val="1"/>
                <c:pt idx="0">
                  <c:v>Uruguay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val>
            <c:numRef>
              <c:f>'[QS WUR 2017.xlsx]Paises'!$B$11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5539008"/>
        <c:axId val="345531952"/>
      </c:barChart>
      <c:catAx>
        <c:axId val="345539008"/>
        <c:scaling>
          <c:orientation val="minMax"/>
        </c:scaling>
        <c:delete val="1"/>
        <c:axPos val="b"/>
        <c:majorTickMark val="out"/>
        <c:minorTickMark val="none"/>
        <c:tickLblPos val="nextTo"/>
        <c:crossAx val="345531952"/>
        <c:crosses val="autoZero"/>
        <c:auto val="1"/>
        <c:lblAlgn val="ctr"/>
        <c:lblOffset val="100"/>
        <c:noMultiLvlLbl val="0"/>
      </c:catAx>
      <c:valAx>
        <c:axId val="34553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vert="horz"/>
          <a:lstStyle/>
          <a:p>
            <a:pPr>
              <a:defRPr/>
            </a:pPr>
            <a:endParaRPr lang="es-MX"/>
          </a:p>
        </c:txPr>
        <c:crossAx val="3455390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vert="horz"/>
        <a:lstStyle/>
        <a:p>
          <a:pPr>
            <a:defRPr/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1"/>
          <c:tx>
            <c:strRef>
              <c:f>'[QS WUR 2017.xlsx]UNAM-ITESM'!$A$23</c:f>
              <c:strCache>
                <c:ptCount val="1"/>
                <c:pt idx="0">
                  <c:v>UNAM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'[QS WUR 2017.xlsx]UNAM-ITESM'!$B$22:$H$22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'[QS WUR 2017.xlsx]UNAM-ITESM'!$B$23:$H$23</c:f>
              <c:numCache>
                <c:formatCode>General</c:formatCode>
                <c:ptCount val="7"/>
                <c:pt idx="0">
                  <c:v>169</c:v>
                </c:pt>
                <c:pt idx="1">
                  <c:v>146</c:v>
                </c:pt>
                <c:pt idx="2">
                  <c:v>163</c:v>
                </c:pt>
                <c:pt idx="3">
                  <c:v>175</c:v>
                </c:pt>
                <c:pt idx="4">
                  <c:v>160</c:v>
                </c:pt>
                <c:pt idx="5">
                  <c:v>128</c:v>
                </c:pt>
                <c:pt idx="6">
                  <c:v>122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'[QS WUR 2017.xlsx]UNAM-ITESM'!$A$24</c:f>
              <c:strCache>
                <c:ptCount val="1"/>
                <c:pt idx="0">
                  <c:v>ITESM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'[QS WUR 2017.xlsx]UNAM-ITESM'!$B$22:$H$22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'[QS WUR 2017.xlsx]UNAM-ITESM'!$B$24:$H$24</c:f>
              <c:numCache>
                <c:formatCode>General</c:formatCode>
                <c:ptCount val="7"/>
                <c:pt idx="0">
                  <c:v>320</c:v>
                </c:pt>
                <c:pt idx="1">
                  <c:v>306</c:v>
                </c:pt>
                <c:pt idx="2">
                  <c:v>279</c:v>
                </c:pt>
                <c:pt idx="3">
                  <c:v>253</c:v>
                </c:pt>
                <c:pt idx="4">
                  <c:v>238</c:v>
                </c:pt>
                <c:pt idx="5">
                  <c:v>206</c:v>
                </c:pt>
                <c:pt idx="6">
                  <c:v>199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311444888"/>
        <c:axId val="311437440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'[QS WUR 2017.xlsx]UNAM-ITESM'!$A$22</c15:sqref>
                        </c15:formulaRef>
                      </c:ext>
                    </c:extLst>
                    <c:strCache>
                      <c:ptCount val="1"/>
                      <c:pt idx="0">
                        <c:v>Posiciones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MX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'[QS WUR 2017.xlsx]UNAM-ITESM'!$B$22:$H$22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'[QS WUR 2017.xlsx]UNAM-ITESM'!$B$22:$H$22</c15:sqref>
                        </c15:formulaRef>
                      </c:ext>
                    </c:extLst>
                    <c:numCache>
                      <c:formatCode>General</c:formatCode>
                      <c:ptCount val="7"/>
                      <c:pt idx="0">
                        <c:v>2011</c:v>
                      </c:pt>
                      <c:pt idx="1">
                        <c:v>2012</c:v>
                      </c:pt>
                      <c:pt idx="2">
                        <c:v>2013</c:v>
                      </c:pt>
                      <c:pt idx="3">
                        <c:v>2014</c:v>
                      </c:pt>
                      <c:pt idx="4">
                        <c:v>2015</c:v>
                      </c:pt>
                      <c:pt idx="5">
                        <c:v>2016</c:v>
                      </c:pt>
                      <c:pt idx="6">
                        <c:v>2017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311444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11437440"/>
        <c:crosses val="max"/>
        <c:auto val="1"/>
        <c:lblAlgn val="ctr"/>
        <c:lblOffset val="100"/>
        <c:noMultiLvlLbl val="0"/>
      </c:catAx>
      <c:valAx>
        <c:axId val="311437440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311444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0ED08-8FBB-487F-8006-41B8D2BC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1853</Words>
  <Characters>10197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admin</cp:lastModifiedBy>
  <cp:revision>83</cp:revision>
  <cp:lastPrinted>2017-06-08T18:21:00Z</cp:lastPrinted>
  <dcterms:created xsi:type="dcterms:W3CDTF">2017-05-30T18:17:00Z</dcterms:created>
  <dcterms:modified xsi:type="dcterms:W3CDTF">2017-06-08T23:39:00Z</dcterms:modified>
</cp:coreProperties>
</file>