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EB3" w14:textId="77777777" w:rsidR="001511A2" w:rsidRPr="00561A19" w:rsidRDefault="001511A2" w:rsidP="00556FA9">
      <w:pPr>
        <w:spacing w:after="0" w:line="240" w:lineRule="auto"/>
        <w:jc w:val="center"/>
        <w:rPr>
          <w:b/>
          <w:sz w:val="24"/>
        </w:rPr>
      </w:pPr>
      <w:r w:rsidRPr="00561A19">
        <w:rPr>
          <w:b/>
          <w:sz w:val="24"/>
        </w:rPr>
        <w:t>Dirección General de Evaluación Institucional</w:t>
      </w:r>
    </w:p>
    <w:p w14:paraId="6A06AB9A" w14:textId="5260CD35" w:rsidR="001511A2" w:rsidRPr="00561A19" w:rsidRDefault="001511A2" w:rsidP="00556FA9">
      <w:pPr>
        <w:spacing w:after="0" w:line="240" w:lineRule="auto"/>
        <w:jc w:val="center"/>
        <w:rPr>
          <w:b/>
          <w:sz w:val="24"/>
        </w:rPr>
      </w:pPr>
      <w:r w:rsidRPr="00561A19">
        <w:rPr>
          <w:b/>
          <w:sz w:val="24"/>
        </w:rPr>
        <w:t xml:space="preserve">Ciudad Universitaria, DF a </w:t>
      </w:r>
      <w:r w:rsidR="00F23AE7" w:rsidRPr="00561A19">
        <w:rPr>
          <w:b/>
          <w:sz w:val="24"/>
        </w:rPr>
        <w:t>2</w:t>
      </w:r>
      <w:r w:rsidR="00860F65">
        <w:rPr>
          <w:b/>
          <w:sz w:val="24"/>
        </w:rPr>
        <w:t>5</w:t>
      </w:r>
      <w:r w:rsidRPr="00561A19">
        <w:rPr>
          <w:b/>
          <w:sz w:val="24"/>
        </w:rPr>
        <w:t xml:space="preserve"> de </w:t>
      </w:r>
      <w:r w:rsidR="00FE5AA4" w:rsidRPr="00561A19">
        <w:rPr>
          <w:b/>
          <w:sz w:val="24"/>
        </w:rPr>
        <w:t xml:space="preserve">julio </w:t>
      </w:r>
      <w:r w:rsidR="00F23AE7" w:rsidRPr="00561A19">
        <w:rPr>
          <w:b/>
          <w:sz w:val="24"/>
        </w:rPr>
        <w:t>de 2017</w:t>
      </w:r>
    </w:p>
    <w:p w14:paraId="1CF22417" w14:textId="77777777" w:rsidR="001511A2" w:rsidRPr="00561A19" w:rsidRDefault="001511A2" w:rsidP="00556FA9">
      <w:pPr>
        <w:spacing w:after="0" w:line="240" w:lineRule="auto"/>
        <w:jc w:val="center"/>
        <w:rPr>
          <w:b/>
          <w:sz w:val="24"/>
        </w:rPr>
      </w:pPr>
    </w:p>
    <w:p w14:paraId="105F4479" w14:textId="6DE0FED6" w:rsidR="001511A2" w:rsidRPr="00561A19" w:rsidRDefault="001511A2" w:rsidP="00556FA9">
      <w:pPr>
        <w:spacing w:after="0" w:line="240" w:lineRule="auto"/>
        <w:jc w:val="center"/>
        <w:rPr>
          <w:b/>
          <w:sz w:val="28"/>
          <w:szCs w:val="28"/>
        </w:rPr>
      </w:pPr>
      <w:r w:rsidRPr="00561A19">
        <w:rPr>
          <w:b/>
          <w:sz w:val="28"/>
          <w:szCs w:val="28"/>
        </w:rPr>
        <w:t xml:space="preserve">UNAM EN </w:t>
      </w:r>
      <w:r w:rsidR="001A7CDB" w:rsidRPr="00561A19">
        <w:rPr>
          <w:b/>
          <w:sz w:val="28"/>
          <w:szCs w:val="28"/>
        </w:rPr>
        <w:t xml:space="preserve">TIMES HIGHER EDUCATION </w:t>
      </w:r>
      <w:r w:rsidR="00396BBE" w:rsidRPr="00561A19">
        <w:rPr>
          <w:b/>
          <w:sz w:val="28"/>
          <w:szCs w:val="28"/>
        </w:rPr>
        <w:t xml:space="preserve">LATINOAMÉRICA </w:t>
      </w:r>
    </w:p>
    <w:p w14:paraId="206DCAFA" w14:textId="77777777" w:rsidR="00EF2EDE" w:rsidRPr="00561A19" w:rsidRDefault="00EF2EDE" w:rsidP="00556FA9">
      <w:pPr>
        <w:spacing w:after="0" w:line="240" w:lineRule="auto"/>
        <w:rPr>
          <w:sz w:val="24"/>
        </w:rPr>
      </w:pPr>
    </w:p>
    <w:p w14:paraId="20A2FACF" w14:textId="5C1071C6" w:rsidR="001A7CDB" w:rsidRPr="00561A19" w:rsidRDefault="001A7CDB" w:rsidP="00556F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 xml:space="preserve">Times Higher Education (THE) publicó la edición del ranking latinoamericano de universidades el día </w:t>
      </w:r>
      <w:r w:rsidR="00F23AE7" w:rsidRPr="00561A19">
        <w:rPr>
          <w:sz w:val="24"/>
        </w:rPr>
        <w:t>20</w:t>
      </w:r>
      <w:r w:rsidRPr="00561A19">
        <w:rPr>
          <w:sz w:val="24"/>
        </w:rPr>
        <w:t xml:space="preserve"> de julio de 201</w:t>
      </w:r>
      <w:r w:rsidR="00F23AE7" w:rsidRPr="00561A19">
        <w:rPr>
          <w:sz w:val="24"/>
        </w:rPr>
        <w:t>7</w:t>
      </w:r>
      <w:r w:rsidRPr="00561A19">
        <w:rPr>
          <w:sz w:val="24"/>
        </w:rPr>
        <w:t xml:space="preserve">. </w:t>
      </w:r>
    </w:p>
    <w:p w14:paraId="1ACF18D8" w14:textId="77777777" w:rsidR="006D2A38" w:rsidRPr="00561A19" w:rsidRDefault="006D2A38" w:rsidP="00556FA9">
      <w:pPr>
        <w:pStyle w:val="Prrafodelista"/>
        <w:spacing w:after="0" w:line="240" w:lineRule="auto"/>
        <w:jc w:val="both"/>
        <w:rPr>
          <w:sz w:val="24"/>
        </w:rPr>
      </w:pPr>
    </w:p>
    <w:p w14:paraId="7BF1C552" w14:textId="46EB33A0" w:rsidR="00BC0809" w:rsidRPr="00561A19" w:rsidRDefault="00BC0809" w:rsidP="00BC08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Aun no se han publicado los resultados del ranking THE Mundial 201</w:t>
      </w:r>
      <w:r w:rsidR="00D67286" w:rsidRPr="00561A19">
        <w:rPr>
          <w:sz w:val="24"/>
        </w:rPr>
        <w:t>7</w:t>
      </w:r>
      <w:r w:rsidRPr="00561A19">
        <w:rPr>
          <w:sz w:val="24"/>
        </w:rPr>
        <w:t>-201</w:t>
      </w:r>
      <w:r w:rsidR="00D67286" w:rsidRPr="00561A19">
        <w:rPr>
          <w:sz w:val="24"/>
        </w:rPr>
        <w:t>8.</w:t>
      </w:r>
    </w:p>
    <w:p w14:paraId="052BC471" w14:textId="77777777" w:rsidR="00BC0809" w:rsidRPr="00561A19" w:rsidRDefault="00BC0809" w:rsidP="00BC0809">
      <w:pPr>
        <w:pStyle w:val="Prrafodelista"/>
        <w:rPr>
          <w:sz w:val="24"/>
        </w:rPr>
      </w:pPr>
    </w:p>
    <w:p w14:paraId="277C970A" w14:textId="6A923703" w:rsidR="001A7CDB" w:rsidRPr="00561A19" w:rsidRDefault="00745041" w:rsidP="00556F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 xml:space="preserve">En la edición 2017 del </w:t>
      </w:r>
      <w:r w:rsidR="006D2A38" w:rsidRPr="00561A19">
        <w:rPr>
          <w:sz w:val="24"/>
        </w:rPr>
        <w:t xml:space="preserve">ranking </w:t>
      </w:r>
      <w:r w:rsidR="001A7CDB" w:rsidRPr="00561A19">
        <w:rPr>
          <w:sz w:val="24"/>
        </w:rPr>
        <w:t xml:space="preserve">THE Latinoamérica, </w:t>
      </w:r>
      <w:r w:rsidRPr="00561A19">
        <w:rPr>
          <w:sz w:val="24"/>
        </w:rPr>
        <w:t>la UNAM fue cl</w:t>
      </w:r>
      <w:r w:rsidR="00074F01">
        <w:rPr>
          <w:sz w:val="24"/>
        </w:rPr>
        <w:t xml:space="preserve">asificada en la décima posición, situando a la universidad </w:t>
      </w:r>
      <w:r w:rsidRPr="00561A19">
        <w:rPr>
          <w:sz w:val="24"/>
        </w:rPr>
        <w:t xml:space="preserve">como la </w:t>
      </w:r>
      <w:r w:rsidR="001A7CDB" w:rsidRPr="00561A19">
        <w:rPr>
          <w:sz w:val="24"/>
        </w:rPr>
        <w:t xml:space="preserve">segunda mejor universidad al estar por debajo del Instituto Tecnológico y de Estudios Superiores de Monterrey (ITESM) quién se ubica en el </w:t>
      </w:r>
      <w:r w:rsidR="002871EB" w:rsidRPr="00561A19">
        <w:rPr>
          <w:sz w:val="24"/>
        </w:rPr>
        <w:t xml:space="preserve">sexto </w:t>
      </w:r>
      <w:r w:rsidR="001A7CDB" w:rsidRPr="00561A19">
        <w:rPr>
          <w:sz w:val="24"/>
        </w:rPr>
        <w:t>lugar del ranking.</w:t>
      </w:r>
    </w:p>
    <w:p w14:paraId="0C57CB75" w14:textId="77777777" w:rsidR="006D2A38" w:rsidRPr="00561A19" w:rsidRDefault="006D2A38" w:rsidP="00556FA9">
      <w:pPr>
        <w:pStyle w:val="Prrafodelista"/>
        <w:spacing w:after="0"/>
        <w:rPr>
          <w:sz w:val="24"/>
        </w:rPr>
      </w:pPr>
    </w:p>
    <w:p w14:paraId="5C94F4D6" w14:textId="77777777" w:rsidR="00A2224C" w:rsidRPr="00561A19" w:rsidRDefault="00A2224C" w:rsidP="00A22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561A19">
        <w:rPr>
          <w:b/>
          <w:sz w:val="24"/>
        </w:rPr>
        <w:t>Metodología e Indicadores</w:t>
      </w:r>
    </w:p>
    <w:p w14:paraId="5D4DF7B1" w14:textId="77777777" w:rsidR="00A2224C" w:rsidRPr="00561A19" w:rsidRDefault="00A2224C" w:rsidP="00A2224C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6975"/>
        <w:gridCol w:w="1398"/>
      </w:tblGrid>
      <w:tr w:rsidR="00575FB7" w:rsidRPr="00561A19" w14:paraId="6E0C6674" w14:textId="77777777" w:rsidTr="008B678C">
        <w:trPr>
          <w:trHeight w:val="30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56CA973" w14:textId="77777777" w:rsidR="00575FB7" w:rsidRPr="00561A19" w:rsidRDefault="00575FB7" w:rsidP="00575FB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Indicador</w:t>
            </w:r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4AD7C69" w14:textId="77777777" w:rsidR="00575FB7" w:rsidRPr="00561A19" w:rsidRDefault="00575FB7" w:rsidP="00575FB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Descripción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E8ACDF8" w14:textId="77777777" w:rsidR="00575FB7" w:rsidRPr="00561A19" w:rsidRDefault="00575FB7" w:rsidP="00575FB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Ponderador</w:t>
            </w:r>
          </w:p>
        </w:tc>
      </w:tr>
      <w:tr w:rsidR="00575FB7" w:rsidRPr="00561A19" w14:paraId="143DC7C6" w14:textId="77777777" w:rsidTr="008B678C">
        <w:trPr>
          <w:trHeight w:val="301"/>
          <w:jc w:val="center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5E0C" w14:textId="77777777" w:rsidR="00575FB7" w:rsidRPr="00561A19" w:rsidRDefault="00575FB7" w:rsidP="00575FB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 xml:space="preserve">Citas </w:t>
            </w:r>
          </w:p>
          <w:p w14:paraId="6CC3554B" w14:textId="72CEB9FD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(20%)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007B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Promedio de citas a los artículos en revistas indexadas en Elsevier Scopus entre la planta académica, en un periodo de 5 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2742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20%</w:t>
            </w:r>
          </w:p>
        </w:tc>
      </w:tr>
      <w:tr w:rsidR="00575FB7" w:rsidRPr="00561A19" w14:paraId="3F18769A" w14:textId="77777777" w:rsidTr="008B678C">
        <w:trPr>
          <w:trHeight w:val="180"/>
          <w:jc w:val="center"/>
        </w:trPr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CD28" w14:textId="77777777" w:rsidR="00575FB7" w:rsidRPr="00561A19" w:rsidRDefault="00575FB7" w:rsidP="00575FB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 xml:space="preserve">Docencia </w:t>
            </w:r>
          </w:p>
          <w:p w14:paraId="2125C4A2" w14:textId="592A2AA2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(36%)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3C30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Encuesta de reputación sobre docencia aplicada a académicos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E644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15%</w:t>
            </w:r>
          </w:p>
        </w:tc>
      </w:tr>
      <w:tr w:rsidR="00575FB7" w:rsidRPr="00561A19" w14:paraId="2D0BAB1A" w14:textId="77777777" w:rsidTr="008B678C">
        <w:trPr>
          <w:trHeight w:val="211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B8C1" w14:textId="77777777" w:rsidR="00575FB7" w:rsidRPr="00561A19" w:rsidRDefault="00575FB7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908A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Proporción de estudiantes entre número de académicos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E277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5%</w:t>
            </w:r>
          </w:p>
        </w:tc>
      </w:tr>
      <w:tr w:rsidR="00575FB7" w:rsidRPr="00561A19" w14:paraId="24C930CC" w14:textId="77777777" w:rsidTr="008B678C">
        <w:trPr>
          <w:trHeight w:val="180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BCF1" w14:textId="77777777" w:rsidR="00575FB7" w:rsidRPr="00561A19" w:rsidRDefault="00575FB7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41BD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Doctorados otorgados entre licenciaturas otorgadas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E7D8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5%</w:t>
            </w:r>
          </w:p>
        </w:tc>
      </w:tr>
      <w:tr w:rsidR="00575FB7" w:rsidRPr="00561A19" w14:paraId="3836599D" w14:textId="77777777" w:rsidTr="008B678C">
        <w:trPr>
          <w:trHeight w:val="225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C817" w14:textId="77777777" w:rsidR="00575FB7" w:rsidRPr="00561A19" w:rsidRDefault="00575FB7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0D39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 xml:space="preserve">Doctorados otorgados entre número de académicos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08A4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5%</w:t>
            </w:r>
          </w:p>
        </w:tc>
      </w:tr>
      <w:tr w:rsidR="00575FB7" w:rsidRPr="00561A19" w14:paraId="3F1D34B8" w14:textId="77777777" w:rsidTr="008B678C">
        <w:trPr>
          <w:trHeight w:val="203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B44E" w14:textId="77777777" w:rsidR="00575FB7" w:rsidRPr="00561A19" w:rsidRDefault="00575FB7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C6C4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 xml:space="preserve">Presupuesto para docencia entre número de académicos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0A0C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6%</w:t>
            </w:r>
          </w:p>
        </w:tc>
      </w:tr>
      <w:tr w:rsidR="00575FB7" w:rsidRPr="00561A19" w14:paraId="1BCE0966" w14:textId="77777777" w:rsidTr="008B678C">
        <w:trPr>
          <w:trHeight w:val="203"/>
          <w:jc w:val="center"/>
        </w:trPr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3FD3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 xml:space="preserve">Investigación </w:t>
            </w:r>
            <w:r w:rsidRPr="00561A19">
              <w:rPr>
                <w:sz w:val="18"/>
                <w:szCs w:val="20"/>
              </w:rPr>
              <w:t>(34%)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5858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Encuesta de reputación sobre investigación aplicada a académicos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07E0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18%</w:t>
            </w:r>
          </w:p>
        </w:tc>
      </w:tr>
      <w:tr w:rsidR="00575FB7" w:rsidRPr="00561A19" w14:paraId="600E2144" w14:textId="77777777" w:rsidTr="008B678C">
        <w:trPr>
          <w:trHeight w:val="241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4C9F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3CF0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 xml:space="preserve">Financiamiento para investigación entre número de académicos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A07A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6%</w:t>
            </w:r>
          </w:p>
        </w:tc>
      </w:tr>
      <w:tr w:rsidR="00575FB7" w:rsidRPr="00561A19" w14:paraId="1C657E2F" w14:textId="77777777" w:rsidTr="008B678C">
        <w:trPr>
          <w:trHeight w:val="301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0958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2E10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Promedio de artículos publicados en revistas indexadas en Elsevier Scopus entre el número de académicos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0563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10%</w:t>
            </w:r>
          </w:p>
        </w:tc>
      </w:tr>
      <w:tr w:rsidR="00575FB7" w:rsidRPr="00561A19" w14:paraId="0ECDA6B5" w14:textId="77777777" w:rsidTr="008B678C">
        <w:trPr>
          <w:trHeight w:val="301"/>
          <w:jc w:val="center"/>
        </w:trPr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9508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Perspectiva internacional</w:t>
            </w:r>
            <w:r w:rsidRPr="00561A19">
              <w:rPr>
                <w:sz w:val="18"/>
                <w:szCs w:val="20"/>
              </w:rPr>
              <w:t xml:space="preserve"> (7.5%)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4A72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Proporción de académicos internacionales entre académicos nacionales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B8AE" w14:textId="77777777" w:rsidR="00575FB7" w:rsidRPr="00F57DC0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57DC0">
              <w:rPr>
                <w:sz w:val="18"/>
                <w:szCs w:val="20"/>
              </w:rPr>
              <w:t>2.5%</w:t>
            </w:r>
          </w:p>
        </w:tc>
      </w:tr>
      <w:tr w:rsidR="00575FB7" w:rsidRPr="00561A19" w14:paraId="6445C7DE" w14:textId="77777777" w:rsidTr="008B678C">
        <w:trPr>
          <w:trHeight w:val="301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29C7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575D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Proporción de estudiantes internacionales entre estudiantes nacionales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5ABD" w14:textId="77777777" w:rsidR="00575FB7" w:rsidRPr="00F57DC0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57DC0">
              <w:rPr>
                <w:sz w:val="18"/>
                <w:szCs w:val="20"/>
              </w:rPr>
              <w:t>2.5%</w:t>
            </w:r>
          </w:p>
        </w:tc>
      </w:tr>
      <w:tr w:rsidR="00575FB7" w:rsidRPr="00561A19" w14:paraId="582663C3" w14:textId="77777777" w:rsidTr="008B678C">
        <w:trPr>
          <w:trHeight w:val="294"/>
          <w:jc w:val="center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8D3A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D466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 xml:space="preserve">Proporción de artículos publicados con coautores internacionales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F6DD" w14:textId="77777777" w:rsidR="00575FB7" w:rsidRPr="00F57DC0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57DC0">
              <w:rPr>
                <w:sz w:val="18"/>
                <w:szCs w:val="20"/>
              </w:rPr>
              <w:t>2.5%</w:t>
            </w:r>
          </w:p>
        </w:tc>
      </w:tr>
      <w:tr w:rsidR="00575FB7" w:rsidRPr="00561A19" w14:paraId="0EA09BFC" w14:textId="77777777" w:rsidTr="008B678C">
        <w:trPr>
          <w:trHeight w:val="301"/>
          <w:jc w:val="center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03C2" w14:textId="77777777" w:rsidR="00575FB7" w:rsidRPr="00561A19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Financiamiento de la industria</w:t>
            </w:r>
            <w:r w:rsidRPr="00561A19">
              <w:rPr>
                <w:sz w:val="18"/>
                <w:szCs w:val="20"/>
              </w:rPr>
              <w:t xml:space="preserve"> (2.5%)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141A" w14:textId="77777777" w:rsidR="00575FB7" w:rsidRPr="00561A19" w:rsidRDefault="00575FB7" w:rsidP="00575FB7">
            <w:pPr>
              <w:spacing w:after="0" w:line="240" w:lineRule="auto"/>
              <w:rPr>
                <w:sz w:val="18"/>
                <w:szCs w:val="20"/>
              </w:rPr>
            </w:pPr>
            <w:r w:rsidRPr="00561A19">
              <w:rPr>
                <w:sz w:val="18"/>
                <w:szCs w:val="20"/>
              </w:rPr>
              <w:t>Financiamiento proveniente de la industria dedicado a la investigación entre el número de académicos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EF21" w14:textId="77777777" w:rsidR="00575FB7" w:rsidRPr="00F57DC0" w:rsidRDefault="00575FB7" w:rsidP="00575F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57DC0">
              <w:rPr>
                <w:sz w:val="18"/>
                <w:szCs w:val="20"/>
              </w:rPr>
              <w:t>2.5%</w:t>
            </w:r>
          </w:p>
        </w:tc>
      </w:tr>
    </w:tbl>
    <w:p w14:paraId="0713C1EF" w14:textId="77777777" w:rsidR="00556FA9" w:rsidRPr="00561A19" w:rsidRDefault="00556FA9" w:rsidP="00556FA9">
      <w:pPr>
        <w:spacing w:after="0"/>
        <w:rPr>
          <w:sz w:val="24"/>
        </w:rPr>
      </w:pPr>
    </w:p>
    <w:p w14:paraId="01248E7F" w14:textId="1AEBD862" w:rsidR="00236AB1" w:rsidRPr="00561A19" w:rsidRDefault="00236AB1" w:rsidP="00236A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Todos los puntajes del ranking se encuentran normalizados al 100% con respecto a las universidades con mejor desempeño en cada indicador.</w:t>
      </w:r>
    </w:p>
    <w:p w14:paraId="2073ABB2" w14:textId="77777777" w:rsidR="00236AB1" w:rsidRPr="00561A19" w:rsidRDefault="00236AB1" w:rsidP="00556FA9">
      <w:pPr>
        <w:spacing w:after="0"/>
        <w:rPr>
          <w:sz w:val="24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919"/>
        <w:gridCol w:w="1919"/>
      </w:tblGrid>
      <w:tr w:rsidR="009857C4" w:rsidRPr="00561A19" w14:paraId="6E9E4E15" w14:textId="77777777" w:rsidTr="00A20978">
        <w:trPr>
          <w:trHeight w:val="232"/>
          <w:jc w:val="center"/>
        </w:trPr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C0C7" w14:textId="05D3EF4B" w:rsidR="009857C4" w:rsidRPr="00561A19" w:rsidRDefault="009857C4" w:rsidP="00885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</w:pPr>
            <w:r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Tabla 1. </w:t>
            </w:r>
            <w:r w:rsidR="00556FA9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Comparación de la variación en los ponderadores utilizados en el ranking </w:t>
            </w:r>
            <w:r w:rsidR="00CC478C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THE </w:t>
            </w:r>
            <w:r w:rsidR="00556FA9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mundial 201</w:t>
            </w:r>
            <w:r w:rsidR="00885344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6</w:t>
            </w:r>
            <w:r w:rsidR="00556FA9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-201</w:t>
            </w:r>
            <w:r w:rsidR="00885344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7</w:t>
            </w:r>
            <w:r w:rsidR="00556FA9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 y el ranking </w:t>
            </w:r>
            <w:r w:rsidR="00CC478C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THE </w:t>
            </w:r>
            <w:r w:rsidR="00556FA9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Latinoamérica 201</w:t>
            </w:r>
            <w:r w:rsidR="00885344" w:rsidRPr="00561A19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7.</w:t>
            </w:r>
          </w:p>
        </w:tc>
      </w:tr>
      <w:tr w:rsidR="00556FA9" w:rsidRPr="00561A19" w14:paraId="12F796D8" w14:textId="77777777" w:rsidTr="00A20978">
        <w:trPr>
          <w:trHeight w:val="479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019FC4" w14:textId="5FAF7FD7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b/>
                <w:sz w:val="18"/>
                <w:szCs w:val="20"/>
              </w:rPr>
              <w:t>Indicador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DFF658" w14:textId="77777777" w:rsidR="00A20978" w:rsidRPr="00561A19" w:rsidRDefault="00A20978" w:rsidP="00A2097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Ranking</w:t>
            </w:r>
          </w:p>
          <w:p w14:paraId="075ACBF1" w14:textId="109C195B" w:rsidR="00556FA9" w:rsidRPr="00561A19" w:rsidRDefault="00A20978" w:rsidP="00A2097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L</w:t>
            </w:r>
            <w:r w:rsidR="00556FA9" w:rsidRPr="00561A19">
              <w:rPr>
                <w:b/>
                <w:sz w:val="18"/>
                <w:szCs w:val="20"/>
              </w:rPr>
              <w:t>atinoamérica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21483" w14:textId="77777777" w:rsidR="00A20978" w:rsidRPr="00561A19" w:rsidRDefault="00A20978" w:rsidP="00A2097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 xml:space="preserve">Ranking </w:t>
            </w:r>
          </w:p>
          <w:p w14:paraId="518FC14D" w14:textId="5E39B6E3" w:rsidR="00556FA9" w:rsidRPr="00561A19" w:rsidRDefault="00556FA9" w:rsidP="00A20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b/>
                <w:sz w:val="18"/>
                <w:szCs w:val="20"/>
              </w:rPr>
              <w:t>Mundial</w:t>
            </w:r>
          </w:p>
        </w:tc>
      </w:tr>
      <w:tr w:rsidR="00556FA9" w:rsidRPr="00561A19" w14:paraId="34DCB68D" w14:textId="77777777" w:rsidTr="00A20978">
        <w:trPr>
          <w:trHeight w:val="221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595" w14:textId="1603F4E2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Citas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5A4" w14:textId="7A826679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20%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D7B" w14:textId="77A222D2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30%</w:t>
            </w:r>
          </w:p>
        </w:tc>
      </w:tr>
      <w:tr w:rsidR="00556FA9" w:rsidRPr="00561A19" w14:paraId="1B5A6809" w14:textId="77777777" w:rsidTr="00A20978">
        <w:trPr>
          <w:trHeight w:val="221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B2F" w14:textId="221EBDAA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Docencia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A06" w14:textId="105EE17A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36%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AC0" w14:textId="22FCBA12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30%</w:t>
            </w:r>
          </w:p>
        </w:tc>
      </w:tr>
      <w:tr w:rsidR="00556FA9" w:rsidRPr="00561A19" w14:paraId="0EAC65FC" w14:textId="77777777" w:rsidTr="00A20978">
        <w:trPr>
          <w:trHeight w:val="221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178" w14:textId="547B1995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Investigación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A87" w14:textId="11914931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34%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741" w14:textId="0DB18B09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30%</w:t>
            </w:r>
          </w:p>
        </w:tc>
      </w:tr>
      <w:tr w:rsidR="00556FA9" w:rsidRPr="00561A19" w14:paraId="40FDCD93" w14:textId="77777777" w:rsidTr="00A20978">
        <w:trPr>
          <w:trHeight w:val="221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DA" w14:textId="6F2F8E84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Perspectiva internacional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CD1" w14:textId="0E7B4B47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7.5%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1B3" w14:textId="2B0396DF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7.5%</w:t>
            </w:r>
          </w:p>
        </w:tc>
      </w:tr>
      <w:tr w:rsidR="00556FA9" w:rsidRPr="00561A19" w14:paraId="367BBD31" w14:textId="77777777" w:rsidTr="00A20978">
        <w:trPr>
          <w:trHeight w:val="221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6C" w14:textId="30D63E45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Financiamiento de la industria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1EF" w14:textId="2A44C92D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2.5%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7B" w14:textId="2BE69492" w:rsidR="00556FA9" w:rsidRPr="00561A19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8"/>
                <w:szCs w:val="20"/>
                <w:lang w:eastAsia="es-MX"/>
              </w:rPr>
            </w:pPr>
            <w:r w:rsidRPr="00561A19">
              <w:rPr>
                <w:sz w:val="18"/>
                <w:szCs w:val="20"/>
              </w:rPr>
              <w:t>2.5%</w:t>
            </w:r>
          </w:p>
        </w:tc>
      </w:tr>
    </w:tbl>
    <w:p w14:paraId="5B424519" w14:textId="77777777" w:rsidR="007D48C0" w:rsidRPr="00561A19" w:rsidRDefault="007D48C0" w:rsidP="007D48C0">
      <w:pPr>
        <w:pStyle w:val="Prrafodelista"/>
        <w:spacing w:after="0" w:line="240" w:lineRule="auto"/>
        <w:jc w:val="both"/>
        <w:rPr>
          <w:b/>
          <w:sz w:val="24"/>
        </w:rPr>
      </w:pPr>
      <w:r w:rsidRPr="00561A19">
        <w:rPr>
          <w:b/>
          <w:sz w:val="24"/>
        </w:rPr>
        <w:lastRenderedPageBreak/>
        <w:t>Resultados</w:t>
      </w:r>
    </w:p>
    <w:p w14:paraId="252A5865" w14:textId="0C180FF6" w:rsidR="00803500" w:rsidRPr="00561A19" w:rsidRDefault="00797EBA" w:rsidP="008035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En el THE Latinoamérica 2017 se clasificaron a 81 universidades de ocho países</w:t>
      </w:r>
      <w:r w:rsidR="00385B7D" w:rsidRPr="00561A19">
        <w:rPr>
          <w:sz w:val="24"/>
        </w:rPr>
        <w:t>, a continuación se presentan los datos del número de universidades por país, así como el puntaje obtenido por las universidades en los diferentes indicadores</w:t>
      </w:r>
      <w:r w:rsidR="00803500" w:rsidRPr="00561A19">
        <w:rPr>
          <w:sz w:val="24"/>
        </w:rPr>
        <w:t>.</w:t>
      </w:r>
    </w:p>
    <w:p w14:paraId="2ADB7A92" w14:textId="77777777" w:rsidR="00797EBA" w:rsidRPr="00561A19" w:rsidRDefault="00797EBA" w:rsidP="00797EB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7"/>
      </w:tblGrid>
      <w:tr w:rsidR="00797EBA" w:rsidRPr="00561A19" w14:paraId="6E98CA9A" w14:textId="77777777" w:rsidTr="006C79D4">
        <w:trPr>
          <w:trHeight w:val="427"/>
          <w:jc w:val="center"/>
        </w:trPr>
        <w:tc>
          <w:tcPr>
            <w:tcW w:w="9072" w:type="dxa"/>
            <w:shd w:val="clear" w:color="auto" w:fill="auto"/>
            <w:noWrap/>
            <w:vAlign w:val="center"/>
          </w:tcPr>
          <w:p w14:paraId="201C092D" w14:textId="77777777" w:rsidR="00797EBA" w:rsidRPr="00561A19" w:rsidRDefault="00797EBA" w:rsidP="006C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Gráfico 1. Total de universidades por país en el</w:t>
            </w:r>
            <w:r w:rsidRPr="00561A19">
              <w:rPr>
                <w:sz w:val="20"/>
              </w:rPr>
              <w:t xml:space="preserve"> </w:t>
            </w: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ranking THE Latinoamérica 2017.</w:t>
            </w:r>
          </w:p>
        </w:tc>
      </w:tr>
      <w:tr w:rsidR="00797EBA" w:rsidRPr="00561A19" w14:paraId="29C012D4" w14:textId="77777777" w:rsidTr="006C79D4">
        <w:trPr>
          <w:trHeight w:val="427"/>
          <w:jc w:val="center"/>
        </w:trPr>
        <w:tc>
          <w:tcPr>
            <w:tcW w:w="9072" w:type="dxa"/>
            <w:shd w:val="clear" w:color="auto" w:fill="auto"/>
            <w:noWrap/>
            <w:vAlign w:val="center"/>
          </w:tcPr>
          <w:p w14:paraId="76A16C2E" w14:textId="77777777" w:rsidR="00797EBA" w:rsidRPr="00561A19" w:rsidRDefault="00797EBA" w:rsidP="006C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561A19">
              <w:rPr>
                <w:noProof/>
                <w:lang w:eastAsia="es-MX"/>
              </w:rPr>
              <w:drawing>
                <wp:inline distT="0" distB="0" distL="0" distR="0" wp14:anchorId="489F1B11" wp14:editId="6BCD7249">
                  <wp:extent cx="6195975" cy="2150669"/>
                  <wp:effectExtent l="0" t="0" r="0" b="254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EE9B241" w14:textId="77777777" w:rsidR="00797EBA" w:rsidRPr="00561A19" w:rsidRDefault="00797EBA" w:rsidP="00797EB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6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412"/>
        <w:gridCol w:w="949"/>
        <w:gridCol w:w="905"/>
        <w:gridCol w:w="906"/>
        <w:gridCol w:w="1149"/>
        <w:gridCol w:w="866"/>
        <w:gridCol w:w="1269"/>
        <w:gridCol w:w="1392"/>
        <w:gridCol w:w="6"/>
      </w:tblGrid>
      <w:tr w:rsidR="00803500" w:rsidRPr="00561A19" w14:paraId="0D1CCE85" w14:textId="77777777" w:rsidTr="00CC2FF8">
        <w:trPr>
          <w:trHeight w:val="336"/>
          <w:tblHeader/>
          <w:jc w:val="center"/>
        </w:trPr>
        <w:tc>
          <w:tcPr>
            <w:tcW w:w="1168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A9181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2. Posición de las universidades en el ranking THE Latinoamérica 2017.</w:t>
            </w:r>
          </w:p>
        </w:tc>
      </w:tr>
      <w:tr w:rsidR="00CC2FF8" w:rsidRPr="00561A19" w14:paraId="50E462DC" w14:textId="77777777" w:rsidTr="00CC2FF8">
        <w:trPr>
          <w:gridAfter w:val="1"/>
          <w:wAfter w:w="6" w:type="dxa"/>
          <w:trHeight w:val="33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52B70D3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Posición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E942473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447026D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33507B6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Puntaje</w:t>
            </w:r>
            <w:r w:rsidRPr="00561A19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4758B1C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C66A1A3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853DCC7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449B414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Perspectiva internacional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A8E51C9" w14:textId="77777777" w:rsidR="00803500" w:rsidRPr="00561A19" w:rsidRDefault="00803500" w:rsidP="0061346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61A19">
              <w:rPr>
                <w:b/>
                <w:sz w:val="18"/>
                <w:szCs w:val="20"/>
              </w:rPr>
              <w:t>Financiamiento de la industria</w:t>
            </w:r>
          </w:p>
        </w:tc>
      </w:tr>
      <w:tr w:rsidR="00803500" w:rsidRPr="00561A19" w14:paraId="759AFDD3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7F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6F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0C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54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5D6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48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78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8BD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E1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</w:tr>
      <w:tr w:rsidR="00CC2FF8" w:rsidRPr="00561A19" w14:paraId="36C0172E" w14:textId="77777777" w:rsidTr="00CC2FF8">
        <w:trPr>
          <w:gridAfter w:val="1"/>
          <w:wAfter w:w="6" w:type="dxa"/>
          <w:trHeight w:val="33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086B8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121F3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36C0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93F81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2A44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857B6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DD0EF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94EC8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3EBF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50.2</w:t>
            </w:r>
          </w:p>
        </w:tc>
      </w:tr>
      <w:tr w:rsidR="00803500" w:rsidRPr="00561A19" w14:paraId="18DCECF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1F4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E1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254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C9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4E3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E1B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AE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B59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A6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</w:tr>
      <w:tr w:rsidR="00CC2FF8" w:rsidRPr="00561A19" w14:paraId="565494FF" w14:textId="77777777" w:rsidTr="00CC2FF8">
        <w:trPr>
          <w:gridAfter w:val="1"/>
          <w:wAfter w:w="6" w:type="dxa"/>
          <w:trHeight w:val="35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7C28A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190B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8F5A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AEB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D47A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C3887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574E8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6BFF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60B1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34.9</w:t>
            </w:r>
          </w:p>
        </w:tc>
      </w:tr>
      <w:tr w:rsidR="00803500" w:rsidRPr="00561A19" w14:paraId="00D80F66" w14:textId="77777777" w:rsidTr="00CC2FF8">
        <w:trPr>
          <w:gridAfter w:val="1"/>
          <w:wAfter w:w="6" w:type="dxa"/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F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EF6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B4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A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92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84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C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6DB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7C5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</w:tr>
      <w:tr w:rsidR="00CC2FF8" w:rsidRPr="00561A19" w14:paraId="4684A228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D3691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3513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EFF9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A063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84E1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924F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B282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09B5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4288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99.6</w:t>
            </w:r>
          </w:p>
        </w:tc>
      </w:tr>
      <w:tr w:rsidR="00803500" w:rsidRPr="00561A19" w14:paraId="5F2285F2" w14:textId="77777777" w:rsidTr="00CC2FF8">
        <w:trPr>
          <w:gridAfter w:val="1"/>
          <w:wAfter w:w="6" w:type="dxa"/>
          <w:trHeight w:val="3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B8D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ED0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Paulo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4F0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0E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80F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54E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0C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379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CC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40.3</w:t>
            </w:r>
          </w:p>
        </w:tc>
      </w:tr>
      <w:tr w:rsidR="00CC2FF8" w:rsidRPr="00561A19" w14:paraId="62D4FCD9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9875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49895E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27AB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CEFE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B524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0F2F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6DBC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9610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FBB17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</w:tr>
      <w:tr w:rsidR="00803500" w:rsidRPr="00561A19" w14:paraId="6AEB4444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F50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85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Río de Janeiro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ED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CF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20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975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485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B8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AB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CC2FF8" w:rsidRPr="00561A19" w14:paraId="64354661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A6CA3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A9181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0D2DD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A3D5D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F58F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40C7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EEED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CD3F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AC974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</w:tr>
      <w:tr w:rsidR="00803500" w:rsidRPr="00561A19" w14:paraId="09FAF59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62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52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Minas Gerais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A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E8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14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A9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C7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F4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AC9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</w:tr>
      <w:tr w:rsidR="00CC2FF8" w:rsidRPr="00561A19" w14:paraId="0CC7E59F" w14:textId="77777777" w:rsidTr="00CC2FF8">
        <w:trPr>
          <w:gridAfter w:val="1"/>
          <w:wAfter w:w="6" w:type="dxa"/>
          <w:trHeight w:val="34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AD780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379C4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3358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9A0B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82F9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D60E1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7739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9CBD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D86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803500" w:rsidRPr="00561A19" w14:paraId="2B359B43" w14:textId="77777777" w:rsidTr="00CC2FF8">
        <w:trPr>
          <w:gridAfter w:val="1"/>
          <w:wAfter w:w="6" w:type="dxa"/>
          <w:trHeight w:val="26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C51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3796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Concepción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31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1F6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CAE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59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32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DC4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FF4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86.9</w:t>
            </w:r>
          </w:p>
        </w:tc>
      </w:tr>
      <w:tr w:rsidR="00CC2FF8" w:rsidRPr="00561A19" w14:paraId="2FF60619" w14:textId="77777777" w:rsidTr="00CC2FF8">
        <w:trPr>
          <w:gridAfter w:val="1"/>
          <w:wAfter w:w="6" w:type="dxa"/>
          <w:trHeight w:val="26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922A3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ABCD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ABC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B441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02B5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C055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5DF2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EC15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D2A0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23656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</w:tr>
      <w:tr w:rsidR="00803500" w:rsidRPr="00561A19" w14:paraId="29BD78ED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B3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F4B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Catarina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98D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91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EB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F41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CC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2A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89E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CC2FF8" w:rsidRPr="00561A19" w14:paraId="1AE5255E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D4E87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612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Río Grande del Sur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2961F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124C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D393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8D90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8AF0E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D3E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A5CC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</w:tr>
      <w:tr w:rsidR="00803500" w:rsidRPr="00561A19" w14:paraId="66F7D1CD" w14:textId="77777777" w:rsidTr="00CC2FF8">
        <w:trPr>
          <w:gridAfter w:val="1"/>
          <w:wAfter w:w="6" w:type="dxa"/>
          <w:trHeight w:val="34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451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BB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Antioquia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D3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3D1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52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20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D7A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AD9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26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51.6</w:t>
            </w:r>
          </w:p>
        </w:tc>
      </w:tr>
      <w:tr w:rsidR="00CC2FF8" w:rsidRPr="00561A19" w14:paraId="1042CED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38A20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BD5D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Carlos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8161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3460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2F2D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B93C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FFE9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60E5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1F22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</w:tr>
      <w:tr w:rsidR="00803500" w:rsidRPr="00561A19" w14:paraId="3ACC51A8" w14:textId="77777777" w:rsidTr="00CC2FF8">
        <w:trPr>
          <w:gridAfter w:val="1"/>
          <w:wAfter w:w="6" w:type="dxa"/>
          <w:trHeight w:val="39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6C7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BD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Brasilia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0C8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9E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EE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DB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F77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23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40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646D5DF4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6564F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EFD6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ACD9B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95E9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F365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73FC1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A2A4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55140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D29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</w:tr>
      <w:tr w:rsidR="00803500" w:rsidRPr="00561A19" w14:paraId="5FEEEFD1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4E1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397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Valparaíso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9EA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CF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7B2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998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E02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372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422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</w:tr>
      <w:tr w:rsidR="00CC2FF8" w:rsidRPr="00561A19" w14:paraId="7CA2BE0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73055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A16B7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Técnica Federico Santa María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5AF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2A70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E04F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E160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44E5B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D868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EDC3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54.7</w:t>
            </w:r>
          </w:p>
        </w:tc>
      </w:tr>
      <w:tr w:rsidR="00803500" w:rsidRPr="00561A19" w14:paraId="1999E75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395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E9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Austral de Chile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91C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8A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747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31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4F8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49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765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</w:tr>
      <w:tr w:rsidR="00CC2FF8" w:rsidRPr="00561A19" w14:paraId="591B4271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4D82A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9E60E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Estado de Río de Janeiro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1B996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9CB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5C1F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E2E5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3A54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7989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24A00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55.7</w:t>
            </w:r>
          </w:p>
        </w:tc>
      </w:tr>
      <w:tr w:rsidR="00803500" w:rsidRPr="00561A19" w14:paraId="6DDEBFF8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E17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1B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Javeriana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94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CC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56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73E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F8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EB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35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36.8</w:t>
            </w:r>
          </w:p>
        </w:tc>
      </w:tr>
      <w:tr w:rsidR="00CC2FF8" w:rsidRPr="00561A19" w14:paraId="3F81AAD2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7810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26–30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D039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Pernambuco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9EA35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D66B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53.1–54.9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A956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38F1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4BE5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6114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1A13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</w:tr>
      <w:tr w:rsidR="00803500" w:rsidRPr="00561A19" w14:paraId="30F2F6C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01D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26–30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A736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A9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6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53.1–54.9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724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8A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8B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F0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1B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52.1</w:t>
            </w:r>
          </w:p>
        </w:tc>
      </w:tr>
      <w:tr w:rsidR="00CC2FF8" w:rsidRPr="00561A19" w14:paraId="38601B4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F2826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26–30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11C7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Córdoba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D7E2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4DB39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53.1–54.9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EEF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6A178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534D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98E8A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34D7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</w:tr>
      <w:tr w:rsidR="00803500" w:rsidRPr="00561A19" w14:paraId="1285984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56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26–30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8B7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Simón Bolívar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5B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93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53.1–54.9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30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C5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8F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11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B15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</w:tr>
      <w:tr w:rsidR="00CC2FF8" w:rsidRPr="00561A19" w14:paraId="5FF0421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3063D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26–30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30CD8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Santiago de Chile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076D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CBF3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53.1–54.9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5FC2D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3B97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E8C2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48FE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1B74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</w:tr>
      <w:tr w:rsidR="00803500" w:rsidRPr="00561A19" w14:paraId="4A6D4D0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F70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31–35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CA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Adolfo Ibáñez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21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091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49.6–51.6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A5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47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FA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00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CB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0AF467F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3211D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31–35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3335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Viçosa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350F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585D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49.6–51.6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BF6E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BAA1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870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275F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3522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76.4</w:t>
            </w:r>
          </w:p>
        </w:tc>
      </w:tr>
      <w:tr w:rsidR="00803500" w:rsidRPr="00561A19" w14:paraId="3B04E5F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F32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31–35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EE2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La Frontera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C62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F4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49.6–51.6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B3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6AD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0E6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30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B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35.9</w:t>
            </w:r>
          </w:p>
        </w:tc>
      </w:tr>
      <w:tr w:rsidR="00CC2FF8" w:rsidRPr="00561A19" w14:paraId="051E327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F849D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31–35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6A88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Talca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EB5B6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EE9B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49.6–51.6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812A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EF707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A9E7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DD9C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96B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</w:tr>
      <w:tr w:rsidR="00803500" w:rsidRPr="00561A19" w14:paraId="0C21017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E49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31–35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84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Valparaíso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F3A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FCD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49.6–51.6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7D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A6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63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1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1B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</w:tr>
      <w:tr w:rsidR="00CC2FF8" w:rsidRPr="00561A19" w14:paraId="71EEA8CD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4321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36–40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7417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Rosario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6983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B569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46.7–49.5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5D76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5E16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471A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9C41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4F3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</w:tr>
      <w:tr w:rsidR="00803500" w:rsidRPr="00561A19" w14:paraId="269092E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B3D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36–40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F4A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27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44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46.7–49.5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A49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A4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365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6F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6B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CC2FF8" w:rsidRPr="00561A19" w14:paraId="5CA74275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6038E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36–40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4BEDA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Ceará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CA9A7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4CF6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46.7–49.5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E4714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AEE7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A0E4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1F66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7CED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</w:tr>
      <w:tr w:rsidR="00803500" w:rsidRPr="00561A19" w14:paraId="1D7BFF59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647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36–40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FA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22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F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46.7–49.5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D64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64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DC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38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6B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</w:tr>
      <w:tr w:rsidR="00CC2FF8" w:rsidRPr="00561A19" w14:paraId="1527A02E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FFC3E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36–40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AAB0A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Desarrollo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5074B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AD21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46.7–49.5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ACA5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173D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B5480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947B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0945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</w:tr>
      <w:tr w:rsidR="00803500" w:rsidRPr="00561A19" w14:paraId="0B63AE5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BEC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41–45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FBB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del Norte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00F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E66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44.7–46.5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65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B93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2A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4A5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EC9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</w:tr>
      <w:tr w:rsidR="00CC2FF8" w:rsidRPr="00561A19" w14:paraId="66886F8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4ADC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41–45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C7C0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Fluminense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EB0E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51C4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44.7–46.5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4BB16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0B6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E563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DE59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D2CB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</w:tr>
      <w:tr w:rsidR="00803500" w:rsidRPr="00561A19" w14:paraId="745A4E31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214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41–45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9AD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Paraná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4CD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E8A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44.7–46.5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31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FC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B7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4B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16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41.4</w:t>
            </w:r>
          </w:p>
        </w:tc>
      </w:tr>
      <w:tr w:rsidR="00CC2FF8" w:rsidRPr="00561A19" w14:paraId="69DAEE9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76ACB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41–45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D506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Costa Rica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1A04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DE9F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44.7–46.5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C517A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9054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B998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FDC74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1E21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22.5</w:t>
            </w:r>
          </w:p>
        </w:tc>
      </w:tr>
      <w:tr w:rsidR="00803500" w:rsidRPr="00561A19" w14:paraId="1132C58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AC3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41–45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8AA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San Francisco de Quito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6F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2A9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44.7–46.5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2A9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C9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C3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948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245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32FC4104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D1383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46–50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6843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EA79C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EE52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43.1–44.0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A719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4BF4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B69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94C6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93D26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</w:tr>
      <w:tr w:rsidR="00803500" w:rsidRPr="00561A19" w14:paraId="49ED9C2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10B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46–50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E25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321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64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43.1–44.0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52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FE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07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B61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E6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</w:tr>
      <w:tr w:rsidR="00CC2FF8" w:rsidRPr="00561A19" w14:paraId="6CEF5C1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C40A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46–50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87719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DB14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27D22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43.1–44.0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613B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E018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D99E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75CEB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82B3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803500" w:rsidRPr="00561A19" w14:paraId="58E9C31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8AB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46–50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7C8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Central de Venezuela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46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A83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43.1–44.0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09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1C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1A1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19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F3B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</w:tr>
      <w:tr w:rsidR="00CC2FF8" w:rsidRPr="00561A19" w14:paraId="3BEF141E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E118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46–50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2A55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Andes, Venezuela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E7AE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F0BB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43.1–44.0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19D6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1946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5F3D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7D46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C12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803500" w:rsidRPr="00561A19" w14:paraId="54B0F110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855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8AE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Antonio Nariño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86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41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4B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BB0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6C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532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6B2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2BF620B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1CE5A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40926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Yucatán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FAE7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556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7916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31A1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D3BE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0BC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BC08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</w:tr>
      <w:tr w:rsidR="00803500" w:rsidRPr="00561A19" w14:paraId="28B5FBC0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B0E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25AD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Goiás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13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6AA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7F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EA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82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C1F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82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0796867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87B32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137DD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Lavras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8D8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4925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ECFE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B730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92C7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B7EE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718F6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</w:tr>
      <w:tr w:rsidR="00803500" w:rsidRPr="00561A19" w14:paraId="00742F03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FB6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BF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EC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96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2B1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3F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56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86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378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07B4B5B2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3C333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84EC58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Pelotas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BAF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9105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5685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FF5E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91F7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8164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C898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</w:tr>
      <w:tr w:rsidR="00803500" w:rsidRPr="00561A19" w14:paraId="1537AA7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233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02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Grande del Norte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B1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C6F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676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4B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1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4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FE4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</w:tr>
      <w:tr w:rsidR="00CC2FF8" w:rsidRPr="00561A19" w14:paraId="02007C5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31A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EC5C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759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B687F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8B396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68F2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F418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1E13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AAB0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803500" w:rsidRPr="00561A19" w14:paraId="28E5BA6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04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FB3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F8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8FF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C9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526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AC7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2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82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5A5AE90D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D6D1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51–60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E08FB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Norte, Colombia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B5CE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D8BE7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38.9–42.3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001A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C010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0BE4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0042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D2B8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</w:tr>
      <w:tr w:rsidR="00803500" w:rsidRPr="00561A19" w14:paraId="6658C6D3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74D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ED4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Austral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3A4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7C1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CD4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F79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D4D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2CA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F6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</w:tr>
      <w:tr w:rsidR="00CC2FF8" w:rsidRPr="00561A19" w14:paraId="7DDC645D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D086B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CCC9D6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67E8C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5A634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E6E3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7C16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C42CF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FDECA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D86E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803500" w:rsidRPr="00561A19" w14:paraId="600B765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42F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478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Escuela Politécnica Nacional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CE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E9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244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E0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CB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1F6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A4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</w:tr>
      <w:tr w:rsidR="00CC2FF8" w:rsidRPr="00561A19" w14:paraId="67F64F1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C842F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F047B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Ouro Preto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1BC65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94C16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CAFC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FA4C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E1577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421F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655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</w:tr>
      <w:tr w:rsidR="00803500" w:rsidRPr="00561A19" w14:paraId="1166B0B6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9C9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5A2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Presbiteriana Mackenzie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59D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DC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0D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F6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3A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AF2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7C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2FF0787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95E7C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A40FF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Bolivariana, Medellín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C3FD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A06B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FFAF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A90F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8546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A08B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D61D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</w:tr>
      <w:tr w:rsidR="00803500" w:rsidRPr="00561A19" w14:paraId="1CE8057C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0A0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BEB4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Maringá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B8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DE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988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33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AAE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9C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4B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35.4</w:t>
            </w:r>
          </w:p>
        </w:tc>
      </w:tr>
      <w:tr w:rsidR="00CC2FF8" w:rsidRPr="00561A19" w14:paraId="22C03FC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7313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7527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Ponta Grossa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43A8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866B4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CEE7B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B948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9CAE3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D46B4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3F02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803500" w:rsidRPr="00561A19" w14:paraId="54D900B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F06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F529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Chile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EA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3E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46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C1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CAE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994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E9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C2FF8" w:rsidRPr="00561A19" w14:paraId="4D418B4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DD2A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61–70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7773B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Valle de Sinos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60A7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C76F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30.9–38.3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6D6FD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8AA8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3D17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6BD4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95F1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</w:tr>
      <w:tr w:rsidR="00803500" w:rsidRPr="00561A19" w14:paraId="0C479CA7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380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43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7FD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03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51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D83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E2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E0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97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</w:tr>
      <w:tr w:rsidR="00CC2FF8" w:rsidRPr="00561A19" w14:paraId="0BE251C4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17C0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FD0D9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CC152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541BD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DA4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FC3E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BD56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6B1C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DEAB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</w:tr>
      <w:tr w:rsidR="00803500" w:rsidRPr="00561A19" w14:paraId="2974DC27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732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FD7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Nueve de Julio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EB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82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0F3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B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F05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AB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FF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CC2FF8" w:rsidRPr="00561A19" w14:paraId="66F53A1F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2E835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13271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Bahía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8D55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E707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D154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25A69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50DB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9B8F3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296E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</w:tr>
      <w:tr w:rsidR="00803500" w:rsidRPr="00561A19" w14:paraId="2C0EF97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954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CE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Tecnológica de Pereira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62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C7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7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4D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C9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ADF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0E3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</w:tr>
      <w:tr w:rsidR="00CC2FF8" w:rsidRPr="00561A19" w14:paraId="6D3899B5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85837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0D39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de Temuco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91B7D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45D23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9EB3D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7198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A12C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F168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F7E9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</w:tr>
      <w:tr w:rsidR="00803500" w:rsidRPr="00561A19" w14:paraId="7D20DD7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4B3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FD2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Distrital Francisco José de Caldas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82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96B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8D1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EE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19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F8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2D2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</w:tr>
      <w:tr w:rsidR="00CC2FF8" w:rsidRPr="00561A19" w14:paraId="1157A9CA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D921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B9263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Popular Autónoma del Estado de Puebla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BEC28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F8EA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15C0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3BEC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A8A0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EB93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4381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</w:tr>
      <w:tr w:rsidR="00803500" w:rsidRPr="00561A19" w14:paraId="4DDE791B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541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368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del Valle de Itajaí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4D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68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57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F96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326F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4DC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8C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</w:tr>
      <w:tr w:rsidR="00CC2FF8" w:rsidRPr="00561A19" w14:paraId="1B802B2D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D8EB9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286C0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Colima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884281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BFEAB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15BB9E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598A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6E55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09FFA5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1352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803500" w:rsidRPr="00561A19" w14:paraId="685EC0D9" w14:textId="77777777" w:rsidTr="00CC2FF8">
        <w:trPr>
          <w:gridAfter w:val="1"/>
          <w:wAfter w:w="6" w:type="dxa"/>
          <w:trHeight w:val="1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E5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71+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90C" w14:textId="77777777" w:rsidR="00803500" w:rsidRPr="00561A19" w:rsidRDefault="00803500" w:rsidP="0061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Universidad de La Sabana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FDDD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37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18.1–26.8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E60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79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1899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8BA2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ED4" w14:textId="77777777" w:rsidR="00803500" w:rsidRPr="00561A19" w:rsidRDefault="00803500" w:rsidP="0061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</w:tr>
      <w:tr w:rsidR="00803500" w:rsidRPr="00561A19" w14:paraId="5E63EB04" w14:textId="77777777" w:rsidTr="005C762D">
        <w:trPr>
          <w:trHeight w:val="67"/>
          <w:jc w:val="center"/>
        </w:trPr>
        <w:tc>
          <w:tcPr>
            <w:tcW w:w="1168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929C3" w14:textId="05CCA3E9" w:rsidR="00803500" w:rsidRPr="00561A19" w:rsidRDefault="00BF0E0F" w:rsidP="005C76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561A19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*Ordenando </w:t>
            </w:r>
            <w:r w:rsidRPr="00561A1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 a la posición obtenida en 2016.</w:t>
            </w:r>
          </w:p>
        </w:tc>
      </w:tr>
    </w:tbl>
    <w:p w14:paraId="0B1C0167" w14:textId="77777777" w:rsidR="00803500" w:rsidRPr="00561A19" w:rsidRDefault="00803500" w:rsidP="0011183D">
      <w:pPr>
        <w:pStyle w:val="Prrafodelista"/>
        <w:spacing w:after="0" w:line="240" w:lineRule="auto"/>
        <w:jc w:val="both"/>
        <w:rPr>
          <w:sz w:val="24"/>
        </w:rPr>
      </w:pPr>
    </w:p>
    <w:p w14:paraId="09443829" w14:textId="590A9174" w:rsidR="0011183D" w:rsidRPr="00561A19" w:rsidRDefault="0011183D" w:rsidP="00EC10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 xml:space="preserve">En México fueron </w:t>
      </w:r>
      <w:r w:rsidR="006E0DB2" w:rsidRPr="00561A19">
        <w:rPr>
          <w:sz w:val="24"/>
        </w:rPr>
        <w:t xml:space="preserve">clasificadas 13 </w:t>
      </w:r>
      <w:r w:rsidRPr="00561A19">
        <w:rPr>
          <w:sz w:val="24"/>
        </w:rPr>
        <w:t>universidades</w:t>
      </w:r>
      <w:r w:rsidR="006E0DB2" w:rsidRPr="00561A19">
        <w:rPr>
          <w:sz w:val="24"/>
        </w:rPr>
        <w:t xml:space="preserve">, </w:t>
      </w:r>
      <w:r w:rsidR="00654163" w:rsidRPr="00561A19">
        <w:rPr>
          <w:sz w:val="24"/>
        </w:rPr>
        <w:t xml:space="preserve">de las cuales 11 </w:t>
      </w:r>
      <w:r w:rsidR="00D75035">
        <w:rPr>
          <w:sz w:val="24"/>
        </w:rPr>
        <w:t xml:space="preserve">son </w:t>
      </w:r>
      <w:r w:rsidR="00654163" w:rsidRPr="00561A19">
        <w:rPr>
          <w:sz w:val="24"/>
        </w:rPr>
        <w:t xml:space="preserve">universidades públicas y 2 </w:t>
      </w:r>
      <w:r w:rsidR="006E0DB2" w:rsidRPr="00561A19">
        <w:rPr>
          <w:sz w:val="24"/>
        </w:rPr>
        <w:t xml:space="preserve">instituciones </w:t>
      </w:r>
      <w:r w:rsidR="00654163" w:rsidRPr="00561A19">
        <w:rPr>
          <w:sz w:val="24"/>
        </w:rPr>
        <w:t>privadas</w:t>
      </w:r>
      <w:r w:rsidR="00D75035">
        <w:rPr>
          <w:sz w:val="24"/>
        </w:rPr>
        <w:t>, estas últimas fueron</w:t>
      </w:r>
      <w:r w:rsidR="00654163" w:rsidRPr="00561A19">
        <w:rPr>
          <w:sz w:val="24"/>
        </w:rPr>
        <w:t xml:space="preserve"> el </w:t>
      </w:r>
      <w:r w:rsidR="00EC10F8" w:rsidRPr="00561A19">
        <w:rPr>
          <w:sz w:val="24"/>
        </w:rPr>
        <w:t>Instituto Tecnológico y de Estudios Superiores de Monterrey (</w:t>
      </w:r>
      <w:r w:rsidR="00654163" w:rsidRPr="00561A19">
        <w:rPr>
          <w:sz w:val="24"/>
        </w:rPr>
        <w:t>ITESM</w:t>
      </w:r>
      <w:r w:rsidR="00EC10F8" w:rsidRPr="00561A19">
        <w:rPr>
          <w:sz w:val="24"/>
        </w:rPr>
        <w:t>)</w:t>
      </w:r>
      <w:r w:rsidR="00654163" w:rsidRPr="00561A19">
        <w:rPr>
          <w:sz w:val="24"/>
        </w:rPr>
        <w:t xml:space="preserve"> y la Universidad Popular Autónoma del Estado de Puebla</w:t>
      </w:r>
      <w:r w:rsidR="006E0DB2" w:rsidRPr="00561A19">
        <w:rPr>
          <w:sz w:val="24"/>
        </w:rPr>
        <w:t>.</w:t>
      </w:r>
    </w:p>
    <w:p w14:paraId="192B305F" w14:textId="77777777" w:rsidR="0011183D" w:rsidRPr="00561A19" w:rsidRDefault="0011183D" w:rsidP="0011183D">
      <w:pPr>
        <w:pStyle w:val="Prrafodelista"/>
        <w:spacing w:after="0" w:line="240" w:lineRule="auto"/>
        <w:jc w:val="both"/>
        <w:rPr>
          <w:sz w:val="24"/>
        </w:rPr>
      </w:pPr>
    </w:p>
    <w:p w14:paraId="13461CEF" w14:textId="00EA2367" w:rsidR="00257087" w:rsidRPr="00561A19" w:rsidRDefault="006D09C2" w:rsidP="0025708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61A19">
        <w:rPr>
          <w:sz w:val="24"/>
        </w:rPr>
        <w:t>L</w:t>
      </w:r>
      <w:r w:rsidR="00257087" w:rsidRPr="00561A19">
        <w:rPr>
          <w:sz w:val="24"/>
        </w:rPr>
        <w:t xml:space="preserve">a UNAM ha presentado </w:t>
      </w:r>
      <w:r w:rsidRPr="00561A19">
        <w:rPr>
          <w:sz w:val="24"/>
        </w:rPr>
        <w:t xml:space="preserve">con respecto al año 2016, </w:t>
      </w:r>
      <w:r w:rsidR="00257087" w:rsidRPr="00561A19">
        <w:rPr>
          <w:sz w:val="24"/>
        </w:rPr>
        <w:t xml:space="preserve">una variación favorable en </w:t>
      </w:r>
      <w:r w:rsidR="00210497" w:rsidRPr="00561A19">
        <w:rPr>
          <w:sz w:val="24"/>
        </w:rPr>
        <w:t xml:space="preserve">prácticamente todos los indicadores </w:t>
      </w:r>
      <w:r w:rsidRPr="00561A19">
        <w:rPr>
          <w:sz w:val="24"/>
        </w:rPr>
        <w:t xml:space="preserve">del ranking </w:t>
      </w:r>
      <w:r w:rsidR="00210497" w:rsidRPr="00561A19">
        <w:rPr>
          <w:sz w:val="24"/>
        </w:rPr>
        <w:t>con incrementos que oscilan entre 3.1 y 12.5 puntos</w:t>
      </w:r>
      <w:r w:rsidR="00257087" w:rsidRPr="00561A19">
        <w:rPr>
          <w:sz w:val="24"/>
        </w:rPr>
        <w:t>.</w:t>
      </w:r>
      <w:r w:rsidR="00210497" w:rsidRPr="00561A19">
        <w:rPr>
          <w:sz w:val="24"/>
        </w:rPr>
        <w:t xml:space="preserve"> </w:t>
      </w:r>
      <w:r w:rsidRPr="00561A19">
        <w:rPr>
          <w:sz w:val="24"/>
        </w:rPr>
        <w:t xml:space="preserve">El </w:t>
      </w:r>
      <w:r w:rsidR="00210497" w:rsidRPr="00561A19">
        <w:rPr>
          <w:sz w:val="24"/>
        </w:rPr>
        <w:t xml:space="preserve">indicador de perspectiva </w:t>
      </w:r>
      <w:r w:rsidR="00EC10F8" w:rsidRPr="00561A19">
        <w:rPr>
          <w:sz w:val="24"/>
        </w:rPr>
        <w:t>internacional</w:t>
      </w:r>
      <w:r w:rsidR="00210497" w:rsidRPr="00561A19">
        <w:rPr>
          <w:sz w:val="24"/>
        </w:rPr>
        <w:t xml:space="preserve"> </w:t>
      </w:r>
      <w:r w:rsidRPr="00561A19">
        <w:rPr>
          <w:sz w:val="24"/>
        </w:rPr>
        <w:t xml:space="preserve">es el único en el cual se presentó una </w:t>
      </w:r>
      <w:r w:rsidR="00210497" w:rsidRPr="00561A19">
        <w:rPr>
          <w:sz w:val="24"/>
        </w:rPr>
        <w:t>disminución de 0.6 puntos.</w:t>
      </w:r>
    </w:p>
    <w:tbl>
      <w:tblPr>
        <w:tblW w:w="82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1699"/>
        <w:gridCol w:w="1699"/>
        <w:gridCol w:w="1702"/>
      </w:tblGrid>
      <w:tr w:rsidR="0057064A" w:rsidRPr="00561A19" w14:paraId="6D21A1E9" w14:textId="77777777" w:rsidTr="006D09C2">
        <w:trPr>
          <w:trHeight w:val="182"/>
          <w:jc w:val="center"/>
        </w:trPr>
        <w:tc>
          <w:tcPr>
            <w:tcW w:w="823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24C1DD6" w14:textId="2CA99F09" w:rsidR="0057064A" w:rsidRPr="00561A19" w:rsidRDefault="0057064A" w:rsidP="006D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3. Variación de la UNAM en los indicadores del ranking THE Latinoamérica, 2016 y 2017.</w:t>
            </w:r>
          </w:p>
        </w:tc>
      </w:tr>
      <w:tr w:rsidR="006D09C2" w:rsidRPr="00561A19" w14:paraId="19E05AE0" w14:textId="77777777" w:rsidTr="006D09C2">
        <w:trPr>
          <w:trHeight w:val="42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14:paraId="05D5B953" w14:textId="2D0E3590" w:rsidR="0057064A" w:rsidRPr="0057064A" w:rsidRDefault="006D09C2" w:rsidP="006D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333631E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56E580F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534E920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Diferencia</w:t>
            </w:r>
          </w:p>
        </w:tc>
      </w:tr>
      <w:tr w:rsidR="0057064A" w:rsidRPr="0057064A" w14:paraId="4C10658E" w14:textId="77777777" w:rsidTr="006D09C2">
        <w:trPr>
          <w:trHeight w:val="182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0C94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755C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4454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8BC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-1</w:t>
            </w:r>
          </w:p>
        </w:tc>
      </w:tr>
      <w:tr w:rsidR="0057064A" w:rsidRPr="0057064A" w14:paraId="2BFAAF25" w14:textId="77777777" w:rsidTr="006D09C2">
        <w:trPr>
          <w:trHeight w:val="182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4C996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864088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68.1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66E5C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A487CD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5.2</w:t>
            </w:r>
          </w:p>
        </w:tc>
      </w:tr>
      <w:tr w:rsidR="0057064A" w:rsidRPr="0057064A" w14:paraId="31F9632C" w14:textId="77777777" w:rsidTr="00416CC0">
        <w:trPr>
          <w:trHeight w:val="232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F908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7289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51.3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84F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59.7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708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8.4</w:t>
            </w:r>
          </w:p>
        </w:tc>
      </w:tr>
      <w:tr w:rsidR="0057064A" w:rsidRPr="00561A19" w14:paraId="76D94C95" w14:textId="77777777" w:rsidTr="006D09C2">
        <w:trPr>
          <w:trHeight w:val="218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5E4CBA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Docencia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B248D3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A0848B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09A3AE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3.1</w:t>
            </w:r>
          </w:p>
        </w:tc>
      </w:tr>
      <w:tr w:rsidR="00561A19" w:rsidRPr="00561A19" w14:paraId="2C1995A1" w14:textId="77777777" w:rsidTr="006D09C2">
        <w:trPr>
          <w:trHeight w:val="255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26F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3B02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79.6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56D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84D4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5.5</w:t>
            </w:r>
          </w:p>
        </w:tc>
      </w:tr>
      <w:tr w:rsidR="006D09C2" w:rsidRPr="00561A19" w14:paraId="38103D39" w14:textId="77777777" w:rsidTr="006D09C2">
        <w:trPr>
          <w:trHeight w:val="218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8E0871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Perspectiva internacional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E6D7C8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F0C987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7030E3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-0.6</w:t>
            </w:r>
          </w:p>
        </w:tc>
      </w:tr>
      <w:tr w:rsidR="0057064A" w:rsidRPr="0057064A" w14:paraId="49E6249F" w14:textId="77777777" w:rsidTr="006D09C2">
        <w:trPr>
          <w:trHeight w:val="273"/>
          <w:jc w:val="center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57E" w14:textId="77777777" w:rsidR="0057064A" w:rsidRPr="0057064A" w:rsidRDefault="0057064A" w:rsidP="00570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Financiamiento de la industria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F0C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74.6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4E4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87.1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E3F" w14:textId="77777777" w:rsidR="0057064A" w:rsidRPr="0057064A" w:rsidRDefault="0057064A" w:rsidP="005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70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12.5</w:t>
            </w:r>
          </w:p>
        </w:tc>
      </w:tr>
    </w:tbl>
    <w:p w14:paraId="79E2F555" w14:textId="77777777" w:rsidR="0057064A" w:rsidRPr="00561A19" w:rsidRDefault="0057064A" w:rsidP="00257087">
      <w:pPr>
        <w:pStyle w:val="Prrafodelista"/>
        <w:rPr>
          <w:sz w:val="24"/>
        </w:rPr>
      </w:pPr>
    </w:p>
    <w:p w14:paraId="13942A80" w14:textId="77554CDA" w:rsidR="002E24B1" w:rsidRPr="00561A19" w:rsidRDefault="006E0DB2" w:rsidP="007D48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El ITESM y la UNAM</w:t>
      </w:r>
      <w:r w:rsidR="00BF0E0F" w:rsidRPr="00561A19">
        <w:rPr>
          <w:sz w:val="24"/>
        </w:rPr>
        <w:t xml:space="preserve"> </w:t>
      </w:r>
      <w:r w:rsidRPr="00561A19">
        <w:rPr>
          <w:sz w:val="24"/>
        </w:rPr>
        <w:t xml:space="preserve">son las </w:t>
      </w:r>
      <w:r w:rsidR="00632A8E">
        <w:rPr>
          <w:sz w:val="24"/>
        </w:rPr>
        <w:t>únicas</w:t>
      </w:r>
      <w:r w:rsidRPr="00561A19">
        <w:rPr>
          <w:sz w:val="24"/>
        </w:rPr>
        <w:t xml:space="preserve"> instituciones mexicanas </w:t>
      </w:r>
      <w:r w:rsidR="00BF0E0F" w:rsidRPr="00561A19">
        <w:rPr>
          <w:sz w:val="24"/>
        </w:rPr>
        <w:t xml:space="preserve">situadas </w:t>
      </w:r>
      <w:r w:rsidRPr="00561A19">
        <w:rPr>
          <w:sz w:val="24"/>
        </w:rPr>
        <w:t xml:space="preserve">en </w:t>
      </w:r>
      <w:r w:rsidR="005E27BD" w:rsidRPr="00561A19">
        <w:rPr>
          <w:sz w:val="24"/>
        </w:rPr>
        <w:t>los primeros 10 lugares</w:t>
      </w:r>
      <w:r w:rsidR="002E24B1" w:rsidRPr="00561A19">
        <w:rPr>
          <w:sz w:val="24"/>
        </w:rPr>
        <w:t>.</w:t>
      </w:r>
    </w:p>
    <w:p w14:paraId="2EDBB6B4" w14:textId="77777777" w:rsidR="002E24B1" w:rsidRPr="00561A19" w:rsidRDefault="002E24B1" w:rsidP="002E24B1">
      <w:pPr>
        <w:pStyle w:val="Prrafodelista"/>
        <w:spacing w:after="0" w:line="240" w:lineRule="auto"/>
        <w:jc w:val="both"/>
        <w:rPr>
          <w:sz w:val="4"/>
        </w:rPr>
      </w:pPr>
    </w:p>
    <w:p w14:paraId="2EEAEFA5" w14:textId="1FF5F779" w:rsidR="005E27BD" w:rsidRPr="00561A19" w:rsidRDefault="00EE3D6B" w:rsidP="002E24B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E</w:t>
      </w:r>
      <w:r w:rsidR="005E27BD" w:rsidRPr="00561A19">
        <w:rPr>
          <w:sz w:val="24"/>
        </w:rPr>
        <w:t xml:space="preserve">l ITESM </w:t>
      </w:r>
      <w:r w:rsidRPr="00561A19">
        <w:rPr>
          <w:sz w:val="24"/>
        </w:rPr>
        <w:t xml:space="preserve">se </w:t>
      </w:r>
      <w:r w:rsidR="00B14CAF" w:rsidRPr="00561A19">
        <w:rPr>
          <w:sz w:val="24"/>
        </w:rPr>
        <w:t xml:space="preserve">ubicó </w:t>
      </w:r>
      <w:r w:rsidR="00BF0E0F" w:rsidRPr="00561A19">
        <w:rPr>
          <w:sz w:val="24"/>
        </w:rPr>
        <w:t>en la posición 6</w:t>
      </w:r>
      <w:r w:rsidR="00B14CAF" w:rsidRPr="00561A19">
        <w:rPr>
          <w:sz w:val="24"/>
        </w:rPr>
        <w:t xml:space="preserve">, mientras que la </w:t>
      </w:r>
      <w:r w:rsidR="005E27BD" w:rsidRPr="00561A19">
        <w:rPr>
          <w:sz w:val="24"/>
        </w:rPr>
        <w:t xml:space="preserve">UNAM </w:t>
      </w:r>
      <w:r w:rsidR="00B14CAF" w:rsidRPr="00561A19">
        <w:rPr>
          <w:sz w:val="24"/>
        </w:rPr>
        <w:t xml:space="preserve">ocupo </w:t>
      </w:r>
      <w:r w:rsidR="005E27BD" w:rsidRPr="00561A19">
        <w:rPr>
          <w:sz w:val="24"/>
        </w:rPr>
        <w:t xml:space="preserve">la posición </w:t>
      </w:r>
      <w:r w:rsidR="00BF0E0F" w:rsidRPr="00561A19">
        <w:rPr>
          <w:sz w:val="24"/>
        </w:rPr>
        <w:t>10</w:t>
      </w:r>
      <w:r w:rsidR="005E27BD" w:rsidRPr="00561A19">
        <w:rPr>
          <w:sz w:val="24"/>
        </w:rPr>
        <w:t>.</w:t>
      </w:r>
    </w:p>
    <w:p w14:paraId="5FE8D9CB" w14:textId="38583B14" w:rsidR="008C705D" w:rsidRPr="00561A19" w:rsidRDefault="00BC0C14" w:rsidP="008C705D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>L</w:t>
      </w:r>
      <w:r w:rsidR="008C705D" w:rsidRPr="00561A19">
        <w:rPr>
          <w:sz w:val="24"/>
        </w:rPr>
        <w:t xml:space="preserve">a </w:t>
      </w:r>
      <w:r w:rsidR="005E27BD" w:rsidRPr="00561A19">
        <w:rPr>
          <w:sz w:val="24"/>
        </w:rPr>
        <w:t xml:space="preserve">UNAM </w:t>
      </w:r>
      <w:r w:rsidR="008C705D" w:rsidRPr="00561A19">
        <w:rPr>
          <w:sz w:val="24"/>
        </w:rPr>
        <w:t xml:space="preserve">supero al ITESM en </w:t>
      </w:r>
      <w:r w:rsidR="005E27BD" w:rsidRPr="00561A19">
        <w:rPr>
          <w:sz w:val="24"/>
        </w:rPr>
        <w:t>los indicadores de Docencia e Investigación</w:t>
      </w:r>
      <w:r w:rsidR="008C705D" w:rsidRPr="00561A19">
        <w:rPr>
          <w:sz w:val="24"/>
        </w:rPr>
        <w:t xml:space="preserve"> con una diferencia de 4.9, y 7.6 puntos respectivamente</w:t>
      </w:r>
      <w:r w:rsidR="005E27BD" w:rsidRPr="00561A19">
        <w:rPr>
          <w:sz w:val="24"/>
        </w:rPr>
        <w:t xml:space="preserve">. </w:t>
      </w:r>
    </w:p>
    <w:p w14:paraId="2EAB9825" w14:textId="3C458FC4" w:rsidR="005E27BD" w:rsidRPr="00561A19" w:rsidRDefault="008C705D" w:rsidP="008C705D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561A19">
        <w:rPr>
          <w:sz w:val="24"/>
        </w:rPr>
        <w:t xml:space="preserve">Mientras que el </w:t>
      </w:r>
      <w:r w:rsidR="005E27BD" w:rsidRPr="00561A19">
        <w:rPr>
          <w:sz w:val="24"/>
        </w:rPr>
        <w:t xml:space="preserve">ITESM </w:t>
      </w:r>
      <w:r w:rsidRPr="00561A19">
        <w:rPr>
          <w:sz w:val="24"/>
        </w:rPr>
        <w:t>aventajo a la UNAM con 26.1 puntos en el rubro de Citas, 16.2 puntos en Perspectiva internacional y 12.5 puntos en el Financiamiento de la industria.</w:t>
      </w:r>
    </w:p>
    <w:p w14:paraId="0DE69230" w14:textId="71F610C3" w:rsidR="00187675" w:rsidRPr="00B60811" w:rsidRDefault="00B60811" w:rsidP="00A55524">
      <w:pPr>
        <w:pStyle w:val="Prrafodelista"/>
        <w:numPr>
          <w:ilvl w:val="1"/>
          <w:numId w:val="12"/>
        </w:numPr>
        <w:jc w:val="both"/>
        <w:rPr>
          <w:sz w:val="24"/>
        </w:rPr>
      </w:pPr>
      <w:r w:rsidRPr="00B60811">
        <w:rPr>
          <w:sz w:val="24"/>
        </w:rPr>
        <w:lastRenderedPageBreak/>
        <w:t xml:space="preserve">Como es sabido, los rankings de universidades se caracterizan por su alta volatilidad; esta edición del THE Latinoamérica 2017 no resulta ser la excepción ya que ubica a la </w:t>
      </w:r>
      <w:r w:rsidR="009E06D9" w:rsidRPr="00B60811">
        <w:rPr>
          <w:sz w:val="24"/>
        </w:rPr>
        <w:t xml:space="preserve">Universidad de Sao Paulo </w:t>
      </w:r>
      <w:r>
        <w:rPr>
          <w:sz w:val="24"/>
        </w:rPr>
        <w:t>(</w:t>
      </w:r>
      <w:r w:rsidR="009E06D9" w:rsidRPr="00B60811">
        <w:rPr>
          <w:sz w:val="24"/>
        </w:rPr>
        <w:t xml:space="preserve">la institución </w:t>
      </w:r>
      <w:r w:rsidR="00E828D0">
        <w:rPr>
          <w:sz w:val="24"/>
        </w:rPr>
        <w:t>que se ha venido posicionando en el primer lugar de Latinoamérica en la mayoría de los ejercicios de renqueo</w:t>
      </w:r>
      <w:r>
        <w:rPr>
          <w:sz w:val="24"/>
        </w:rPr>
        <w:t>)</w:t>
      </w:r>
      <w:r w:rsidR="009E06D9" w:rsidRPr="00B60811">
        <w:rPr>
          <w:sz w:val="24"/>
        </w:rPr>
        <w:t xml:space="preserve"> </w:t>
      </w:r>
      <w:r w:rsidR="00BC7CA6" w:rsidRPr="00B60811">
        <w:rPr>
          <w:sz w:val="24"/>
        </w:rPr>
        <w:t xml:space="preserve">por debajo de la Universidad Estatal de </w:t>
      </w:r>
      <w:proofErr w:type="spellStart"/>
      <w:r w:rsidR="00BC7CA6" w:rsidRPr="00B60811">
        <w:rPr>
          <w:sz w:val="24"/>
        </w:rPr>
        <w:t>Campinas</w:t>
      </w:r>
      <w:proofErr w:type="spellEnd"/>
      <w:r w:rsidR="00E828D0">
        <w:rPr>
          <w:sz w:val="24"/>
        </w:rPr>
        <w:t xml:space="preserve">. institución </w:t>
      </w:r>
      <w:bookmarkStart w:id="0" w:name="_GoBack"/>
      <w:bookmarkEnd w:id="0"/>
      <w:r w:rsidR="00E828D0">
        <w:rPr>
          <w:sz w:val="24"/>
        </w:rPr>
        <w:t>que este mismo ranking, en su versión mundial 2016, la ubica  166 lugares por debajo de la USP.</w:t>
      </w:r>
    </w:p>
    <w:p w14:paraId="4A18BB29" w14:textId="769D6689" w:rsidR="00325265" w:rsidRDefault="00B122CE" w:rsidP="00187675">
      <w:pPr>
        <w:pStyle w:val="Prrafodelista"/>
        <w:numPr>
          <w:ilvl w:val="1"/>
          <w:numId w:val="12"/>
        </w:numPr>
        <w:spacing w:after="0"/>
        <w:jc w:val="both"/>
        <w:rPr>
          <w:sz w:val="24"/>
        </w:rPr>
      </w:pPr>
      <w:r w:rsidRPr="00325265">
        <w:rPr>
          <w:sz w:val="24"/>
        </w:rPr>
        <w:t>Finalmente,</w:t>
      </w:r>
      <w:r w:rsidR="00253754">
        <w:rPr>
          <w:sz w:val="24"/>
        </w:rPr>
        <w:t xml:space="preserve"> </w:t>
      </w:r>
      <w:r w:rsidR="003A1A80" w:rsidRPr="00325265">
        <w:rPr>
          <w:sz w:val="24"/>
        </w:rPr>
        <w:t xml:space="preserve">llama la atención </w:t>
      </w:r>
      <w:r w:rsidR="00D800F4" w:rsidRPr="00325265">
        <w:rPr>
          <w:sz w:val="24"/>
        </w:rPr>
        <w:t xml:space="preserve">que en </w:t>
      </w:r>
      <w:r w:rsidRPr="00325265">
        <w:rPr>
          <w:sz w:val="24"/>
        </w:rPr>
        <w:t xml:space="preserve">los datos publicados por el ranking sobre </w:t>
      </w:r>
      <w:r w:rsidR="00D800F4" w:rsidRPr="00325265">
        <w:rPr>
          <w:sz w:val="24"/>
        </w:rPr>
        <w:t>los estudiantes de tiempo completo</w:t>
      </w:r>
      <w:r w:rsidR="00253754">
        <w:rPr>
          <w:rStyle w:val="Refdenotaalpie"/>
          <w:rFonts w:ascii="Calibri" w:eastAsia="Times New Roman" w:hAnsi="Calibri" w:cs="Calibri"/>
          <w:b/>
          <w:bCs/>
          <w:color w:val="000000"/>
          <w:lang w:eastAsia="es-MX"/>
        </w:rPr>
        <w:footnoteReference w:id="1"/>
      </w:r>
      <w:r w:rsidR="00253754">
        <w:rPr>
          <w:sz w:val="24"/>
        </w:rPr>
        <w:t xml:space="preserve"> se puede apreciar que </w:t>
      </w:r>
      <w:r w:rsidR="00D800F4" w:rsidRPr="00325265">
        <w:rPr>
          <w:sz w:val="24"/>
        </w:rPr>
        <w:t xml:space="preserve">el </w:t>
      </w:r>
      <w:r w:rsidR="00963C19" w:rsidRPr="00325265">
        <w:rPr>
          <w:sz w:val="24"/>
        </w:rPr>
        <w:t>ITESM report</w:t>
      </w:r>
      <w:r w:rsidR="00CE0B4F" w:rsidRPr="00325265">
        <w:rPr>
          <w:sz w:val="24"/>
        </w:rPr>
        <w:t>ó</w:t>
      </w:r>
      <w:r w:rsidR="00963C19" w:rsidRPr="00325265">
        <w:rPr>
          <w:sz w:val="24"/>
        </w:rPr>
        <w:t xml:space="preserve"> </w:t>
      </w:r>
      <w:r w:rsidR="00CE0B4F" w:rsidRPr="00325265">
        <w:rPr>
          <w:sz w:val="24"/>
        </w:rPr>
        <w:t>solamente</w:t>
      </w:r>
      <w:r w:rsidR="00963C19" w:rsidRPr="00325265">
        <w:rPr>
          <w:sz w:val="24"/>
        </w:rPr>
        <w:t xml:space="preserve"> a 14,168 estudiantes</w:t>
      </w:r>
      <w:r w:rsidRPr="00325265">
        <w:rPr>
          <w:sz w:val="24"/>
        </w:rPr>
        <w:t xml:space="preserve"> </w:t>
      </w:r>
      <w:r w:rsidR="00AC563B" w:rsidRPr="00325265">
        <w:rPr>
          <w:sz w:val="24"/>
        </w:rPr>
        <w:t xml:space="preserve">de licenciatura </w:t>
      </w:r>
      <w:r w:rsidR="00253754">
        <w:rPr>
          <w:sz w:val="24"/>
        </w:rPr>
        <w:t xml:space="preserve">lo </w:t>
      </w:r>
      <w:r w:rsidR="00AC563B" w:rsidRPr="00325265">
        <w:rPr>
          <w:sz w:val="24"/>
        </w:rPr>
        <w:t xml:space="preserve">que contrasta con los </w:t>
      </w:r>
      <w:r w:rsidR="002B285D" w:rsidRPr="00325265">
        <w:rPr>
          <w:sz w:val="24"/>
        </w:rPr>
        <w:t>55,565</w:t>
      </w:r>
      <w:r w:rsidR="00AC563B" w:rsidRPr="00325265">
        <w:rPr>
          <w:sz w:val="24"/>
        </w:rPr>
        <w:t xml:space="preserve"> estudiantes de licenciatura reportados </w:t>
      </w:r>
      <w:r w:rsidR="002B285D" w:rsidRPr="00325265">
        <w:rPr>
          <w:sz w:val="24"/>
        </w:rPr>
        <w:t xml:space="preserve">por el propio ITESM en </w:t>
      </w:r>
      <w:r w:rsidR="00AC563B" w:rsidRPr="00325265">
        <w:rPr>
          <w:sz w:val="24"/>
        </w:rPr>
        <w:t>su página “Datos y cifras</w:t>
      </w:r>
      <w:r w:rsidR="00AC563B">
        <w:rPr>
          <w:rStyle w:val="Refdenotaalpie"/>
          <w:sz w:val="24"/>
        </w:rPr>
        <w:footnoteReference w:id="2"/>
      </w:r>
      <w:r w:rsidR="00AC563B" w:rsidRPr="00325265">
        <w:rPr>
          <w:sz w:val="24"/>
        </w:rPr>
        <w:t>”</w:t>
      </w:r>
      <w:r w:rsidR="00FF282E" w:rsidRPr="00325265">
        <w:rPr>
          <w:sz w:val="24"/>
        </w:rPr>
        <w:t xml:space="preserve">, </w:t>
      </w:r>
      <w:r w:rsidR="00253754">
        <w:rPr>
          <w:sz w:val="24"/>
        </w:rPr>
        <w:t xml:space="preserve">lo que nos hace pensar que dicha institución </w:t>
      </w:r>
      <w:r w:rsidR="00E225BE">
        <w:rPr>
          <w:sz w:val="24"/>
        </w:rPr>
        <w:t>está</w:t>
      </w:r>
      <w:r w:rsidR="00253754">
        <w:rPr>
          <w:sz w:val="24"/>
        </w:rPr>
        <w:t xml:space="preserve"> </w:t>
      </w:r>
      <w:r w:rsidR="00FF282E" w:rsidRPr="00325265">
        <w:rPr>
          <w:sz w:val="24"/>
        </w:rPr>
        <w:t xml:space="preserve">reportando únicamente </w:t>
      </w:r>
      <w:r w:rsidR="00253754">
        <w:rPr>
          <w:sz w:val="24"/>
        </w:rPr>
        <w:t xml:space="preserve">los datos </w:t>
      </w:r>
      <w:r w:rsidR="00AC563B" w:rsidRPr="00325265">
        <w:rPr>
          <w:sz w:val="24"/>
        </w:rPr>
        <w:t xml:space="preserve">de su </w:t>
      </w:r>
      <w:r w:rsidR="00FF282E" w:rsidRPr="00325265">
        <w:rPr>
          <w:sz w:val="24"/>
        </w:rPr>
        <w:t>campus en Monterrey</w:t>
      </w:r>
      <w:r w:rsidR="002B285D" w:rsidRPr="00325265">
        <w:rPr>
          <w:sz w:val="24"/>
        </w:rPr>
        <w:t xml:space="preserve">. </w:t>
      </w:r>
    </w:p>
    <w:p w14:paraId="33248569" w14:textId="70C418F4" w:rsidR="00AC563B" w:rsidRPr="00325265" w:rsidRDefault="00325265" w:rsidP="00325265">
      <w:pPr>
        <w:pStyle w:val="Prrafodelista"/>
        <w:spacing w:after="0"/>
        <w:ind w:left="1440"/>
        <w:jc w:val="both"/>
        <w:rPr>
          <w:sz w:val="24"/>
        </w:rPr>
      </w:pPr>
      <w:r w:rsidRPr="00325265">
        <w:rPr>
          <w:sz w:val="24"/>
        </w:rPr>
        <w:t xml:space="preserve">Esto es relevante ya que el </w:t>
      </w:r>
      <w:r w:rsidR="00F25B04" w:rsidRPr="00325265">
        <w:rPr>
          <w:sz w:val="24"/>
        </w:rPr>
        <w:t xml:space="preserve">ranking THE Latinoamérica </w:t>
      </w:r>
      <w:r>
        <w:rPr>
          <w:sz w:val="24"/>
        </w:rPr>
        <w:t>considera dos fuentes de información</w:t>
      </w:r>
      <w:r w:rsidRPr="00325265">
        <w:rPr>
          <w:sz w:val="24"/>
        </w:rPr>
        <w:t xml:space="preserve">: 1) </w:t>
      </w:r>
      <w:r w:rsidR="00F25B04" w:rsidRPr="00325265">
        <w:rPr>
          <w:sz w:val="24"/>
        </w:rPr>
        <w:t xml:space="preserve">datos </w:t>
      </w:r>
      <w:r w:rsidR="002B285D" w:rsidRPr="00325265">
        <w:rPr>
          <w:sz w:val="24"/>
        </w:rPr>
        <w:t xml:space="preserve">auto-reportados </w:t>
      </w:r>
      <w:r w:rsidR="00F25B04" w:rsidRPr="00325265">
        <w:rPr>
          <w:sz w:val="24"/>
        </w:rPr>
        <w:t xml:space="preserve">por las instituciones </w:t>
      </w:r>
      <w:r w:rsidRPr="00325265">
        <w:rPr>
          <w:sz w:val="24"/>
        </w:rPr>
        <w:t xml:space="preserve">y 2) datos que </w:t>
      </w:r>
      <w:r w:rsidR="00F25B04" w:rsidRPr="00325265">
        <w:rPr>
          <w:sz w:val="24"/>
        </w:rPr>
        <w:t xml:space="preserve">recupera de </w:t>
      </w:r>
      <w:r>
        <w:rPr>
          <w:sz w:val="24"/>
        </w:rPr>
        <w:t xml:space="preserve">las </w:t>
      </w:r>
      <w:r w:rsidR="00F25B04" w:rsidRPr="00325265">
        <w:rPr>
          <w:sz w:val="24"/>
        </w:rPr>
        <w:t>encuestas y las bases de datos de Elsevier Scopus</w:t>
      </w:r>
      <w:r>
        <w:rPr>
          <w:sz w:val="24"/>
        </w:rPr>
        <w:t>. Por lo tanto</w:t>
      </w:r>
      <w:r w:rsidR="00F25B04" w:rsidRPr="00325265">
        <w:rPr>
          <w:sz w:val="24"/>
        </w:rPr>
        <w:t xml:space="preserve">, </w:t>
      </w:r>
      <w:r w:rsidRPr="00325265">
        <w:rPr>
          <w:sz w:val="24"/>
        </w:rPr>
        <w:t xml:space="preserve">al </w:t>
      </w:r>
      <w:r w:rsidR="00080ACB">
        <w:rPr>
          <w:sz w:val="24"/>
        </w:rPr>
        <w:t xml:space="preserve">hacer referencia exclusivamente a </w:t>
      </w:r>
      <w:r>
        <w:rPr>
          <w:sz w:val="24"/>
        </w:rPr>
        <w:t xml:space="preserve">su </w:t>
      </w:r>
      <w:r w:rsidRPr="00325265">
        <w:rPr>
          <w:sz w:val="24"/>
        </w:rPr>
        <w:t xml:space="preserve">campus </w:t>
      </w:r>
      <w:r w:rsidR="00080ACB">
        <w:rPr>
          <w:sz w:val="24"/>
        </w:rPr>
        <w:t xml:space="preserve">en </w:t>
      </w:r>
      <w:r w:rsidRPr="00325265">
        <w:rPr>
          <w:sz w:val="24"/>
        </w:rPr>
        <w:t xml:space="preserve">Monterrey </w:t>
      </w:r>
      <w:r w:rsidR="00080ACB">
        <w:rPr>
          <w:sz w:val="24"/>
        </w:rPr>
        <w:t xml:space="preserve">esto </w:t>
      </w:r>
      <w:r w:rsidRPr="00325265">
        <w:rPr>
          <w:sz w:val="24"/>
        </w:rPr>
        <w:t>afecta</w:t>
      </w:r>
      <w:r w:rsidR="00080ACB">
        <w:rPr>
          <w:sz w:val="24"/>
        </w:rPr>
        <w:t>rá</w:t>
      </w:r>
      <w:r w:rsidRPr="00325265">
        <w:rPr>
          <w:sz w:val="24"/>
        </w:rPr>
        <w:t xml:space="preserve"> los resultados </w:t>
      </w:r>
      <w:r w:rsidR="00080ACB">
        <w:rPr>
          <w:sz w:val="24"/>
        </w:rPr>
        <w:t>en aquellos rubros en los que es imposible distinguir la parte proporcional que corresponde a dicho campus. Tal es el caso de las publicaciones, las citas y las encuestas de opinión</w:t>
      </w:r>
      <w:r w:rsidR="002B285D" w:rsidRPr="00325265">
        <w:rPr>
          <w:sz w:val="24"/>
        </w:rPr>
        <w:t>.</w:t>
      </w:r>
      <w:r w:rsidR="00FF282E" w:rsidRPr="00325265">
        <w:rPr>
          <w:sz w:val="24"/>
        </w:rPr>
        <w:t xml:space="preserve"> </w:t>
      </w:r>
      <w:r w:rsidR="00AC563B" w:rsidRPr="00325265">
        <w:rPr>
          <w:sz w:val="24"/>
        </w:rPr>
        <w:t>Por su parte, la UNAM reporta la matrícula de todos los campus excluyendo únicamente a los de educación media superior.</w:t>
      </w:r>
    </w:p>
    <w:p w14:paraId="6A2C0ED1" w14:textId="77777777" w:rsidR="00AC563B" w:rsidRPr="00D17E34" w:rsidRDefault="00AC563B" w:rsidP="00257087">
      <w:pPr>
        <w:pStyle w:val="Prrafodelista"/>
        <w:spacing w:after="0"/>
        <w:ind w:left="1440"/>
        <w:jc w:val="both"/>
        <w:rPr>
          <w:sz w:val="16"/>
        </w:rPr>
      </w:pPr>
    </w:p>
    <w:tbl>
      <w:tblPr>
        <w:tblW w:w="8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695"/>
        <w:gridCol w:w="2839"/>
      </w:tblGrid>
      <w:tr w:rsidR="00F35480" w:rsidRPr="00561A19" w14:paraId="3DDD649A" w14:textId="77777777" w:rsidTr="00D17E34">
        <w:trPr>
          <w:trHeight w:val="180"/>
          <w:jc w:val="center"/>
        </w:trPr>
        <w:tc>
          <w:tcPr>
            <w:tcW w:w="87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B2168" w14:textId="4A6862F4" w:rsidR="00F35480" w:rsidRPr="00561A19" w:rsidRDefault="00F35480" w:rsidP="006D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</w:t>
            </w:r>
            <w:r w:rsidR="0057064A"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4</w:t>
            </w: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 Comparación entre la UNAM y el ITESM en los indicadores del ranking THE Latinoamérica</w:t>
            </w:r>
            <w:r w:rsidR="00257087"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561A1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2017.</w:t>
            </w:r>
          </w:p>
        </w:tc>
      </w:tr>
      <w:tr w:rsidR="00F35480" w:rsidRPr="00561A19" w14:paraId="02B90301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5032FE78" w14:textId="77777777" w:rsidR="00F35480" w:rsidRPr="00561A19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F592878" w14:textId="77777777" w:rsidR="00F35480" w:rsidRPr="00561A19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A726C7F" w14:textId="77777777" w:rsidR="00F35480" w:rsidRPr="00561A19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ITESM</w:t>
            </w:r>
          </w:p>
        </w:tc>
      </w:tr>
      <w:tr w:rsidR="00257087" w:rsidRPr="00561A19" w14:paraId="76BEC707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2E1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6306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CA2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257087" w:rsidRPr="00561A19" w14:paraId="2AE7DAD9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E65221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576F0A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6F0B1F6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77.4</w:t>
            </w:r>
          </w:p>
        </w:tc>
      </w:tr>
      <w:tr w:rsidR="00257087" w:rsidRPr="00561A19" w14:paraId="66B12C29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E51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C8B5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59.7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81B8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85.8</w:t>
            </w:r>
          </w:p>
        </w:tc>
      </w:tr>
      <w:tr w:rsidR="00257087" w:rsidRPr="00561A19" w14:paraId="0CFCAD7C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F80334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Docencia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4FDF421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76.6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828B6E1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71.7</w:t>
            </w:r>
          </w:p>
        </w:tc>
      </w:tr>
      <w:tr w:rsidR="00257087" w:rsidRPr="00561A19" w14:paraId="70C7695F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60F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83D0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DFA3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77.5</w:t>
            </w:r>
          </w:p>
        </w:tc>
      </w:tr>
      <w:tr w:rsidR="00257087" w:rsidRPr="00561A19" w14:paraId="03A37E75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2256C7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Perspectiva internacional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E5ADC64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A8326E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89.6</w:t>
            </w:r>
          </w:p>
        </w:tc>
      </w:tr>
      <w:tr w:rsidR="00257087" w:rsidRPr="00F35480" w14:paraId="7A645CB2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EF79" w14:textId="77777777" w:rsidR="00257087" w:rsidRPr="00561A19" w:rsidRDefault="0025708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Financiamiento de la industria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3EF4" w14:textId="77777777" w:rsidR="00257087" w:rsidRPr="00561A19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87.1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28F1" w14:textId="77777777" w:rsidR="00257087" w:rsidRPr="00F35480" w:rsidRDefault="0025708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99.6</w:t>
            </w:r>
          </w:p>
        </w:tc>
      </w:tr>
      <w:tr w:rsidR="00020057" w:rsidRPr="00F35480" w14:paraId="6FD9A1D0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792F" w14:textId="77777777" w:rsidR="00020057" w:rsidRPr="00561A19" w:rsidRDefault="00020057" w:rsidP="00F35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4D02C" w14:textId="77777777" w:rsidR="00020057" w:rsidRPr="00561A19" w:rsidRDefault="0002005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3087D" w14:textId="77777777" w:rsidR="00020057" w:rsidRPr="00561A19" w:rsidRDefault="00020057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20057" w:rsidRPr="00561A19" w14:paraId="1E33EA16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14B60DA6" w14:textId="2C3FCD10" w:rsidR="00020057" w:rsidRPr="00561A19" w:rsidRDefault="00020057" w:rsidP="00AC5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Estadísticas</w:t>
            </w:r>
            <w:r w:rsidR="00AC563B" w:rsidRPr="00AC56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s-MX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73658FF" w14:textId="77777777" w:rsidR="00020057" w:rsidRPr="00561A19" w:rsidRDefault="00020057" w:rsidP="00D8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B00F13F" w14:textId="77777777" w:rsidR="00020057" w:rsidRPr="00561A19" w:rsidRDefault="00020057" w:rsidP="00D8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ITESM</w:t>
            </w:r>
          </w:p>
        </w:tc>
      </w:tr>
      <w:tr w:rsidR="00020057" w:rsidRPr="00561A19" w14:paraId="32F3CB2F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CA97" w14:textId="1C54AA44" w:rsidR="00020057" w:rsidRPr="00561A19" w:rsidRDefault="00020057" w:rsidP="00020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Estudiantes de Tiempo Completo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E964" w14:textId="560F614C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139,544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474" w14:textId="73B0F3B0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14,168</w:t>
            </w:r>
          </w:p>
        </w:tc>
      </w:tr>
      <w:tr w:rsidR="00020057" w:rsidRPr="00561A19" w14:paraId="2EB94000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DC6AA22" w14:textId="6ADCD89C" w:rsidR="00020057" w:rsidRPr="00561A19" w:rsidRDefault="00020057" w:rsidP="00020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Promedio estudiante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</w:t>
            </w: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personal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979AEF2" w14:textId="4E05AE3C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11.9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C395687" w14:textId="183AD45B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20057" w:rsidRPr="00F35480" w14:paraId="4CE5E638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1A5E" w14:textId="36DA0DC8" w:rsidR="00020057" w:rsidRPr="00561A19" w:rsidRDefault="00020057" w:rsidP="00020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Estudiantes internacionales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3DE0" w14:textId="0321346E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76EB" w14:textId="01F4275C" w:rsidR="00020057" w:rsidRPr="00F35480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020057" w:rsidRPr="00F35480" w14:paraId="4E75961C" w14:textId="77777777" w:rsidTr="00D17E34">
        <w:trPr>
          <w:trHeight w:val="23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192E4" w14:textId="742D63F7" w:rsidR="00020057" w:rsidRPr="00561A19" w:rsidRDefault="00020057" w:rsidP="00020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Promedio estudiantes Mujeres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</w:t>
            </w: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Hombres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0CDEB7" w14:textId="4C406406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 : 49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C8DA8F" w14:textId="36384A53" w:rsidR="00020057" w:rsidRPr="00561A19" w:rsidRDefault="00020057" w:rsidP="00020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00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39 : 61</w:t>
            </w:r>
          </w:p>
        </w:tc>
      </w:tr>
    </w:tbl>
    <w:p w14:paraId="4C8824CB" w14:textId="77777777" w:rsidR="00F35480" w:rsidRPr="00D17E34" w:rsidRDefault="00F35480" w:rsidP="00D17E34">
      <w:pPr>
        <w:spacing w:after="0" w:line="240" w:lineRule="auto"/>
        <w:jc w:val="both"/>
        <w:rPr>
          <w:sz w:val="2"/>
        </w:rPr>
      </w:pPr>
    </w:p>
    <w:sectPr w:rsidR="00F35480" w:rsidRPr="00D17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A88A7" w14:textId="77777777" w:rsidR="00CC4F28" w:rsidRDefault="00CC4F28" w:rsidP="008A3771">
      <w:pPr>
        <w:spacing w:after="0" w:line="240" w:lineRule="auto"/>
      </w:pPr>
      <w:r>
        <w:separator/>
      </w:r>
    </w:p>
  </w:endnote>
  <w:endnote w:type="continuationSeparator" w:id="0">
    <w:p w14:paraId="178CD56C" w14:textId="77777777" w:rsidR="00CC4F28" w:rsidRDefault="00CC4F28" w:rsidP="008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8FEA" w14:textId="77777777" w:rsidR="00CC4F28" w:rsidRDefault="00CC4F28" w:rsidP="008A3771">
      <w:pPr>
        <w:spacing w:after="0" w:line="240" w:lineRule="auto"/>
      </w:pPr>
      <w:r>
        <w:separator/>
      </w:r>
    </w:p>
  </w:footnote>
  <w:footnote w:type="continuationSeparator" w:id="0">
    <w:p w14:paraId="5437D56A" w14:textId="77777777" w:rsidR="00CC4F28" w:rsidRDefault="00CC4F28" w:rsidP="008A3771">
      <w:pPr>
        <w:spacing w:after="0" w:line="240" w:lineRule="auto"/>
      </w:pPr>
      <w:r>
        <w:continuationSeparator/>
      </w:r>
    </w:p>
  </w:footnote>
  <w:footnote w:id="1">
    <w:p w14:paraId="598456B9" w14:textId="77777777" w:rsidR="00187675" w:rsidRDefault="00187675" w:rsidP="00253754">
      <w:pPr>
        <w:pStyle w:val="Textonotapie"/>
        <w:jc w:val="both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020057">
        <w:rPr>
          <w:sz w:val="16"/>
        </w:rPr>
        <w:t xml:space="preserve">Estas estadísticas son publicadas por el Ranking THE Latinoamérica 2017, disponibles en: </w:t>
      </w:r>
    </w:p>
    <w:p w14:paraId="1326DB13" w14:textId="44FFDD56" w:rsidR="00187675" w:rsidRPr="00020057" w:rsidRDefault="00CC4F28" w:rsidP="00253754">
      <w:pPr>
        <w:pStyle w:val="Textonotapie"/>
        <w:jc w:val="both"/>
        <w:rPr>
          <w:sz w:val="16"/>
        </w:rPr>
      </w:pPr>
      <w:hyperlink r:id="rId1" w:anchor="!/page/0/length/25/sort_by/rank/sort_order/asc/cols/stats" w:history="1">
        <w:r w:rsidR="00187675" w:rsidRPr="00020057">
          <w:rPr>
            <w:rStyle w:val="Hipervnculo"/>
            <w:sz w:val="16"/>
          </w:rPr>
          <w:t>https://www.timeshighereducation.com/world-university-rankings/2017/latin-america-university-rankings#!/page/0/length/25/sort_by/rank/sort_order/asc/cols/stats</w:t>
        </w:r>
      </w:hyperlink>
    </w:p>
    <w:p w14:paraId="54AF1708" w14:textId="77777777" w:rsidR="00187675" w:rsidRDefault="00187675" w:rsidP="00253754">
      <w:pPr>
        <w:pStyle w:val="Textonotapie"/>
      </w:pPr>
    </w:p>
  </w:footnote>
  <w:footnote w:id="2">
    <w:p w14:paraId="69CF90F4" w14:textId="0A71CD4B" w:rsidR="00187675" w:rsidRPr="00FF282E" w:rsidRDefault="00187675" w:rsidP="00AC563B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 xml:space="preserve">“Datos y Cifras” </w:t>
      </w:r>
      <w:r w:rsidRPr="00FF282E">
        <w:rPr>
          <w:sz w:val="16"/>
        </w:rPr>
        <w:t xml:space="preserve">del ITESM en </w:t>
      </w:r>
      <w:r>
        <w:rPr>
          <w:sz w:val="16"/>
        </w:rPr>
        <w:t xml:space="preserve"> disponible en: </w:t>
      </w:r>
      <w:hyperlink r:id="rId2" w:history="1">
        <w:r w:rsidRPr="00A62730">
          <w:rPr>
            <w:rStyle w:val="Hipervnculo"/>
            <w:sz w:val="16"/>
          </w:rPr>
          <w:t>https://tec.mx/es/diferencia-tec/numeralia/datos-y-cifras</w:t>
        </w:r>
      </w:hyperlink>
      <w:r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AE5B69"/>
    <w:multiLevelType w:val="hybridMultilevel"/>
    <w:tmpl w:val="1A7EDA7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67EFB"/>
    <w:multiLevelType w:val="hybridMultilevel"/>
    <w:tmpl w:val="471A4054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82ADB"/>
    <w:multiLevelType w:val="hybridMultilevel"/>
    <w:tmpl w:val="8A5C77D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4999"/>
    <w:multiLevelType w:val="hybridMultilevel"/>
    <w:tmpl w:val="D3C83E7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20057"/>
    <w:rsid w:val="0004030C"/>
    <w:rsid w:val="00074F01"/>
    <w:rsid w:val="00080ACB"/>
    <w:rsid w:val="00095E29"/>
    <w:rsid w:val="000A62C9"/>
    <w:rsid w:val="000B3CEF"/>
    <w:rsid w:val="000C3D13"/>
    <w:rsid w:val="000C6A1B"/>
    <w:rsid w:val="000D0015"/>
    <w:rsid w:val="000E7136"/>
    <w:rsid w:val="0011183D"/>
    <w:rsid w:val="00114D13"/>
    <w:rsid w:val="00121ECB"/>
    <w:rsid w:val="001511A2"/>
    <w:rsid w:val="00153214"/>
    <w:rsid w:val="00182EA8"/>
    <w:rsid w:val="00187675"/>
    <w:rsid w:val="00193D13"/>
    <w:rsid w:val="001A286B"/>
    <w:rsid w:val="001A7CDB"/>
    <w:rsid w:val="001D4545"/>
    <w:rsid w:val="001D5EBD"/>
    <w:rsid w:val="001E345D"/>
    <w:rsid w:val="001E50E9"/>
    <w:rsid w:val="001F507B"/>
    <w:rsid w:val="00200691"/>
    <w:rsid w:val="00210497"/>
    <w:rsid w:val="00236AB1"/>
    <w:rsid w:val="00253754"/>
    <w:rsid w:val="00257087"/>
    <w:rsid w:val="0026150C"/>
    <w:rsid w:val="00286835"/>
    <w:rsid w:val="002871EB"/>
    <w:rsid w:val="00291132"/>
    <w:rsid w:val="002938AF"/>
    <w:rsid w:val="002B285D"/>
    <w:rsid w:val="002B705F"/>
    <w:rsid w:val="002D2258"/>
    <w:rsid w:val="002D2F67"/>
    <w:rsid w:val="002E24B1"/>
    <w:rsid w:val="002E342B"/>
    <w:rsid w:val="002F62AE"/>
    <w:rsid w:val="003062D3"/>
    <w:rsid w:val="0031474A"/>
    <w:rsid w:val="003201C2"/>
    <w:rsid w:val="00325265"/>
    <w:rsid w:val="00344794"/>
    <w:rsid w:val="00350282"/>
    <w:rsid w:val="00357C5B"/>
    <w:rsid w:val="003613E0"/>
    <w:rsid w:val="00385B7D"/>
    <w:rsid w:val="00396BBE"/>
    <w:rsid w:val="003A1A80"/>
    <w:rsid w:val="003A1FA2"/>
    <w:rsid w:val="003C102E"/>
    <w:rsid w:val="003E1861"/>
    <w:rsid w:val="0041260E"/>
    <w:rsid w:val="00416CC0"/>
    <w:rsid w:val="004245EE"/>
    <w:rsid w:val="00465EE6"/>
    <w:rsid w:val="00467DEF"/>
    <w:rsid w:val="004744A4"/>
    <w:rsid w:val="00494054"/>
    <w:rsid w:val="004B4A0F"/>
    <w:rsid w:val="004C4F5D"/>
    <w:rsid w:val="004E1ADF"/>
    <w:rsid w:val="004F61D3"/>
    <w:rsid w:val="00516B87"/>
    <w:rsid w:val="00523F50"/>
    <w:rsid w:val="00536ABF"/>
    <w:rsid w:val="00540434"/>
    <w:rsid w:val="005427A3"/>
    <w:rsid w:val="0054305B"/>
    <w:rsid w:val="005439E6"/>
    <w:rsid w:val="00556FA9"/>
    <w:rsid w:val="005612C8"/>
    <w:rsid w:val="00561A19"/>
    <w:rsid w:val="0057064A"/>
    <w:rsid w:val="00575FB7"/>
    <w:rsid w:val="00591CFE"/>
    <w:rsid w:val="005A1ACE"/>
    <w:rsid w:val="005B79EA"/>
    <w:rsid w:val="005C762D"/>
    <w:rsid w:val="005E02C6"/>
    <w:rsid w:val="005E27BD"/>
    <w:rsid w:val="006018B6"/>
    <w:rsid w:val="00602022"/>
    <w:rsid w:val="0060365B"/>
    <w:rsid w:val="0061346E"/>
    <w:rsid w:val="00627DDA"/>
    <w:rsid w:val="00632A8E"/>
    <w:rsid w:val="006347C7"/>
    <w:rsid w:val="00654163"/>
    <w:rsid w:val="00670550"/>
    <w:rsid w:val="006736A3"/>
    <w:rsid w:val="0067403C"/>
    <w:rsid w:val="006A5E9B"/>
    <w:rsid w:val="006A60F4"/>
    <w:rsid w:val="006B05EF"/>
    <w:rsid w:val="006B52E8"/>
    <w:rsid w:val="006C79D4"/>
    <w:rsid w:val="006D09C2"/>
    <w:rsid w:val="006D2A38"/>
    <w:rsid w:val="006E0DB2"/>
    <w:rsid w:val="006E1000"/>
    <w:rsid w:val="006F4917"/>
    <w:rsid w:val="007038AE"/>
    <w:rsid w:val="00744819"/>
    <w:rsid w:val="00745041"/>
    <w:rsid w:val="007467BD"/>
    <w:rsid w:val="00754BE1"/>
    <w:rsid w:val="00757B9E"/>
    <w:rsid w:val="0076328A"/>
    <w:rsid w:val="00776C1B"/>
    <w:rsid w:val="00785BED"/>
    <w:rsid w:val="00790D03"/>
    <w:rsid w:val="00797EBA"/>
    <w:rsid w:val="007B2B33"/>
    <w:rsid w:val="007B4D15"/>
    <w:rsid w:val="007D48C0"/>
    <w:rsid w:val="007E02D3"/>
    <w:rsid w:val="007F5C4B"/>
    <w:rsid w:val="007F72AE"/>
    <w:rsid w:val="007F746F"/>
    <w:rsid w:val="008005A1"/>
    <w:rsid w:val="00803500"/>
    <w:rsid w:val="00834AA8"/>
    <w:rsid w:val="0083640D"/>
    <w:rsid w:val="00860F65"/>
    <w:rsid w:val="0086322B"/>
    <w:rsid w:val="008758A8"/>
    <w:rsid w:val="00876A66"/>
    <w:rsid w:val="00885344"/>
    <w:rsid w:val="008945DB"/>
    <w:rsid w:val="008A3771"/>
    <w:rsid w:val="008A3DE1"/>
    <w:rsid w:val="008B3929"/>
    <w:rsid w:val="008B678C"/>
    <w:rsid w:val="008B75DD"/>
    <w:rsid w:val="008C3B1E"/>
    <w:rsid w:val="008C705D"/>
    <w:rsid w:val="008F2D1A"/>
    <w:rsid w:val="008F6C6B"/>
    <w:rsid w:val="00903EBE"/>
    <w:rsid w:val="0091324E"/>
    <w:rsid w:val="009265F9"/>
    <w:rsid w:val="00927179"/>
    <w:rsid w:val="00932183"/>
    <w:rsid w:val="00950D2D"/>
    <w:rsid w:val="00954CDE"/>
    <w:rsid w:val="00955161"/>
    <w:rsid w:val="00955ABB"/>
    <w:rsid w:val="009636DB"/>
    <w:rsid w:val="00963C19"/>
    <w:rsid w:val="0097768D"/>
    <w:rsid w:val="00981CD5"/>
    <w:rsid w:val="009857C4"/>
    <w:rsid w:val="009B4626"/>
    <w:rsid w:val="009D416B"/>
    <w:rsid w:val="009E06D9"/>
    <w:rsid w:val="009E7FF8"/>
    <w:rsid w:val="009F4A57"/>
    <w:rsid w:val="00A20978"/>
    <w:rsid w:val="00A2224C"/>
    <w:rsid w:val="00A301BB"/>
    <w:rsid w:val="00A52257"/>
    <w:rsid w:val="00A5715F"/>
    <w:rsid w:val="00A63125"/>
    <w:rsid w:val="00A6768D"/>
    <w:rsid w:val="00A86B7B"/>
    <w:rsid w:val="00A95334"/>
    <w:rsid w:val="00AB0508"/>
    <w:rsid w:val="00AB1258"/>
    <w:rsid w:val="00AC3FEF"/>
    <w:rsid w:val="00AC563B"/>
    <w:rsid w:val="00AE5228"/>
    <w:rsid w:val="00AF3EB1"/>
    <w:rsid w:val="00B00D95"/>
    <w:rsid w:val="00B068BC"/>
    <w:rsid w:val="00B1058D"/>
    <w:rsid w:val="00B122CE"/>
    <w:rsid w:val="00B14CAF"/>
    <w:rsid w:val="00B167FE"/>
    <w:rsid w:val="00B21449"/>
    <w:rsid w:val="00B30AA4"/>
    <w:rsid w:val="00B33DF2"/>
    <w:rsid w:val="00B36FBB"/>
    <w:rsid w:val="00B52342"/>
    <w:rsid w:val="00B57999"/>
    <w:rsid w:val="00B60811"/>
    <w:rsid w:val="00B62B09"/>
    <w:rsid w:val="00BA5D4D"/>
    <w:rsid w:val="00BC0809"/>
    <w:rsid w:val="00BC0C14"/>
    <w:rsid w:val="00BC5A1E"/>
    <w:rsid w:val="00BC7CA6"/>
    <w:rsid w:val="00BF0E0F"/>
    <w:rsid w:val="00BF17FC"/>
    <w:rsid w:val="00C625AC"/>
    <w:rsid w:val="00C856B6"/>
    <w:rsid w:val="00C96CAA"/>
    <w:rsid w:val="00CA0B0D"/>
    <w:rsid w:val="00CA633C"/>
    <w:rsid w:val="00CA7F40"/>
    <w:rsid w:val="00CB7710"/>
    <w:rsid w:val="00CC2FF8"/>
    <w:rsid w:val="00CC4772"/>
    <w:rsid w:val="00CC478C"/>
    <w:rsid w:val="00CC4F28"/>
    <w:rsid w:val="00CD43A5"/>
    <w:rsid w:val="00CE0B4F"/>
    <w:rsid w:val="00CE1B0F"/>
    <w:rsid w:val="00D0231C"/>
    <w:rsid w:val="00D110B7"/>
    <w:rsid w:val="00D17E34"/>
    <w:rsid w:val="00D246B5"/>
    <w:rsid w:val="00D44E20"/>
    <w:rsid w:val="00D67286"/>
    <w:rsid w:val="00D70652"/>
    <w:rsid w:val="00D75035"/>
    <w:rsid w:val="00D800F4"/>
    <w:rsid w:val="00D8424B"/>
    <w:rsid w:val="00DA70FB"/>
    <w:rsid w:val="00DB2644"/>
    <w:rsid w:val="00DB445F"/>
    <w:rsid w:val="00DC3520"/>
    <w:rsid w:val="00DE6350"/>
    <w:rsid w:val="00DF38E0"/>
    <w:rsid w:val="00E16DB1"/>
    <w:rsid w:val="00E225BE"/>
    <w:rsid w:val="00E2676F"/>
    <w:rsid w:val="00E64262"/>
    <w:rsid w:val="00E800AC"/>
    <w:rsid w:val="00E828D0"/>
    <w:rsid w:val="00E93F34"/>
    <w:rsid w:val="00EA0F71"/>
    <w:rsid w:val="00EC10F8"/>
    <w:rsid w:val="00EC2587"/>
    <w:rsid w:val="00ED566B"/>
    <w:rsid w:val="00EE3D6B"/>
    <w:rsid w:val="00EF2EDE"/>
    <w:rsid w:val="00EF4296"/>
    <w:rsid w:val="00F066F1"/>
    <w:rsid w:val="00F23AE7"/>
    <w:rsid w:val="00F25B04"/>
    <w:rsid w:val="00F27902"/>
    <w:rsid w:val="00F3118C"/>
    <w:rsid w:val="00F35480"/>
    <w:rsid w:val="00F4398E"/>
    <w:rsid w:val="00F477EA"/>
    <w:rsid w:val="00F505AC"/>
    <w:rsid w:val="00F57DC0"/>
    <w:rsid w:val="00F65136"/>
    <w:rsid w:val="00F8199B"/>
    <w:rsid w:val="00F84119"/>
    <w:rsid w:val="00FE4B30"/>
    <w:rsid w:val="00FE5AA4"/>
    <w:rsid w:val="00FF06D9"/>
    <w:rsid w:val="00FF0EE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A37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7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77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c.mx/es/diferencia-tec/numeralia/datos-y-cifras" TargetMode="External"/><Relationship Id="rId1" Type="http://schemas.openxmlformats.org/officeDocument/2006/relationships/hyperlink" Target="https://www.timeshighereducation.com/world-university-rankings/2017/latin-america-university-ranking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THE%20Latin%20America%20Rankings_2017_2007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Paises!$A$2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Paises!$A$3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Paises!$A$4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Paises!$A$5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Paises!$A$6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Paises!$A$7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Paises!$A$8</c:f>
              <c:strCache>
                <c:ptCount val="1"/>
                <c:pt idx="0">
                  <c:v>Ecuador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Paises!$A$9</c:f>
              <c:strCache>
                <c:ptCount val="1"/>
                <c:pt idx="0">
                  <c:v>Costa Rica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173420416"/>
        <c:axId val="-1173434016"/>
      </c:barChart>
      <c:catAx>
        <c:axId val="-1173420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73434016"/>
        <c:crosses val="autoZero"/>
        <c:auto val="1"/>
        <c:lblAlgn val="ctr"/>
        <c:lblOffset val="100"/>
        <c:noMultiLvlLbl val="0"/>
      </c:catAx>
      <c:valAx>
        <c:axId val="-117343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7342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D085-EBD1-4903-8F6C-8BFE6E3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Francisco Javier Lozano Espinosa</cp:lastModifiedBy>
  <cp:revision>2</cp:revision>
  <cp:lastPrinted>2017-07-25T19:07:00Z</cp:lastPrinted>
  <dcterms:created xsi:type="dcterms:W3CDTF">2017-07-25T19:38:00Z</dcterms:created>
  <dcterms:modified xsi:type="dcterms:W3CDTF">2017-07-25T19:38:00Z</dcterms:modified>
</cp:coreProperties>
</file>