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5EB3" w14:textId="1A20CFB3" w:rsidR="001511A2" w:rsidRPr="00ED5D46" w:rsidRDefault="001511A2" w:rsidP="00CD645D">
      <w:pPr>
        <w:spacing w:after="0" w:line="240" w:lineRule="auto"/>
        <w:jc w:val="center"/>
        <w:rPr>
          <w:b/>
          <w:sz w:val="24"/>
        </w:rPr>
      </w:pPr>
      <w:r w:rsidRPr="00ED5D46">
        <w:rPr>
          <w:b/>
          <w:sz w:val="24"/>
        </w:rPr>
        <w:t>Dirección General de Evaluación Institucional</w:t>
      </w:r>
    </w:p>
    <w:p w14:paraId="6A06AB9A" w14:textId="70B991F1" w:rsidR="001511A2" w:rsidRPr="00ED5D46" w:rsidRDefault="001511A2" w:rsidP="00CD645D">
      <w:pPr>
        <w:spacing w:after="0" w:line="240" w:lineRule="auto"/>
        <w:jc w:val="center"/>
        <w:rPr>
          <w:b/>
          <w:sz w:val="24"/>
        </w:rPr>
      </w:pPr>
      <w:r w:rsidRPr="00ED5D46">
        <w:rPr>
          <w:b/>
          <w:sz w:val="24"/>
        </w:rPr>
        <w:t xml:space="preserve">Ciudad Universitaria, DF a </w:t>
      </w:r>
      <w:r w:rsidR="00995E30" w:rsidRPr="00ED5D46">
        <w:rPr>
          <w:b/>
          <w:sz w:val="24"/>
        </w:rPr>
        <w:t>19</w:t>
      </w:r>
      <w:r w:rsidRPr="00ED5D46">
        <w:rPr>
          <w:b/>
          <w:sz w:val="24"/>
        </w:rPr>
        <w:t xml:space="preserve"> de </w:t>
      </w:r>
      <w:r w:rsidR="00AA3C84" w:rsidRPr="00ED5D46">
        <w:rPr>
          <w:b/>
          <w:sz w:val="24"/>
        </w:rPr>
        <w:t>junio</w:t>
      </w:r>
      <w:r w:rsidR="0045138C" w:rsidRPr="00ED5D46">
        <w:rPr>
          <w:b/>
          <w:sz w:val="24"/>
        </w:rPr>
        <w:t xml:space="preserve"> </w:t>
      </w:r>
      <w:r w:rsidR="00995E30" w:rsidRPr="00ED5D46">
        <w:rPr>
          <w:b/>
          <w:sz w:val="24"/>
        </w:rPr>
        <w:t>de 2019</w:t>
      </w:r>
    </w:p>
    <w:p w14:paraId="1CF22417" w14:textId="77777777" w:rsidR="001511A2" w:rsidRPr="00ED5D46" w:rsidRDefault="001511A2" w:rsidP="00CD645D">
      <w:pPr>
        <w:spacing w:after="0" w:line="240" w:lineRule="auto"/>
        <w:jc w:val="center"/>
        <w:rPr>
          <w:b/>
          <w:sz w:val="24"/>
        </w:rPr>
      </w:pPr>
    </w:p>
    <w:p w14:paraId="7844F295" w14:textId="1A6BED89" w:rsidR="001511A2" w:rsidRPr="00ED5D46" w:rsidRDefault="001511A2" w:rsidP="00CD645D">
      <w:pPr>
        <w:spacing w:after="0" w:line="240" w:lineRule="auto"/>
        <w:jc w:val="center"/>
        <w:rPr>
          <w:b/>
          <w:sz w:val="28"/>
          <w:szCs w:val="28"/>
        </w:rPr>
      </w:pPr>
      <w:r w:rsidRPr="00ED5D46">
        <w:rPr>
          <w:b/>
          <w:sz w:val="28"/>
          <w:szCs w:val="28"/>
        </w:rPr>
        <w:t xml:space="preserve">UNAM EN </w:t>
      </w:r>
      <w:r w:rsidR="007B4D15" w:rsidRPr="00ED5D46">
        <w:rPr>
          <w:b/>
          <w:sz w:val="28"/>
          <w:szCs w:val="28"/>
        </w:rPr>
        <w:t xml:space="preserve">EL </w:t>
      </w:r>
      <w:r w:rsidR="00FF505C" w:rsidRPr="00ED5D46">
        <w:rPr>
          <w:b/>
          <w:sz w:val="28"/>
          <w:szCs w:val="28"/>
        </w:rPr>
        <w:t>QS R</w:t>
      </w:r>
      <w:r w:rsidR="003043A7" w:rsidRPr="00ED5D46">
        <w:rPr>
          <w:b/>
          <w:sz w:val="28"/>
          <w:szCs w:val="28"/>
        </w:rPr>
        <w:t>ANKING MUNDIAL DE UNIVERSIDADES</w:t>
      </w:r>
    </w:p>
    <w:p w14:paraId="61B94DBB" w14:textId="4D3C65F4" w:rsidR="00260339" w:rsidRPr="00ED5D46" w:rsidRDefault="00995E30" w:rsidP="00CD645D">
      <w:pPr>
        <w:spacing w:after="0" w:line="240" w:lineRule="auto"/>
        <w:jc w:val="center"/>
        <w:rPr>
          <w:b/>
          <w:sz w:val="28"/>
          <w:szCs w:val="28"/>
        </w:rPr>
      </w:pPr>
      <w:r w:rsidRPr="00ED5D46">
        <w:rPr>
          <w:b/>
          <w:sz w:val="28"/>
          <w:szCs w:val="28"/>
        </w:rPr>
        <w:t>(Edición 2020</w:t>
      </w:r>
      <w:r w:rsidR="00260339" w:rsidRPr="00ED5D46">
        <w:rPr>
          <w:b/>
          <w:sz w:val="28"/>
          <w:szCs w:val="28"/>
        </w:rPr>
        <w:t>)</w:t>
      </w:r>
    </w:p>
    <w:p w14:paraId="206DCAFA" w14:textId="77777777" w:rsidR="00EF2EDE" w:rsidRPr="00ED5D46" w:rsidRDefault="00EF2EDE" w:rsidP="00CD645D">
      <w:pPr>
        <w:spacing w:after="0" w:line="240" w:lineRule="auto"/>
        <w:rPr>
          <w:sz w:val="24"/>
        </w:rPr>
      </w:pPr>
    </w:p>
    <w:p w14:paraId="270AFEB9" w14:textId="38702922" w:rsidR="00894FE3" w:rsidRPr="00ED5D46" w:rsidRDefault="00FC2854" w:rsidP="00CD645D">
      <w:pPr>
        <w:pStyle w:val="Prrafodelista"/>
        <w:numPr>
          <w:ilvl w:val="0"/>
          <w:numId w:val="1"/>
        </w:numPr>
        <w:spacing w:after="0" w:line="240" w:lineRule="auto"/>
        <w:jc w:val="both"/>
        <w:rPr>
          <w:sz w:val="24"/>
        </w:rPr>
      </w:pPr>
      <w:r w:rsidRPr="00ED5D46">
        <w:rPr>
          <w:sz w:val="24"/>
        </w:rPr>
        <w:t xml:space="preserve">Quacquarelli Symonds </w:t>
      </w:r>
      <w:r w:rsidR="00894FE3" w:rsidRPr="00ED5D46">
        <w:rPr>
          <w:sz w:val="24"/>
        </w:rPr>
        <w:t xml:space="preserve">(QS) </w:t>
      </w:r>
      <w:r w:rsidRPr="00ED5D46">
        <w:rPr>
          <w:sz w:val="24"/>
        </w:rPr>
        <w:t xml:space="preserve">publicó los resultados del ranking mundial de universidades el día </w:t>
      </w:r>
      <w:r w:rsidR="00995E30" w:rsidRPr="00ED5D46">
        <w:rPr>
          <w:sz w:val="24"/>
        </w:rPr>
        <w:t>19</w:t>
      </w:r>
      <w:r w:rsidR="0045138C" w:rsidRPr="00ED5D46">
        <w:rPr>
          <w:sz w:val="24"/>
        </w:rPr>
        <w:t xml:space="preserve"> </w:t>
      </w:r>
      <w:r w:rsidRPr="00ED5D46">
        <w:rPr>
          <w:sz w:val="24"/>
        </w:rPr>
        <w:t xml:space="preserve">de </w:t>
      </w:r>
      <w:r w:rsidR="00662201" w:rsidRPr="00ED5D46">
        <w:rPr>
          <w:sz w:val="24"/>
        </w:rPr>
        <w:t>junio</w:t>
      </w:r>
      <w:r w:rsidR="0045138C" w:rsidRPr="00ED5D46">
        <w:rPr>
          <w:sz w:val="24"/>
        </w:rPr>
        <w:t xml:space="preserve"> </w:t>
      </w:r>
      <w:r w:rsidR="00AA3C84" w:rsidRPr="00ED5D46">
        <w:rPr>
          <w:sz w:val="24"/>
        </w:rPr>
        <w:t>de 201</w:t>
      </w:r>
      <w:r w:rsidR="00995E30" w:rsidRPr="00ED5D46">
        <w:rPr>
          <w:sz w:val="24"/>
        </w:rPr>
        <w:t>9</w:t>
      </w:r>
      <w:r w:rsidRPr="00ED5D46">
        <w:rPr>
          <w:sz w:val="24"/>
        </w:rPr>
        <w:t>.</w:t>
      </w:r>
      <w:r w:rsidR="00894FE3" w:rsidRPr="00ED5D46">
        <w:rPr>
          <w:sz w:val="24"/>
        </w:rPr>
        <w:t xml:space="preserve"> </w:t>
      </w:r>
    </w:p>
    <w:p w14:paraId="35E445E8" w14:textId="77777777" w:rsidR="00FC2854" w:rsidRPr="00ED5D46" w:rsidRDefault="00FC2854" w:rsidP="00CD645D">
      <w:pPr>
        <w:pStyle w:val="Prrafodelista"/>
        <w:spacing w:after="0" w:line="240" w:lineRule="auto"/>
        <w:jc w:val="both"/>
        <w:rPr>
          <w:sz w:val="24"/>
        </w:rPr>
      </w:pPr>
    </w:p>
    <w:p w14:paraId="72E1404F" w14:textId="4F9AAC89" w:rsidR="00113D12" w:rsidRPr="00ED5D46" w:rsidRDefault="00995E30" w:rsidP="00CD645D">
      <w:pPr>
        <w:pStyle w:val="Prrafodelista"/>
        <w:numPr>
          <w:ilvl w:val="0"/>
          <w:numId w:val="1"/>
        </w:numPr>
        <w:spacing w:after="0" w:line="240" w:lineRule="auto"/>
        <w:jc w:val="both"/>
        <w:rPr>
          <w:sz w:val="24"/>
        </w:rPr>
      </w:pPr>
      <w:r w:rsidRPr="00ED5D46">
        <w:rPr>
          <w:sz w:val="24"/>
        </w:rPr>
        <w:t xml:space="preserve">En </w:t>
      </w:r>
      <w:r w:rsidR="00F72EB8" w:rsidRPr="00ED5D46">
        <w:rPr>
          <w:sz w:val="24"/>
        </w:rPr>
        <w:t xml:space="preserve">el </w:t>
      </w:r>
      <w:r w:rsidR="00A13917" w:rsidRPr="00ED5D46">
        <w:rPr>
          <w:sz w:val="24"/>
        </w:rPr>
        <w:t>QS ranking mundial de universidades</w:t>
      </w:r>
      <w:r w:rsidR="00F72EB8" w:rsidRPr="00ED5D46">
        <w:rPr>
          <w:sz w:val="24"/>
        </w:rPr>
        <w:t xml:space="preserve"> 2020</w:t>
      </w:r>
      <w:r w:rsidR="00A13917" w:rsidRPr="00ED5D46">
        <w:rPr>
          <w:sz w:val="24"/>
        </w:rPr>
        <w:t>, l</w:t>
      </w:r>
      <w:r w:rsidR="00BF77DE" w:rsidRPr="00ED5D46">
        <w:rPr>
          <w:sz w:val="24"/>
        </w:rPr>
        <w:t xml:space="preserve">a UNAM </w:t>
      </w:r>
      <w:r w:rsidR="00F72EB8" w:rsidRPr="00ED5D46">
        <w:rPr>
          <w:sz w:val="24"/>
        </w:rPr>
        <w:t xml:space="preserve">obtuvo el lugar 103, ubicándose como la segunda mejor universidad de Iberoamérica al estar solo por debajo </w:t>
      </w:r>
      <w:r w:rsidR="00233530" w:rsidRPr="00ED5D46">
        <w:rPr>
          <w:sz w:val="24"/>
        </w:rPr>
        <w:t xml:space="preserve">de la </w:t>
      </w:r>
      <w:r w:rsidR="00A41A11" w:rsidRPr="00ED5D46">
        <w:rPr>
          <w:sz w:val="24"/>
        </w:rPr>
        <w:t>Universidad de Buenos Aires</w:t>
      </w:r>
      <w:r w:rsidR="00F72EB8" w:rsidRPr="00ED5D46">
        <w:rPr>
          <w:sz w:val="24"/>
        </w:rPr>
        <w:t xml:space="preserve">, que se ubica en la </w:t>
      </w:r>
      <w:r w:rsidR="00233530" w:rsidRPr="00ED5D46">
        <w:rPr>
          <w:sz w:val="24"/>
        </w:rPr>
        <w:t>posición 7</w:t>
      </w:r>
      <w:r w:rsidR="00F72EB8" w:rsidRPr="00ED5D46">
        <w:rPr>
          <w:sz w:val="24"/>
        </w:rPr>
        <w:t>4</w:t>
      </w:r>
      <w:r w:rsidR="00113D12" w:rsidRPr="00ED5D46">
        <w:rPr>
          <w:sz w:val="24"/>
        </w:rPr>
        <w:t xml:space="preserve">. </w:t>
      </w:r>
    </w:p>
    <w:p w14:paraId="3BFA4B1B" w14:textId="77777777" w:rsidR="00F72EB8" w:rsidRPr="00ED5D46" w:rsidRDefault="00F72EB8" w:rsidP="00CD645D">
      <w:pPr>
        <w:pStyle w:val="Prrafodelista"/>
        <w:spacing w:after="0" w:line="240" w:lineRule="auto"/>
        <w:rPr>
          <w:sz w:val="24"/>
        </w:rPr>
      </w:pPr>
    </w:p>
    <w:p w14:paraId="4A20C9B6" w14:textId="6C31AEBC" w:rsidR="00F72EB8" w:rsidRPr="00ED5D46" w:rsidRDefault="00F72EB8" w:rsidP="00F72EB8">
      <w:pPr>
        <w:pStyle w:val="Prrafodelista"/>
        <w:numPr>
          <w:ilvl w:val="0"/>
          <w:numId w:val="1"/>
        </w:numPr>
        <w:spacing w:after="0" w:line="240" w:lineRule="auto"/>
        <w:jc w:val="both"/>
        <w:rPr>
          <w:sz w:val="24"/>
        </w:rPr>
      </w:pPr>
      <w:r w:rsidRPr="00ED5D46">
        <w:rPr>
          <w:sz w:val="24"/>
        </w:rPr>
        <w:t>La metodología para esta edición del ranking QS  fue la siguiente:</w:t>
      </w:r>
    </w:p>
    <w:p w14:paraId="2955A644" w14:textId="5C5BF38B" w:rsidR="000F3B73" w:rsidRPr="00ED5D46" w:rsidRDefault="000F3B73" w:rsidP="00CD645D">
      <w:pPr>
        <w:pStyle w:val="Prrafodelista"/>
        <w:numPr>
          <w:ilvl w:val="0"/>
          <w:numId w:val="10"/>
        </w:numPr>
        <w:spacing w:after="0" w:line="240" w:lineRule="auto"/>
        <w:jc w:val="both"/>
        <w:rPr>
          <w:sz w:val="24"/>
        </w:rPr>
      </w:pPr>
      <w:r w:rsidRPr="00ED5D46">
        <w:rPr>
          <w:b/>
          <w:sz w:val="24"/>
        </w:rPr>
        <w:t>Reputación según académicos</w:t>
      </w:r>
      <w:r w:rsidRPr="00ED5D46">
        <w:rPr>
          <w:sz w:val="24"/>
        </w:rPr>
        <w:t xml:space="preserve"> (40%)</w:t>
      </w:r>
      <w:r w:rsidR="00D40232" w:rsidRPr="00ED5D46">
        <w:rPr>
          <w:sz w:val="24"/>
        </w:rPr>
        <w:t>.</w:t>
      </w:r>
      <w:r w:rsidRPr="00ED5D46">
        <w:rPr>
          <w:sz w:val="24"/>
        </w:rPr>
        <w:t xml:space="preserve"> </w:t>
      </w:r>
    </w:p>
    <w:p w14:paraId="55D83F97" w14:textId="1DFF0B29" w:rsidR="000F3B73" w:rsidRPr="00ED5D46" w:rsidRDefault="000F3B73" w:rsidP="00CD645D">
      <w:pPr>
        <w:pStyle w:val="Prrafodelista"/>
        <w:numPr>
          <w:ilvl w:val="0"/>
          <w:numId w:val="10"/>
        </w:numPr>
        <w:spacing w:after="0" w:line="240" w:lineRule="auto"/>
        <w:jc w:val="both"/>
        <w:rPr>
          <w:sz w:val="24"/>
        </w:rPr>
      </w:pPr>
      <w:r w:rsidRPr="00ED5D46">
        <w:rPr>
          <w:b/>
          <w:sz w:val="24"/>
        </w:rPr>
        <w:t>Reputación según empleadores</w:t>
      </w:r>
      <w:r w:rsidRPr="00ED5D46">
        <w:rPr>
          <w:sz w:val="24"/>
        </w:rPr>
        <w:t xml:space="preserve"> (10%)</w:t>
      </w:r>
      <w:r w:rsidR="00D40232" w:rsidRPr="00ED5D46">
        <w:rPr>
          <w:sz w:val="24"/>
        </w:rPr>
        <w:t>.</w:t>
      </w:r>
      <w:r w:rsidRPr="00ED5D46">
        <w:rPr>
          <w:sz w:val="24"/>
        </w:rPr>
        <w:t xml:space="preserve"> </w:t>
      </w:r>
    </w:p>
    <w:p w14:paraId="640C693B" w14:textId="7469BDBC" w:rsidR="000F3B73" w:rsidRPr="00ED5D46" w:rsidRDefault="000F3B73" w:rsidP="00CD645D">
      <w:pPr>
        <w:pStyle w:val="Prrafodelista"/>
        <w:numPr>
          <w:ilvl w:val="0"/>
          <w:numId w:val="10"/>
        </w:numPr>
        <w:spacing w:after="0" w:line="240" w:lineRule="auto"/>
        <w:jc w:val="both"/>
        <w:rPr>
          <w:sz w:val="24"/>
        </w:rPr>
      </w:pPr>
      <w:r w:rsidRPr="00ED5D46">
        <w:rPr>
          <w:b/>
          <w:sz w:val="24"/>
        </w:rPr>
        <w:t>Relación entre estudiantes y profesores</w:t>
      </w:r>
      <w:r w:rsidRPr="00ED5D46">
        <w:rPr>
          <w:sz w:val="24"/>
        </w:rPr>
        <w:t xml:space="preserve"> (20%)</w:t>
      </w:r>
      <w:r w:rsidR="00F50CF2" w:rsidRPr="00ED5D46">
        <w:rPr>
          <w:sz w:val="24"/>
        </w:rPr>
        <w:t>.</w:t>
      </w:r>
    </w:p>
    <w:p w14:paraId="4B2DF36B" w14:textId="1D16EC78" w:rsidR="000F3B73" w:rsidRPr="00ED5D46" w:rsidRDefault="000F3B73" w:rsidP="00CD645D">
      <w:pPr>
        <w:pStyle w:val="Prrafodelista"/>
        <w:numPr>
          <w:ilvl w:val="0"/>
          <w:numId w:val="10"/>
        </w:numPr>
        <w:spacing w:after="0" w:line="240" w:lineRule="auto"/>
        <w:jc w:val="both"/>
        <w:rPr>
          <w:sz w:val="24"/>
        </w:rPr>
      </w:pPr>
      <w:r w:rsidRPr="00ED5D46">
        <w:rPr>
          <w:b/>
          <w:sz w:val="24"/>
        </w:rPr>
        <w:t>Citas académicas por artículo entre planta académica</w:t>
      </w:r>
      <w:r w:rsidRPr="00ED5D46">
        <w:rPr>
          <w:sz w:val="24"/>
        </w:rPr>
        <w:t xml:space="preserve"> (20%)</w:t>
      </w:r>
      <w:r w:rsidR="00F50CF2" w:rsidRPr="00ED5D46">
        <w:rPr>
          <w:sz w:val="24"/>
        </w:rPr>
        <w:t xml:space="preserve">, se consideran los artículos publicados en Elsevier Scopus durante un periodo de </w:t>
      </w:r>
      <w:r w:rsidR="001A470B" w:rsidRPr="00ED5D46">
        <w:rPr>
          <w:sz w:val="24"/>
        </w:rPr>
        <w:t>5</w:t>
      </w:r>
      <w:r w:rsidR="00F50CF2" w:rsidRPr="00ED5D46">
        <w:rPr>
          <w:sz w:val="24"/>
        </w:rPr>
        <w:t xml:space="preserve"> años.</w:t>
      </w:r>
    </w:p>
    <w:p w14:paraId="3CE03ACB" w14:textId="7D8B0B4F" w:rsidR="000F3B73" w:rsidRPr="00ED5D46" w:rsidRDefault="000F3B73" w:rsidP="00CD645D">
      <w:pPr>
        <w:pStyle w:val="Prrafodelista"/>
        <w:numPr>
          <w:ilvl w:val="0"/>
          <w:numId w:val="10"/>
        </w:numPr>
        <w:spacing w:after="0" w:line="240" w:lineRule="auto"/>
        <w:jc w:val="both"/>
        <w:rPr>
          <w:sz w:val="24"/>
        </w:rPr>
      </w:pPr>
      <w:r w:rsidRPr="00ED5D46">
        <w:rPr>
          <w:b/>
          <w:sz w:val="24"/>
        </w:rPr>
        <w:t xml:space="preserve">Proporción </w:t>
      </w:r>
      <w:r w:rsidR="00F50CF2" w:rsidRPr="00ED5D46">
        <w:rPr>
          <w:b/>
          <w:sz w:val="24"/>
        </w:rPr>
        <w:t>de estudiantes extranjeros</w:t>
      </w:r>
      <w:r w:rsidR="00F50CF2" w:rsidRPr="00ED5D46">
        <w:rPr>
          <w:sz w:val="24"/>
        </w:rPr>
        <w:t xml:space="preserve"> (5%).</w:t>
      </w:r>
    </w:p>
    <w:p w14:paraId="67CAB9F2" w14:textId="0FDAE4DF" w:rsidR="000F3B73" w:rsidRPr="00ED5D46" w:rsidRDefault="000F3B73" w:rsidP="00CD645D">
      <w:pPr>
        <w:pStyle w:val="Prrafodelista"/>
        <w:numPr>
          <w:ilvl w:val="0"/>
          <w:numId w:val="10"/>
        </w:numPr>
        <w:spacing w:after="0" w:line="240" w:lineRule="auto"/>
        <w:jc w:val="both"/>
        <w:rPr>
          <w:sz w:val="24"/>
        </w:rPr>
      </w:pPr>
      <w:r w:rsidRPr="00ED5D46">
        <w:rPr>
          <w:b/>
          <w:sz w:val="24"/>
        </w:rPr>
        <w:t>Proporción de académicos extranjeros</w:t>
      </w:r>
      <w:r w:rsidR="00F50CF2" w:rsidRPr="00ED5D46">
        <w:rPr>
          <w:sz w:val="24"/>
        </w:rPr>
        <w:t xml:space="preserve"> </w:t>
      </w:r>
      <w:r w:rsidRPr="00ED5D46">
        <w:rPr>
          <w:sz w:val="24"/>
        </w:rPr>
        <w:t>(5%)</w:t>
      </w:r>
      <w:r w:rsidR="00F50CF2" w:rsidRPr="00ED5D46">
        <w:rPr>
          <w:sz w:val="24"/>
        </w:rPr>
        <w:t>.</w:t>
      </w:r>
    </w:p>
    <w:p w14:paraId="4F937073" w14:textId="77777777" w:rsidR="00C1696D" w:rsidRPr="00ED5D46" w:rsidRDefault="00C1696D" w:rsidP="00CD645D">
      <w:pPr>
        <w:pStyle w:val="Prrafodelista"/>
        <w:spacing w:after="0" w:line="240" w:lineRule="auto"/>
        <w:ind w:left="1418" w:hanging="709"/>
        <w:jc w:val="both"/>
        <w:rPr>
          <w:sz w:val="16"/>
          <w:szCs w:val="16"/>
        </w:rPr>
      </w:pPr>
    </w:p>
    <w:p w14:paraId="2FAFFC35" w14:textId="77777777" w:rsidR="00945346" w:rsidRPr="00ED5D46" w:rsidRDefault="00945346" w:rsidP="00CD645D">
      <w:pPr>
        <w:pStyle w:val="Prrafodelista"/>
        <w:spacing w:after="0" w:line="240" w:lineRule="auto"/>
        <w:jc w:val="both"/>
        <w:rPr>
          <w:sz w:val="24"/>
        </w:rPr>
      </w:pPr>
      <w:r w:rsidRPr="00ED5D46">
        <w:rPr>
          <w:sz w:val="24"/>
        </w:rPr>
        <w:t>Todos los puntajes del ranking se encuentran normalizados al 100% con referencia al valor de 100 puntos asignados a la universidad con mejor desempeño en cada indicador.</w:t>
      </w:r>
    </w:p>
    <w:p w14:paraId="67E93D78" w14:textId="77777777" w:rsidR="00945346" w:rsidRPr="00ED5D46" w:rsidRDefault="00945346" w:rsidP="00CD645D">
      <w:pPr>
        <w:pStyle w:val="Prrafodelista"/>
        <w:spacing w:after="0" w:line="240" w:lineRule="auto"/>
        <w:ind w:left="1418" w:hanging="709"/>
        <w:jc w:val="both"/>
        <w:rPr>
          <w:sz w:val="16"/>
          <w:szCs w:val="16"/>
        </w:rPr>
      </w:pPr>
    </w:p>
    <w:p w14:paraId="0A065F56" w14:textId="77777777" w:rsidR="004F1B6E" w:rsidRPr="00ED5D46" w:rsidRDefault="004F1B6E" w:rsidP="00CD645D">
      <w:pPr>
        <w:pStyle w:val="Prrafodelista"/>
        <w:spacing w:after="0" w:line="240" w:lineRule="auto"/>
        <w:jc w:val="both"/>
        <w:rPr>
          <w:b/>
          <w:sz w:val="24"/>
        </w:rPr>
      </w:pPr>
      <w:r w:rsidRPr="00ED5D46">
        <w:rPr>
          <w:b/>
          <w:sz w:val="24"/>
        </w:rPr>
        <w:t xml:space="preserve">Resultados </w:t>
      </w:r>
    </w:p>
    <w:p w14:paraId="0C8F03DC" w14:textId="158D35DB" w:rsidR="00F66116" w:rsidRPr="00ED5D46" w:rsidRDefault="003C5310" w:rsidP="00BD7B77">
      <w:pPr>
        <w:pStyle w:val="Prrafodelista"/>
        <w:numPr>
          <w:ilvl w:val="0"/>
          <w:numId w:val="1"/>
        </w:numPr>
        <w:spacing w:after="0" w:line="240" w:lineRule="auto"/>
        <w:jc w:val="both"/>
        <w:rPr>
          <w:sz w:val="14"/>
          <w:szCs w:val="14"/>
        </w:rPr>
      </w:pPr>
      <w:r w:rsidRPr="00ED5D46">
        <w:rPr>
          <w:sz w:val="24"/>
        </w:rPr>
        <w:t>El QS ranking mundial de universidades clasificó a 1</w:t>
      </w:r>
      <w:r w:rsidR="00D135E6" w:rsidRPr="00ED5D46">
        <w:rPr>
          <w:sz w:val="24"/>
        </w:rPr>
        <w:t>2</w:t>
      </w:r>
      <w:r w:rsidRPr="00ED5D46">
        <w:rPr>
          <w:sz w:val="24"/>
        </w:rPr>
        <w:t xml:space="preserve">1 </w:t>
      </w:r>
      <w:r w:rsidR="004F1B6E" w:rsidRPr="00ED5D46">
        <w:rPr>
          <w:sz w:val="24"/>
        </w:rPr>
        <w:t xml:space="preserve">universidades </w:t>
      </w:r>
      <w:r w:rsidR="00EB4193" w:rsidRPr="00ED5D46">
        <w:rPr>
          <w:sz w:val="24"/>
        </w:rPr>
        <w:t xml:space="preserve">iberoamericanas </w:t>
      </w:r>
      <w:r w:rsidRPr="00ED5D46">
        <w:rPr>
          <w:sz w:val="24"/>
        </w:rPr>
        <w:t xml:space="preserve">de </w:t>
      </w:r>
      <w:r w:rsidR="00E63344" w:rsidRPr="00ED5D46">
        <w:rPr>
          <w:sz w:val="24"/>
        </w:rPr>
        <w:t xml:space="preserve">quince </w:t>
      </w:r>
      <w:r w:rsidRPr="00ED5D46">
        <w:rPr>
          <w:sz w:val="24"/>
        </w:rPr>
        <w:t>países</w:t>
      </w:r>
      <w:r w:rsidR="00E63344" w:rsidRPr="00ED5D46">
        <w:rPr>
          <w:sz w:val="24"/>
        </w:rPr>
        <w:t xml:space="preserve">. Se destaca la </w:t>
      </w:r>
      <w:r w:rsidR="00BD7B77" w:rsidRPr="00ED5D46">
        <w:rPr>
          <w:sz w:val="24"/>
        </w:rPr>
        <w:t>participación de 2</w:t>
      </w:r>
      <w:r w:rsidR="00EB4193" w:rsidRPr="00ED5D46">
        <w:rPr>
          <w:sz w:val="24"/>
        </w:rPr>
        <w:t>7</w:t>
      </w:r>
      <w:r w:rsidR="00BD7B77" w:rsidRPr="00ED5D46">
        <w:rPr>
          <w:sz w:val="24"/>
        </w:rPr>
        <w:t xml:space="preserve"> uni</w:t>
      </w:r>
      <w:r w:rsidR="00EB4193" w:rsidRPr="00ED5D46">
        <w:rPr>
          <w:sz w:val="24"/>
        </w:rPr>
        <w:t>versidades españolas, 19</w:t>
      </w:r>
      <w:r w:rsidR="00BD7B77" w:rsidRPr="00ED5D46">
        <w:rPr>
          <w:sz w:val="24"/>
        </w:rPr>
        <w:t xml:space="preserve"> brasileñas, 1</w:t>
      </w:r>
      <w:r w:rsidR="00EB4193" w:rsidRPr="00ED5D46">
        <w:rPr>
          <w:sz w:val="24"/>
        </w:rPr>
        <w:t>3</w:t>
      </w:r>
      <w:r w:rsidR="00BD7B77" w:rsidRPr="00ED5D46">
        <w:rPr>
          <w:sz w:val="24"/>
        </w:rPr>
        <w:t xml:space="preserve"> argentinas y mexicanas.</w:t>
      </w:r>
    </w:p>
    <w:p w14:paraId="349B0022" w14:textId="77777777" w:rsidR="00BD7B77" w:rsidRPr="00ED5D46" w:rsidRDefault="00BD7B77" w:rsidP="00BD7B77">
      <w:pPr>
        <w:pStyle w:val="Prrafodelista"/>
        <w:spacing w:after="0" w:line="240" w:lineRule="auto"/>
        <w:jc w:val="both"/>
        <w:rPr>
          <w:sz w:val="14"/>
          <w:szCs w:val="14"/>
        </w:rPr>
      </w:pPr>
    </w:p>
    <w:tbl>
      <w:tblPr>
        <w:tblW w:w="10070" w:type="dxa"/>
        <w:jc w:val="center"/>
        <w:tblCellMar>
          <w:left w:w="70" w:type="dxa"/>
          <w:right w:w="70" w:type="dxa"/>
        </w:tblCellMar>
        <w:tblLook w:val="04A0" w:firstRow="1" w:lastRow="0" w:firstColumn="1" w:lastColumn="0" w:noHBand="0" w:noVBand="1"/>
      </w:tblPr>
      <w:tblGrid>
        <w:gridCol w:w="10070"/>
      </w:tblGrid>
      <w:tr w:rsidR="00F66116" w:rsidRPr="00ED5D46" w14:paraId="7CA9240A" w14:textId="77777777" w:rsidTr="00F66116">
        <w:trPr>
          <w:trHeight w:val="277"/>
          <w:jc w:val="center"/>
        </w:trPr>
        <w:tc>
          <w:tcPr>
            <w:tcW w:w="10070" w:type="dxa"/>
            <w:shd w:val="clear" w:color="auto" w:fill="auto"/>
            <w:noWrap/>
            <w:vAlign w:val="center"/>
          </w:tcPr>
          <w:p w14:paraId="52615FE8" w14:textId="1EE4D85B" w:rsidR="00F66116" w:rsidRPr="00ED5D46" w:rsidRDefault="00F66116" w:rsidP="00EB4193">
            <w:pPr>
              <w:spacing w:after="0" w:line="240" w:lineRule="auto"/>
              <w:jc w:val="center"/>
              <w:rPr>
                <w:rFonts w:ascii="Calibri" w:eastAsia="Times New Roman" w:hAnsi="Calibri" w:cs="Times New Roman"/>
                <w:b/>
                <w:color w:val="050505"/>
                <w:sz w:val="20"/>
                <w:szCs w:val="24"/>
                <w:lang w:eastAsia="es-MX"/>
              </w:rPr>
            </w:pPr>
            <w:r w:rsidRPr="00ED5D46">
              <w:rPr>
                <w:rFonts w:ascii="Calibri" w:eastAsia="Times New Roman" w:hAnsi="Calibri" w:cs="Times New Roman"/>
                <w:b/>
                <w:color w:val="050505"/>
                <w:sz w:val="20"/>
                <w:szCs w:val="24"/>
                <w:lang w:eastAsia="es-MX"/>
              </w:rPr>
              <w:t>Gráfico 1. Total de universidades iberoamericanas por país en el</w:t>
            </w:r>
            <w:r w:rsidRPr="00ED5D46">
              <w:t xml:space="preserve"> </w:t>
            </w:r>
            <w:r w:rsidRPr="00ED5D46">
              <w:rPr>
                <w:rFonts w:ascii="Calibri" w:eastAsia="Times New Roman" w:hAnsi="Calibri" w:cs="Times New Roman"/>
                <w:b/>
                <w:color w:val="050505"/>
                <w:sz w:val="20"/>
                <w:szCs w:val="24"/>
                <w:lang w:eastAsia="es-MX"/>
              </w:rPr>
              <w:t>QS ranki</w:t>
            </w:r>
            <w:r w:rsidR="00EB4193" w:rsidRPr="00ED5D46">
              <w:rPr>
                <w:rFonts w:ascii="Calibri" w:eastAsia="Times New Roman" w:hAnsi="Calibri" w:cs="Times New Roman"/>
                <w:b/>
                <w:color w:val="050505"/>
                <w:sz w:val="20"/>
                <w:szCs w:val="24"/>
                <w:lang w:eastAsia="es-MX"/>
              </w:rPr>
              <w:t>ng mundial de universidades, 2020</w:t>
            </w:r>
            <w:r w:rsidRPr="00ED5D46">
              <w:rPr>
                <w:rFonts w:ascii="Calibri" w:eastAsia="Times New Roman" w:hAnsi="Calibri" w:cs="Times New Roman"/>
                <w:b/>
                <w:color w:val="050505"/>
                <w:sz w:val="20"/>
                <w:szCs w:val="24"/>
                <w:lang w:eastAsia="es-MX"/>
              </w:rPr>
              <w:t>.</w:t>
            </w:r>
          </w:p>
        </w:tc>
      </w:tr>
      <w:tr w:rsidR="00F66116" w:rsidRPr="00ED5D46" w14:paraId="31EE9307" w14:textId="77777777" w:rsidTr="00EB4193">
        <w:trPr>
          <w:trHeight w:val="427"/>
          <w:jc w:val="center"/>
        </w:trPr>
        <w:tc>
          <w:tcPr>
            <w:tcW w:w="10070" w:type="dxa"/>
            <w:shd w:val="clear" w:color="auto" w:fill="auto"/>
            <w:noWrap/>
            <w:vAlign w:val="center"/>
          </w:tcPr>
          <w:p w14:paraId="7FD88EE3" w14:textId="36154B51" w:rsidR="00F66116" w:rsidRPr="00ED5D46" w:rsidRDefault="00EB4193" w:rsidP="0088069D">
            <w:pPr>
              <w:spacing w:after="0" w:line="240" w:lineRule="auto"/>
              <w:jc w:val="center"/>
              <w:rPr>
                <w:rFonts w:ascii="Calibri" w:eastAsia="Times New Roman" w:hAnsi="Calibri" w:cs="Times New Roman"/>
                <w:b/>
                <w:color w:val="050505"/>
                <w:sz w:val="16"/>
                <w:szCs w:val="18"/>
                <w:lang w:eastAsia="es-MX"/>
              </w:rPr>
            </w:pPr>
            <w:r w:rsidRPr="00ED5D46">
              <w:rPr>
                <w:noProof/>
                <w:lang w:eastAsia="es-MX"/>
              </w:rPr>
              <w:drawing>
                <wp:inline distT="0" distB="0" distL="0" distR="0" wp14:anchorId="69F73CB6" wp14:editId="070C5BEC">
                  <wp:extent cx="5892800" cy="24193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66116" w:rsidRPr="00ED5D46" w14:paraId="7EE5EB28" w14:textId="77777777" w:rsidTr="0088069D">
        <w:trPr>
          <w:trHeight w:val="121"/>
          <w:jc w:val="center"/>
        </w:trPr>
        <w:tc>
          <w:tcPr>
            <w:tcW w:w="10070" w:type="dxa"/>
            <w:shd w:val="clear" w:color="auto" w:fill="auto"/>
            <w:noWrap/>
            <w:vAlign w:val="center"/>
          </w:tcPr>
          <w:p w14:paraId="288B3110" w14:textId="00A62356" w:rsidR="00F66116" w:rsidRPr="00ED5D46" w:rsidRDefault="00F66116" w:rsidP="0088069D">
            <w:pPr>
              <w:spacing w:after="0" w:line="240" w:lineRule="auto"/>
              <w:rPr>
                <w:rFonts w:ascii="Calibri" w:eastAsia="Times New Roman" w:hAnsi="Calibri" w:cs="Calibri"/>
                <w:color w:val="000000"/>
                <w:sz w:val="14"/>
                <w:szCs w:val="14"/>
                <w:lang w:eastAsia="es-MX"/>
              </w:rPr>
            </w:pPr>
            <w:r w:rsidRPr="00ED5D46">
              <w:rPr>
                <w:rFonts w:ascii="Calibri" w:eastAsia="Times New Roman" w:hAnsi="Calibri" w:cs="Calibri"/>
                <w:b/>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ranking mundial de un</w:t>
            </w:r>
            <w:r w:rsidR="00EB4193" w:rsidRPr="00ED5D46">
              <w:rPr>
                <w:rFonts w:ascii="Calibri" w:eastAsia="Times New Roman" w:hAnsi="Calibri" w:cs="Calibri"/>
                <w:color w:val="000000"/>
                <w:sz w:val="14"/>
                <w:szCs w:val="14"/>
                <w:lang w:eastAsia="es-MX"/>
              </w:rPr>
              <w:t>iversidades, 2020</w:t>
            </w:r>
            <w:r w:rsidRPr="00ED5D46">
              <w:rPr>
                <w:rFonts w:ascii="Calibri" w:eastAsia="Times New Roman" w:hAnsi="Calibri" w:cs="Calibri"/>
                <w:color w:val="000000"/>
                <w:sz w:val="14"/>
                <w:szCs w:val="14"/>
                <w:lang w:eastAsia="es-MX"/>
              </w:rPr>
              <w:t>.</w:t>
            </w:r>
          </w:p>
        </w:tc>
      </w:tr>
    </w:tbl>
    <w:p w14:paraId="53509AD7" w14:textId="77777777" w:rsidR="00EB4193" w:rsidRPr="00ED5D46" w:rsidRDefault="00EB4193" w:rsidP="00EB4193">
      <w:pPr>
        <w:pStyle w:val="Prrafodelista"/>
        <w:spacing w:after="0" w:line="240" w:lineRule="auto"/>
        <w:jc w:val="both"/>
        <w:rPr>
          <w:sz w:val="24"/>
        </w:rPr>
      </w:pPr>
    </w:p>
    <w:p w14:paraId="4F7A3663" w14:textId="2BA662D6" w:rsidR="00DA49E4" w:rsidRPr="00ED5D46" w:rsidRDefault="00D135E6" w:rsidP="00DA49E4">
      <w:pPr>
        <w:pStyle w:val="Prrafodelista"/>
        <w:numPr>
          <w:ilvl w:val="0"/>
          <w:numId w:val="1"/>
        </w:numPr>
        <w:spacing w:after="0" w:line="240" w:lineRule="auto"/>
        <w:jc w:val="both"/>
        <w:rPr>
          <w:sz w:val="24"/>
        </w:rPr>
      </w:pPr>
      <w:r w:rsidRPr="00ED5D46">
        <w:rPr>
          <w:sz w:val="24"/>
        </w:rPr>
        <w:t xml:space="preserve">Del total de 121 </w:t>
      </w:r>
      <w:r w:rsidR="00DA49E4" w:rsidRPr="00ED5D46">
        <w:rPr>
          <w:sz w:val="24"/>
        </w:rPr>
        <w:t>universidades iberoamericanas</w:t>
      </w:r>
      <w:r w:rsidRPr="00ED5D46">
        <w:rPr>
          <w:sz w:val="24"/>
        </w:rPr>
        <w:t xml:space="preserve"> fueron clasificadas </w:t>
      </w:r>
      <w:r w:rsidR="00DA49E4" w:rsidRPr="00ED5D46">
        <w:rPr>
          <w:sz w:val="24"/>
        </w:rPr>
        <w:t xml:space="preserve">únicamente </w:t>
      </w:r>
      <w:r w:rsidRPr="00ED5D46">
        <w:rPr>
          <w:sz w:val="24"/>
        </w:rPr>
        <w:t xml:space="preserve">37 </w:t>
      </w:r>
      <w:r w:rsidR="00DA49E4" w:rsidRPr="00ED5D46">
        <w:rPr>
          <w:sz w:val="24"/>
        </w:rPr>
        <w:t>dentro de los primeros 500 lugares</w:t>
      </w:r>
      <w:r w:rsidR="00B266B6" w:rsidRPr="00ED5D46">
        <w:rPr>
          <w:sz w:val="24"/>
        </w:rPr>
        <w:t>, a continuación se presentan el puntaje obtenido por las universidades en los diferentes indicadores</w:t>
      </w:r>
      <w:r w:rsidR="00DA49E4" w:rsidRPr="00ED5D46">
        <w:rPr>
          <w:sz w:val="24"/>
        </w:rPr>
        <w:t>.</w:t>
      </w:r>
    </w:p>
    <w:p w14:paraId="1E854351" w14:textId="77777777" w:rsidR="00DA49E4" w:rsidRPr="00ED5D46" w:rsidRDefault="00DA49E4" w:rsidP="00DA49E4">
      <w:pPr>
        <w:pStyle w:val="Prrafodelista"/>
        <w:spacing w:after="0" w:line="240" w:lineRule="auto"/>
        <w:jc w:val="both"/>
        <w:rPr>
          <w:sz w:val="24"/>
        </w:rPr>
      </w:pPr>
    </w:p>
    <w:tbl>
      <w:tblPr>
        <w:tblW w:w="11827" w:type="dxa"/>
        <w:jc w:val="center"/>
        <w:tblLayout w:type="fixed"/>
        <w:tblCellMar>
          <w:left w:w="70" w:type="dxa"/>
          <w:right w:w="70" w:type="dxa"/>
        </w:tblCellMar>
        <w:tblLook w:val="04A0" w:firstRow="1" w:lastRow="0" w:firstColumn="1" w:lastColumn="0" w:noHBand="0" w:noVBand="1"/>
      </w:tblPr>
      <w:tblGrid>
        <w:gridCol w:w="706"/>
        <w:gridCol w:w="3389"/>
        <w:gridCol w:w="791"/>
        <w:gridCol w:w="748"/>
        <w:gridCol w:w="1027"/>
        <w:gridCol w:w="1027"/>
        <w:gridCol w:w="1027"/>
        <w:gridCol w:w="1027"/>
        <w:gridCol w:w="1027"/>
        <w:gridCol w:w="1035"/>
        <w:gridCol w:w="23"/>
      </w:tblGrid>
      <w:tr w:rsidR="006303B1" w:rsidRPr="00ED5D46" w14:paraId="5F9AA5A3" w14:textId="77777777" w:rsidTr="00D135E6">
        <w:trPr>
          <w:trHeight w:val="249"/>
          <w:tblHeader/>
          <w:jc w:val="center"/>
        </w:trPr>
        <w:tc>
          <w:tcPr>
            <w:tcW w:w="11827" w:type="dxa"/>
            <w:gridSpan w:val="11"/>
            <w:tcBorders>
              <w:bottom w:val="single" w:sz="4" w:space="0" w:color="auto"/>
            </w:tcBorders>
            <w:shd w:val="clear" w:color="auto" w:fill="auto"/>
            <w:noWrap/>
            <w:vAlign w:val="center"/>
          </w:tcPr>
          <w:p w14:paraId="698CF4DD" w14:textId="2FED34E0" w:rsidR="006303B1" w:rsidRPr="00ED5D46" w:rsidRDefault="006303B1" w:rsidP="00D135E6">
            <w:pPr>
              <w:spacing w:after="0" w:line="240" w:lineRule="auto"/>
              <w:jc w:val="center"/>
              <w:rPr>
                <w:b/>
                <w:sz w:val="20"/>
                <w:szCs w:val="18"/>
              </w:rPr>
            </w:pPr>
            <w:r w:rsidRPr="00ED5D46">
              <w:rPr>
                <w:b/>
                <w:sz w:val="20"/>
                <w:szCs w:val="18"/>
              </w:rPr>
              <w:t xml:space="preserve">Tabla 2. </w:t>
            </w:r>
            <w:r w:rsidRPr="00ED5D46">
              <w:rPr>
                <w:rFonts w:ascii="Calibri" w:eastAsia="Times New Roman" w:hAnsi="Calibri" w:cs="Times New Roman"/>
                <w:b/>
                <w:color w:val="050505"/>
                <w:sz w:val="20"/>
                <w:szCs w:val="24"/>
                <w:lang w:eastAsia="es-MX"/>
              </w:rPr>
              <w:t xml:space="preserve">Posición de las universidades iberoamericanas </w:t>
            </w:r>
            <w:r w:rsidR="00B05689" w:rsidRPr="00ED5D46">
              <w:rPr>
                <w:rFonts w:ascii="Calibri" w:eastAsia="Times New Roman" w:hAnsi="Calibri" w:cs="Times New Roman"/>
                <w:b/>
                <w:color w:val="050505"/>
                <w:sz w:val="20"/>
                <w:szCs w:val="24"/>
                <w:lang w:eastAsia="es-MX"/>
              </w:rPr>
              <w:t>en el TOP 500 d</w:t>
            </w:r>
            <w:r w:rsidRPr="00ED5D46">
              <w:rPr>
                <w:rFonts w:ascii="Calibri" w:eastAsia="Times New Roman" w:hAnsi="Calibri" w:cs="Times New Roman"/>
                <w:b/>
                <w:color w:val="050505"/>
                <w:sz w:val="20"/>
                <w:szCs w:val="24"/>
                <w:lang w:eastAsia="es-MX"/>
              </w:rPr>
              <w:t>el</w:t>
            </w:r>
            <w:r w:rsidRPr="00ED5D46">
              <w:t xml:space="preserve"> </w:t>
            </w:r>
            <w:r w:rsidRPr="00ED5D46">
              <w:rPr>
                <w:rFonts w:ascii="Calibri" w:eastAsia="Times New Roman" w:hAnsi="Calibri" w:cs="Times New Roman"/>
                <w:b/>
                <w:color w:val="050505"/>
                <w:sz w:val="20"/>
                <w:szCs w:val="24"/>
                <w:lang w:eastAsia="es-MX"/>
              </w:rPr>
              <w:t>QS ranki</w:t>
            </w:r>
            <w:r w:rsidR="00D135E6" w:rsidRPr="00ED5D46">
              <w:rPr>
                <w:rFonts w:ascii="Calibri" w:eastAsia="Times New Roman" w:hAnsi="Calibri" w:cs="Times New Roman"/>
                <w:b/>
                <w:color w:val="050505"/>
                <w:sz w:val="20"/>
                <w:szCs w:val="24"/>
                <w:lang w:eastAsia="es-MX"/>
              </w:rPr>
              <w:t>ng mundial de universidades, 2020</w:t>
            </w:r>
            <w:r w:rsidRPr="00ED5D46">
              <w:rPr>
                <w:rFonts w:ascii="Calibri" w:eastAsia="Times New Roman" w:hAnsi="Calibri" w:cs="Times New Roman"/>
                <w:b/>
                <w:color w:val="050505"/>
                <w:sz w:val="20"/>
                <w:szCs w:val="24"/>
                <w:lang w:eastAsia="es-MX"/>
              </w:rPr>
              <w:t>.</w:t>
            </w:r>
          </w:p>
        </w:tc>
      </w:tr>
      <w:tr w:rsidR="00D135E6" w:rsidRPr="00ED5D46" w14:paraId="5AB8DBBD" w14:textId="77777777" w:rsidTr="00D135E6">
        <w:trPr>
          <w:gridAfter w:val="1"/>
          <w:wAfter w:w="23" w:type="dxa"/>
          <w:trHeight w:val="454"/>
          <w:tblHeader/>
          <w:jc w:val="center"/>
        </w:trPr>
        <w:tc>
          <w:tcPr>
            <w:tcW w:w="70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7304206" w14:textId="0825A113"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Posición</w:t>
            </w:r>
          </w:p>
        </w:tc>
        <w:tc>
          <w:tcPr>
            <w:tcW w:w="33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D158DF" w14:textId="26A108E5"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Institución</w:t>
            </w:r>
          </w:p>
        </w:tc>
        <w:tc>
          <w:tcPr>
            <w:tcW w:w="79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C4B4A1D" w14:textId="0ADEF0C1"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País</w:t>
            </w:r>
          </w:p>
        </w:tc>
        <w:tc>
          <w:tcPr>
            <w:tcW w:w="748"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F6711FA" w14:textId="25C6D6BF"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Puntaje Gral.</w:t>
            </w:r>
          </w:p>
        </w:tc>
        <w:tc>
          <w:tcPr>
            <w:tcW w:w="102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0297CB0" w14:textId="5829292D"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Reputación según académicos</w:t>
            </w:r>
          </w:p>
        </w:tc>
        <w:tc>
          <w:tcPr>
            <w:tcW w:w="102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2A12FC0" w14:textId="3E1D85FE"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Reputación según empleadores</w:t>
            </w:r>
          </w:p>
        </w:tc>
        <w:tc>
          <w:tcPr>
            <w:tcW w:w="102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CB19AFC" w14:textId="0DAA2CF4"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Relación entre estudiantes y profesores</w:t>
            </w:r>
          </w:p>
        </w:tc>
        <w:tc>
          <w:tcPr>
            <w:tcW w:w="102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5493A544" w14:textId="3C85588A"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Proporción de académicos extranjeros</w:t>
            </w:r>
          </w:p>
        </w:tc>
        <w:tc>
          <w:tcPr>
            <w:tcW w:w="102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37F4E0" w14:textId="62A2769B"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hAnsi="Calibri" w:cs="Calibri"/>
                <w:b/>
                <w:bCs/>
                <w:sz w:val="16"/>
                <w:szCs w:val="16"/>
              </w:rPr>
              <w:t>Proporción de estudiantes extranjeros</w:t>
            </w:r>
          </w:p>
        </w:tc>
        <w:tc>
          <w:tcPr>
            <w:tcW w:w="103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0BA00AD" w14:textId="3C92D1D5" w:rsidR="00D135E6" w:rsidRPr="00ED5D46" w:rsidRDefault="00D135E6" w:rsidP="00D135E6">
            <w:pPr>
              <w:spacing w:after="0" w:line="240" w:lineRule="auto"/>
              <w:jc w:val="center"/>
              <w:rPr>
                <w:rFonts w:ascii="Calibri" w:eastAsia="Times New Roman" w:hAnsi="Calibri" w:cs="Times New Roman"/>
                <w:b/>
                <w:sz w:val="16"/>
                <w:szCs w:val="16"/>
                <w:lang w:eastAsia="es-MX"/>
              </w:rPr>
            </w:pPr>
            <w:r w:rsidRPr="00ED5D46">
              <w:rPr>
                <w:rFonts w:ascii="Calibri" w:eastAsia="Times New Roman" w:hAnsi="Calibri" w:cs="Times New Roman"/>
                <w:b/>
                <w:sz w:val="16"/>
                <w:szCs w:val="16"/>
                <w:lang w:eastAsia="es-MX"/>
              </w:rPr>
              <w:t>Citas académicas por artículo entre planta académica</w:t>
            </w:r>
          </w:p>
        </w:tc>
      </w:tr>
      <w:tr w:rsidR="00D135E6" w:rsidRPr="00ED5D46" w14:paraId="1DC7E663"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B3500" w14:textId="13A0CE7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74</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00D2DB46" w14:textId="1B1D6B4C"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Buenos Aires</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3432B857" w14:textId="52AA01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Argentina</w:t>
            </w:r>
          </w:p>
        </w:tc>
        <w:tc>
          <w:tcPr>
            <w:tcW w:w="748" w:type="dxa"/>
            <w:tcBorders>
              <w:top w:val="nil"/>
              <w:left w:val="nil"/>
              <w:bottom w:val="single" w:sz="4" w:space="0" w:color="auto"/>
              <w:right w:val="single" w:sz="4" w:space="0" w:color="auto"/>
            </w:tcBorders>
            <w:shd w:val="clear" w:color="auto" w:fill="auto"/>
            <w:noWrap/>
            <w:vAlign w:val="center"/>
          </w:tcPr>
          <w:p w14:paraId="18D6A605" w14:textId="5F10079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66</w:t>
            </w:r>
          </w:p>
        </w:tc>
        <w:tc>
          <w:tcPr>
            <w:tcW w:w="1027" w:type="dxa"/>
            <w:tcBorders>
              <w:top w:val="nil"/>
              <w:left w:val="nil"/>
              <w:bottom w:val="single" w:sz="4" w:space="0" w:color="auto"/>
              <w:right w:val="single" w:sz="4" w:space="0" w:color="auto"/>
            </w:tcBorders>
            <w:shd w:val="clear" w:color="auto" w:fill="auto"/>
            <w:noWrap/>
            <w:vAlign w:val="center"/>
          </w:tcPr>
          <w:p w14:paraId="7DABC692" w14:textId="05011F3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87.2</w:t>
            </w:r>
          </w:p>
        </w:tc>
        <w:tc>
          <w:tcPr>
            <w:tcW w:w="1027" w:type="dxa"/>
            <w:tcBorders>
              <w:top w:val="nil"/>
              <w:left w:val="nil"/>
              <w:bottom w:val="single" w:sz="4" w:space="0" w:color="auto"/>
              <w:right w:val="single" w:sz="4" w:space="0" w:color="auto"/>
            </w:tcBorders>
            <w:shd w:val="clear" w:color="auto" w:fill="auto"/>
            <w:noWrap/>
            <w:vAlign w:val="center"/>
          </w:tcPr>
          <w:p w14:paraId="41EDD2CD" w14:textId="1716C97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91.3</w:t>
            </w:r>
          </w:p>
        </w:tc>
        <w:tc>
          <w:tcPr>
            <w:tcW w:w="1027" w:type="dxa"/>
            <w:tcBorders>
              <w:top w:val="nil"/>
              <w:left w:val="nil"/>
              <w:bottom w:val="single" w:sz="4" w:space="0" w:color="auto"/>
              <w:right w:val="single" w:sz="4" w:space="0" w:color="auto"/>
            </w:tcBorders>
            <w:shd w:val="clear" w:color="auto" w:fill="auto"/>
            <w:noWrap/>
            <w:vAlign w:val="center"/>
          </w:tcPr>
          <w:p w14:paraId="5BBCD92A" w14:textId="603B76D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77.4</w:t>
            </w:r>
          </w:p>
        </w:tc>
        <w:tc>
          <w:tcPr>
            <w:tcW w:w="1027" w:type="dxa"/>
            <w:tcBorders>
              <w:top w:val="nil"/>
              <w:left w:val="nil"/>
              <w:bottom w:val="single" w:sz="4" w:space="0" w:color="auto"/>
              <w:right w:val="single" w:sz="4" w:space="0" w:color="auto"/>
            </w:tcBorders>
            <w:shd w:val="clear" w:color="auto" w:fill="auto"/>
            <w:noWrap/>
            <w:vAlign w:val="center"/>
          </w:tcPr>
          <w:p w14:paraId="76E4002A" w14:textId="644B71D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50.7</w:t>
            </w:r>
          </w:p>
        </w:tc>
        <w:tc>
          <w:tcPr>
            <w:tcW w:w="1027" w:type="dxa"/>
            <w:tcBorders>
              <w:top w:val="nil"/>
              <w:left w:val="nil"/>
              <w:bottom w:val="single" w:sz="4" w:space="0" w:color="auto"/>
              <w:right w:val="single" w:sz="4" w:space="0" w:color="auto"/>
            </w:tcBorders>
            <w:shd w:val="clear" w:color="auto" w:fill="auto"/>
            <w:noWrap/>
            <w:vAlign w:val="center"/>
          </w:tcPr>
          <w:p w14:paraId="23E73848" w14:textId="3D5C485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64.7</w:t>
            </w:r>
          </w:p>
        </w:tc>
        <w:tc>
          <w:tcPr>
            <w:tcW w:w="1035" w:type="dxa"/>
            <w:tcBorders>
              <w:top w:val="nil"/>
              <w:left w:val="nil"/>
              <w:bottom w:val="single" w:sz="4" w:space="0" w:color="auto"/>
              <w:right w:val="single" w:sz="4" w:space="0" w:color="auto"/>
            </w:tcBorders>
            <w:shd w:val="clear" w:color="auto" w:fill="auto"/>
            <w:noWrap/>
            <w:vAlign w:val="center"/>
          </w:tcPr>
          <w:p w14:paraId="7866E0B8" w14:textId="184FDA4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w:t>
            </w:r>
          </w:p>
        </w:tc>
      </w:tr>
      <w:tr w:rsidR="00D135E6" w:rsidRPr="00ED5D46" w14:paraId="294C35AC"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44AC68" w14:textId="4A763AE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103</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DE1B0A" w14:textId="34BF5B1C"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Nacional Autónoma de México</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1BC01584" w14:textId="2C16FFD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México</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33063C59" w14:textId="0960A2B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58.8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146028B" w14:textId="5B4ED2E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90.9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5DC4AAA" w14:textId="79FE610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F293021" w14:textId="2EDE2E3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57.6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A2829B2" w14:textId="1C9F4BB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1D464FC" w14:textId="2629A37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C32F0C9" w14:textId="26711E9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3.8</w:t>
            </w:r>
          </w:p>
        </w:tc>
      </w:tr>
      <w:tr w:rsidR="00D135E6" w:rsidRPr="00ED5D46" w14:paraId="48AA1546"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1AB21" w14:textId="5CAE70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116</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6BB3DB7A" w14:textId="2B265C91"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Sao Paulo</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6DF7C8E9" w14:textId="79BA02D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Brasil</w:t>
            </w:r>
          </w:p>
        </w:tc>
        <w:tc>
          <w:tcPr>
            <w:tcW w:w="748" w:type="dxa"/>
            <w:tcBorders>
              <w:top w:val="nil"/>
              <w:left w:val="nil"/>
              <w:bottom w:val="single" w:sz="4" w:space="0" w:color="auto"/>
              <w:right w:val="single" w:sz="4" w:space="0" w:color="auto"/>
            </w:tcBorders>
            <w:shd w:val="clear" w:color="auto" w:fill="auto"/>
            <w:noWrap/>
            <w:vAlign w:val="center"/>
          </w:tcPr>
          <w:p w14:paraId="55E37A92" w14:textId="700BB59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55.5</w:t>
            </w:r>
          </w:p>
        </w:tc>
        <w:tc>
          <w:tcPr>
            <w:tcW w:w="1027" w:type="dxa"/>
            <w:tcBorders>
              <w:top w:val="nil"/>
              <w:left w:val="nil"/>
              <w:bottom w:val="single" w:sz="4" w:space="0" w:color="auto"/>
              <w:right w:val="single" w:sz="4" w:space="0" w:color="auto"/>
            </w:tcBorders>
            <w:shd w:val="clear" w:color="auto" w:fill="auto"/>
            <w:noWrap/>
            <w:vAlign w:val="center"/>
          </w:tcPr>
          <w:p w14:paraId="12E20A7C" w14:textId="0C433B3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88.3</w:t>
            </w:r>
          </w:p>
        </w:tc>
        <w:tc>
          <w:tcPr>
            <w:tcW w:w="1027" w:type="dxa"/>
            <w:tcBorders>
              <w:top w:val="nil"/>
              <w:left w:val="nil"/>
              <w:bottom w:val="single" w:sz="4" w:space="0" w:color="auto"/>
              <w:right w:val="single" w:sz="4" w:space="0" w:color="auto"/>
            </w:tcBorders>
            <w:shd w:val="clear" w:color="auto" w:fill="auto"/>
            <w:noWrap/>
            <w:vAlign w:val="center"/>
          </w:tcPr>
          <w:p w14:paraId="04B8E98D" w14:textId="0A42F46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73.3</w:t>
            </w:r>
          </w:p>
        </w:tc>
        <w:tc>
          <w:tcPr>
            <w:tcW w:w="1027" w:type="dxa"/>
            <w:tcBorders>
              <w:top w:val="nil"/>
              <w:left w:val="nil"/>
              <w:bottom w:val="single" w:sz="4" w:space="0" w:color="auto"/>
              <w:right w:val="single" w:sz="4" w:space="0" w:color="auto"/>
            </w:tcBorders>
            <w:shd w:val="clear" w:color="auto" w:fill="auto"/>
            <w:noWrap/>
            <w:vAlign w:val="center"/>
          </w:tcPr>
          <w:p w14:paraId="44E48A08" w14:textId="45A734A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25.2</w:t>
            </w:r>
          </w:p>
        </w:tc>
        <w:tc>
          <w:tcPr>
            <w:tcW w:w="1027" w:type="dxa"/>
            <w:tcBorders>
              <w:top w:val="nil"/>
              <w:left w:val="nil"/>
              <w:bottom w:val="single" w:sz="4" w:space="0" w:color="auto"/>
              <w:right w:val="single" w:sz="4" w:space="0" w:color="auto"/>
            </w:tcBorders>
            <w:shd w:val="clear" w:color="auto" w:fill="auto"/>
            <w:noWrap/>
            <w:vAlign w:val="center"/>
          </w:tcPr>
          <w:p w14:paraId="0E903D82" w14:textId="3A9C336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8.9</w:t>
            </w:r>
          </w:p>
        </w:tc>
        <w:tc>
          <w:tcPr>
            <w:tcW w:w="1027" w:type="dxa"/>
            <w:tcBorders>
              <w:top w:val="nil"/>
              <w:left w:val="nil"/>
              <w:bottom w:val="single" w:sz="4" w:space="0" w:color="auto"/>
              <w:right w:val="single" w:sz="4" w:space="0" w:color="auto"/>
            </w:tcBorders>
            <w:shd w:val="clear" w:color="auto" w:fill="auto"/>
            <w:noWrap/>
            <w:vAlign w:val="center"/>
          </w:tcPr>
          <w:p w14:paraId="4E946D95" w14:textId="156CC18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3.7</w:t>
            </w:r>
          </w:p>
        </w:tc>
        <w:tc>
          <w:tcPr>
            <w:tcW w:w="1035" w:type="dxa"/>
            <w:tcBorders>
              <w:top w:val="nil"/>
              <w:left w:val="nil"/>
              <w:bottom w:val="single" w:sz="4" w:space="0" w:color="auto"/>
              <w:right w:val="single" w:sz="4" w:space="0" w:color="auto"/>
            </w:tcBorders>
            <w:shd w:val="clear" w:color="auto" w:fill="auto"/>
            <w:noWrap/>
            <w:vAlign w:val="center"/>
          </w:tcPr>
          <w:p w14:paraId="2F3CC04D" w14:textId="0847FF2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35.2</w:t>
            </w:r>
          </w:p>
        </w:tc>
      </w:tr>
      <w:tr w:rsidR="00D135E6" w:rsidRPr="00ED5D46" w14:paraId="31673ADD"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E95E30" w14:textId="4D134E3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127</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FF0D53" w14:textId="78AD24F1"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Pontificia Universidad Católica de Chile</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36AEFC66" w14:textId="256F26E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Chile</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7215A753" w14:textId="3433BDB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53.4</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3C105ED" w14:textId="4000E00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85.2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F0D28CA" w14:textId="7C9E62B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95.5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6E2C978" w14:textId="633F382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557AC48" w14:textId="0B5A89F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19.4</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F78F5A9" w14:textId="2B6C638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3E753461" w14:textId="78325FB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13.6</w:t>
            </w:r>
          </w:p>
        </w:tc>
      </w:tr>
      <w:tr w:rsidR="00D135E6" w:rsidRPr="00ED5D46" w14:paraId="32A5C20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4F74" w14:textId="3F8E17F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158</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604A1104" w14:textId="493A3293"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Instituto Tecnológico y de Estudios Superiores de Monterrey</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147BB367" w14:textId="58B3150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México</w:t>
            </w:r>
          </w:p>
        </w:tc>
        <w:tc>
          <w:tcPr>
            <w:tcW w:w="748" w:type="dxa"/>
            <w:tcBorders>
              <w:top w:val="nil"/>
              <w:left w:val="nil"/>
              <w:bottom w:val="single" w:sz="4" w:space="0" w:color="auto"/>
              <w:right w:val="single" w:sz="4" w:space="0" w:color="auto"/>
            </w:tcBorders>
            <w:shd w:val="clear" w:color="auto" w:fill="auto"/>
            <w:noWrap/>
            <w:vAlign w:val="center"/>
          </w:tcPr>
          <w:p w14:paraId="689E2DF0" w14:textId="693BAA4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48.5</w:t>
            </w:r>
          </w:p>
        </w:tc>
        <w:tc>
          <w:tcPr>
            <w:tcW w:w="1027" w:type="dxa"/>
            <w:tcBorders>
              <w:top w:val="nil"/>
              <w:left w:val="nil"/>
              <w:bottom w:val="single" w:sz="4" w:space="0" w:color="auto"/>
              <w:right w:val="single" w:sz="4" w:space="0" w:color="auto"/>
            </w:tcBorders>
            <w:shd w:val="clear" w:color="auto" w:fill="auto"/>
            <w:noWrap/>
            <w:vAlign w:val="center"/>
          </w:tcPr>
          <w:p w14:paraId="175540E2" w14:textId="30FF563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36.9</w:t>
            </w:r>
          </w:p>
        </w:tc>
        <w:tc>
          <w:tcPr>
            <w:tcW w:w="1027" w:type="dxa"/>
            <w:tcBorders>
              <w:top w:val="nil"/>
              <w:left w:val="nil"/>
              <w:bottom w:val="single" w:sz="4" w:space="0" w:color="auto"/>
              <w:right w:val="single" w:sz="4" w:space="0" w:color="auto"/>
            </w:tcBorders>
            <w:shd w:val="clear" w:color="auto" w:fill="auto"/>
            <w:noWrap/>
            <w:vAlign w:val="center"/>
          </w:tcPr>
          <w:p w14:paraId="3CA6D8C5" w14:textId="4E9BEE5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88.9</w:t>
            </w:r>
          </w:p>
        </w:tc>
        <w:tc>
          <w:tcPr>
            <w:tcW w:w="1027" w:type="dxa"/>
            <w:tcBorders>
              <w:top w:val="nil"/>
              <w:left w:val="nil"/>
              <w:bottom w:val="single" w:sz="4" w:space="0" w:color="auto"/>
              <w:right w:val="single" w:sz="4" w:space="0" w:color="auto"/>
            </w:tcBorders>
            <w:shd w:val="clear" w:color="auto" w:fill="auto"/>
            <w:noWrap/>
            <w:vAlign w:val="center"/>
          </w:tcPr>
          <w:p w14:paraId="67D6E005" w14:textId="4F14A3A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89.5</w:t>
            </w:r>
          </w:p>
        </w:tc>
        <w:tc>
          <w:tcPr>
            <w:tcW w:w="1027" w:type="dxa"/>
            <w:tcBorders>
              <w:top w:val="nil"/>
              <w:left w:val="nil"/>
              <w:bottom w:val="single" w:sz="4" w:space="0" w:color="auto"/>
              <w:right w:val="single" w:sz="4" w:space="0" w:color="auto"/>
            </w:tcBorders>
            <w:shd w:val="clear" w:color="auto" w:fill="auto"/>
            <w:noWrap/>
            <w:vAlign w:val="center"/>
          </w:tcPr>
          <w:p w14:paraId="395D1395" w14:textId="65D7222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98.2</w:t>
            </w:r>
          </w:p>
        </w:tc>
        <w:tc>
          <w:tcPr>
            <w:tcW w:w="1027" w:type="dxa"/>
            <w:tcBorders>
              <w:top w:val="nil"/>
              <w:left w:val="nil"/>
              <w:bottom w:val="single" w:sz="4" w:space="0" w:color="auto"/>
              <w:right w:val="single" w:sz="4" w:space="0" w:color="auto"/>
            </w:tcBorders>
            <w:shd w:val="clear" w:color="auto" w:fill="auto"/>
            <w:noWrap/>
            <w:vAlign w:val="center"/>
          </w:tcPr>
          <w:p w14:paraId="42C506F5" w14:textId="0945D58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18.4</w:t>
            </w:r>
          </w:p>
        </w:tc>
        <w:tc>
          <w:tcPr>
            <w:tcW w:w="1035" w:type="dxa"/>
            <w:tcBorders>
              <w:top w:val="nil"/>
              <w:left w:val="nil"/>
              <w:bottom w:val="single" w:sz="4" w:space="0" w:color="auto"/>
              <w:right w:val="single" w:sz="4" w:space="0" w:color="auto"/>
            </w:tcBorders>
            <w:shd w:val="clear" w:color="auto" w:fill="auto"/>
            <w:noWrap/>
            <w:vAlign w:val="center"/>
          </w:tcPr>
          <w:p w14:paraId="1BA8B7F4" w14:textId="571DB86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4.6</w:t>
            </w:r>
          </w:p>
        </w:tc>
      </w:tr>
      <w:tr w:rsidR="00D135E6" w:rsidRPr="00ED5D46" w14:paraId="64040624"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2147A3" w14:textId="2A38BDE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165</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11CE87" w14:textId="5DDB443A"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Barcelona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722CE329" w14:textId="3FD54D1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3F139F18" w14:textId="74FA89D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47.9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ECB37A7" w14:textId="4A88242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71.8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0522FD01" w14:textId="63DFB49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45.5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A50C23E" w14:textId="18212A6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32.5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73884CF" w14:textId="4B6487C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E4BF38E" w14:textId="6ABAFA9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33.8</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2CB8040" w14:textId="222C96B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29.8</w:t>
            </w:r>
          </w:p>
        </w:tc>
      </w:tr>
      <w:tr w:rsidR="00D135E6" w:rsidRPr="00ED5D46" w14:paraId="44BF8C5D"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658B1" w14:textId="239F1A9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188</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096C8CB1" w14:textId="29CADA9C"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Autónoma de Barcelona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245E0E36" w14:textId="6631536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4753F207" w14:textId="0D59BA9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45.1</w:t>
            </w:r>
          </w:p>
        </w:tc>
        <w:tc>
          <w:tcPr>
            <w:tcW w:w="1027" w:type="dxa"/>
            <w:tcBorders>
              <w:top w:val="nil"/>
              <w:left w:val="nil"/>
              <w:bottom w:val="single" w:sz="4" w:space="0" w:color="auto"/>
              <w:right w:val="single" w:sz="4" w:space="0" w:color="auto"/>
            </w:tcBorders>
            <w:shd w:val="clear" w:color="auto" w:fill="auto"/>
            <w:noWrap/>
            <w:vAlign w:val="center"/>
          </w:tcPr>
          <w:p w14:paraId="7A78CA29" w14:textId="4657E55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61.1</w:t>
            </w:r>
          </w:p>
        </w:tc>
        <w:tc>
          <w:tcPr>
            <w:tcW w:w="1027" w:type="dxa"/>
            <w:tcBorders>
              <w:top w:val="nil"/>
              <w:left w:val="nil"/>
              <w:bottom w:val="single" w:sz="4" w:space="0" w:color="auto"/>
              <w:right w:val="single" w:sz="4" w:space="0" w:color="auto"/>
            </w:tcBorders>
            <w:shd w:val="clear" w:color="auto" w:fill="auto"/>
            <w:noWrap/>
            <w:vAlign w:val="center"/>
          </w:tcPr>
          <w:p w14:paraId="06F07C03" w14:textId="3506BE3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38.4</w:t>
            </w:r>
          </w:p>
        </w:tc>
        <w:tc>
          <w:tcPr>
            <w:tcW w:w="1027" w:type="dxa"/>
            <w:tcBorders>
              <w:top w:val="nil"/>
              <w:left w:val="nil"/>
              <w:bottom w:val="single" w:sz="4" w:space="0" w:color="auto"/>
              <w:right w:val="single" w:sz="4" w:space="0" w:color="auto"/>
            </w:tcBorders>
            <w:shd w:val="clear" w:color="auto" w:fill="auto"/>
            <w:noWrap/>
            <w:vAlign w:val="center"/>
          </w:tcPr>
          <w:p w14:paraId="52D22EF8" w14:textId="5EBCC60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14.1</w:t>
            </w:r>
          </w:p>
        </w:tc>
        <w:tc>
          <w:tcPr>
            <w:tcW w:w="1027" w:type="dxa"/>
            <w:tcBorders>
              <w:top w:val="nil"/>
              <w:left w:val="nil"/>
              <w:bottom w:val="single" w:sz="4" w:space="0" w:color="auto"/>
              <w:right w:val="single" w:sz="4" w:space="0" w:color="auto"/>
            </w:tcBorders>
            <w:shd w:val="clear" w:color="auto" w:fill="auto"/>
            <w:noWrap/>
            <w:vAlign w:val="center"/>
          </w:tcPr>
          <w:p w14:paraId="6460BC8E" w14:textId="0B0610A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30.7</w:t>
            </w:r>
          </w:p>
        </w:tc>
        <w:tc>
          <w:tcPr>
            <w:tcW w:w="1027" w:type="dxa"/>
            <w:tcBorders>
              <w:top w:val="nil"/>
              <w:left w:val="nil"/>
              <w:bottom w:val="single" w:sz="4" w:space="0" w:color="auto"/>
              <w:right w:val="single" w:sz="4" w:space="0" w:color="auto"/>
            </w:tcBorders>
            <w:shd w:val="clear" w:color="auto" w:fill="auto"/>
            <w:noWrap/>
            <w:vAlign w:val="center"/>
          </w:tcPr>
          <w:p w14:paraId="6E2E72F8" w14:textId="02B89D4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26.6</w:t>
            </w:r>
          </w:p>
        </w:tc>
        <w:tc>
          <w:tcPr>
            <w:tcW w:w="1035" w:type="dxa"/>
            <w:tcBorders>
              <w:top w:val="nil"/>
              <w:left w:val="nil"/>
              <w:bottom w:val="single" w:sz="4" w:space="0" w:color="auto"/>
              <w:right w:val="single" w:sz="4" w:space="0" w:color="auto"/>
            </w:tcBorders>
            <w:shd w:val="clear" w:color="auto" w:fill="auto"/>
            <w:noWrap/>
            <w:vAlign w:val="center"/>
          </w:tcPr>
          <w:p w14:paraId="06FD76B4" w14:textId="7F7737E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54.7</w:t>
            </w:r>
          </w:p>
        </w:tc>
      </w:tr>
      <w:tr w:rsidR="00D135E6" w:rsidRPr="00ED5D46" w14:paraId="64DE084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EE2AE8" w14:textId="1BA8D48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189</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78B5BD" w14:textId="36EE9C75"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Chile</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48E0C0FE" w14:textId="7AF504A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Chile</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7158A5FD" w14:textId="24C1485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0E4D351" w14:textId="26006C2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71.6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58BC6BC" w14:textId="7941B90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90.8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E53DAF6" w14:textId="69644FD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16.3</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203DFD7" w14:textId="485775D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10.1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9AF1817" w14:textId="5E4FD22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D3C1427" w14:textId="373E0C5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14.5</w:t>
            </w:r>
          </w:p>
        </w:tc>
      </w:tr>
      <w:tr w:rsidR="00D135E6" w:rsidRPr="00ED5D46" w14:paraId="4B9E3D5C"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493E8" w14:textId="626C4E3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192</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34F0DCD8" w14:textId="7001109B"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Autónoma de Madrid</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17551BC5" w14:textId="73E703D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37170B1D" w14:textId="008B40E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44.7</w:t>
            </w:r>
          </w:p>
        </w:tc>
        <w:tc>
          <w:tcPr>
            <w:tcW w:w="1027" w:type="dxa"/>
            <w:tcBorders>
              <w:top w:val="nil"/>
              <w:left w:val="nil"/>
              <w:bottom w:val="single" w:sz="4" w:space="0" w:color="auto"/>
              <w:right w:val="single" w:sz="4" w:space="0" w:color="auto"/>
            </w:tcBorders>
            <w:shd w:val="clear" w:color="auto" w:fill="auto"/>
            <w:noWrap/>
            <w:vAlign w:val="center"/>
          </w:tcPr>
          <w:p w14:paraId="0A123A5F" w14:textId="7946744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57.4</w:t>
            </w:r>
          </w:p>
        </w:tc>
        <w:tc>
          <w:tcPr>
            <w:tcW w:w="1027" w:type="dxa"/>
            <w:tcBorders>
              <w:top w:val="nil"/>
              <w:left w:val="nil"/>
              <w:bottom w:val="single" w:sz="4" w:space="0" w:color="auto"/>
              <w:right w:val="single" w:sz="4" w:space="0" w:color="auto"/>
            </w:tcBorders>
            <w:shd w:val="clear" w:color="auto" w:fill="auto"/>
            <w:noWrap/>
            <w:vAlign w:val="center"/>
          </w:tcPr>
          <w:p w14:paraId="7855F206" w14:textId="1EE799C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64</w:t>
            </w:r>
          </w:p>
        </w:tc>
        <w:tc>
          <w:tcPr>
            <w:tcW w:w="1027" w:type="dxa"/>
            <w:tcBorders>
              <w:top w:val="nil"/>
              <w:left w:val="nil"/>
              <w:bottom w:val="single" w:sz="4" w:space="0" w:color="auto"/>
              <w:right w:val="single" w:sz="4" w:space="0" w:color="auto"/>
            </w:tcBorders>
            <w:shd w:val="clear" w:color="auto" w:fill="auto"/>
            <w:noWrap/>
            <w:vAlign w:val="center"/>
          </w:tcPr>
          <w:p w14:paraId="1432D422" w14:textId="3602CEA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45.8</w:t>
            </w:r>
          </w:p>
        </w:tc>
        <w:tc>
          <w:tcPr>
            <w:tcW w:w="1027" w:type="dxa"/>
            <w:tcBorders>
              <w:top w:val="nil"/>
              <w:left w:val="nil"/>
              <w:bottom w:val="single" w:sz="4" w:space="0" w:color="auto"/>
              <w:right w:val="single" w:sz="4" w:space="0" w:color="auto"/>
            </w:tcBorders>
            <w:shd w:val="clear" w:color="auto" w:fill="auto"/>
            <w:noWrap/>
            <w:vAlign w:val="center"/>
          </w:tcPr>
          <w:p w14:paraId="7D00CAE1" w14:textId="24BE4CA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9.9</w:t>
            </w:r>
          </w:p>
        </w:tc>
        <w:tc>
          <w:tcPr>
            <w:tcW w:w="1027" w:type="dxa"/>
            <w:tcBorders>
              <w:top w:val="nil"/>
              <w:left w:val="nil"/>
              <w:bottom w:val="single" w:sz="4" w:space="0" w:color="auto"/>
              <w:right w:val="single" w:sz="4" w:space="0" w:color="auto"/>
            </w:tcBorders>
            <w:shd w:val="clear" w:color="auto" w:fill="auto"/>
            <w:noWrap/>
            <w:vAlign w:val="center"/>
          </w:tcPr>
          <w:p w14:paraId="2274123A" w14:textId="338EC1A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14.1</w:t>
            </w:r>
          </w:p>
        </w:tc>
        <w:tc>
          <w:tcPr>
            <w:tcW w:w="1035" w:type="dxa"/>
            <w:tcBorders>
              <w:top w:val="nil"/>
              <w:left w:val="nil"/>
              <w:bottom w:val="single" w:sz="4" w:space="0" w:color="auto"/>
              <w:right w:val="single" w:sz="4" w:space="0" w:color="auto"/>
            </w:tcBorders>
            <w:shd w:val="clear" w:color="auto" w:fill="auto"/>
            <w:noWrap/>
            <w:vAlign w:val="center"/>
          </w:tcPr>
          <w:p w14:paraId="59EBF18B" w14:textId="06A75B7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w:t>
            </w:r>
          </w:p>
        </w:tc>
      </w:tr>
      <w:tr w:rsidR="00D135E6" w:rsidRPr="00ED5D46" w14:paraId="589D102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93A3BF" w14:textId="5D6BADA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212</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A4C06D" w14:textId="06F0E07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Complutense de Madrid</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1B76CC73" w14:textId="61DF188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378E09C1" w14:textId="46BDE0B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42.7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F1910DF" w14:textId="7D61CFB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64.6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FA91A18" w14:textId="2C6ADBD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71.6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55AF7D0" w14:textId="1A81068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DE1D263" w14:textId="62E5063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B50E221" w14:textId="072C78A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24.1</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08FFCE61" w14:textId="501C434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14.5</w:t>
            </w:r>
          </w:p>
        </w:tc>
      </w:tr>
      <w:tr w:rsidR="00D135E6" w:rsidRPr="00ED5D46" w14:paraId="0FA08374"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410D5" w14:textId="674DDAA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214</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104E04AC" w14:textId="30C9122E"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Estatal de Campinas</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1C15F36F" w14:textId="2CCB315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Brasil</w:t>
            </w:r>
          </w:p>
        </w:tc>
        <w:tc>
          <w:tcPr>
            <w:tcW w:w="748" w:type="dxa"/>
            <w:tcBorders>
              <w:top w:val="nil"/>
              <w:left w:val="nil"/>
              <w:bottom w:val="single" w:sz="4" w:space="0" w:color="auto"/>
              <w:right w:val="single" w:sz="4" w:space="0" w:color="auto"/>
            </w:tcBorders>
            <w:shd w:val="clear" w:color="auto" w:fill="auto"/>
            <w:noWrap/>
            <w:vAlign w:val="center"/>
          </w:tcPr>
          <w:p w14:paraId="11289E9A" w14:textId="0A3002F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42.1</w:t>
            </w:r>
          </w:p>
        </w:tc>
        <w:tc>
          <w:tcPr>
            <w:tcW w:w="1027" w:type="dxa"/>
            <w:tcBorders>
              <w:top w:val="nil"/>
              <w:left w:val="nil"/>
              <w:bottom w:val="single" w:sz="4" w:space="0" w:color="auto"/>
              <w:right w:val="single" w:sz="4" w:space="0" w:color="auto"/>
            </w:tcBorders>
            <w:shd w:val="clear" w:color="auto" w:fill="auto"/>
            <w:noWrap/>
            <w:vAlign w:val="center"/>
          </w:tcPr>
          <w:p w14:paraId="5E59330A" w14:textId="6EEF627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67.5</w:t>
            </w:r>
          </w:p>
        </w:tc>
        <w:tc>
          <w:tcPr>
            <w:tcW w:w="1027" w:type="dxa"/>
            <w:tcBorders>
              <w:top w:val="nil"/>
              <w:left w:val="nil"/>
              <w:bottom w:val="single" w:sz="4" w:space="0" w:color="auto"/>
              <w:right w:val="single" w:sz="4" w:space="0" w:color="auto"/>
            </w:tcBorders>
            <w:shd w:val="clear" w:color="auto" w:fill="auto"/>
            <w:noWrap/>
            <w:vAlign w:val="center"/>
          </w:tcPr>
          <w:p w14:paraId="1F07F036" w14:textId="70A1AF7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34.5</w:t>
            </w:r>
          </w:p>
        </w:tc>
        <w:tc>
          <w:tcPr>
            <w:tcW w:w="1027" w:type="dxa"/>
            <w:tcBorders>
              <w:top w:val="nil"/>
              <w:left w:val="nil"/>
              <w:bottom w:val="single" w:sz="4" w:space="0" w:color="auto"/>
              <w:right w:val="single" w:sz="4" w:space="0" w:color="auto"/>
            </w:tcBorders>
            <w:shd w:val="clear" w:color="auto" w:fill="auto"/>
            <w:noWrap/>
            <w:vAlign w:val="center"/>
          </w:tcPr>
          <w:p w14:paraId="0E96F879" w14:textId="05D6789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21.1</w:t>
            </w:r>
          </w:p>
        </w:tc>
        <w:tc>
          <w:tcPr>
            <w:tcW w:w="1027" w:type="dxa"/>
            <w:tcBorders>
              <w:top w:val="nil"/>
              <w:left w:val="nil"/>
              <w:bottom w:val="single" w:sz="4" w:space="0" w:color="auto"/>
              <w:right w:val="single" w:sz="4" w:space="0" w:color="auto"/>
            </w:tcBorders>
            <w:shd w:val="clear" w:color="auto" w:fill="auto"/>
            <w:noWrap/>
            <w:vAlign w:val="center"/>
          </w:tcPr>
          <w:p w14:paraId="50C6FDEB" w14:textId="0FDC665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9.9</w:t>
            </w:r>
          </w:p>
        </w:tc>
        <w:tc>
          <w:tcPr>
            <w:tcW w:w="1027" w:type="dxa"/>
            <w:tcBorders>
              <w:top w:val="nil"/>
              <w:left w:val="nil"/>
              <w:bottom w:val="single" w:sz="4" w:space="0" w:color="auto"/>
              <w:right w:val="single" w:sz="4" w:space="0" w:color="auto"/>
            </w:tcBorders>
            <w:shd w:val="clear" w:color="auto" w:fill="auto"/>
            <w:noWrap/>
            <w:vAlign w:val="center"/>
          </w:tcPr>
          <w:p w14:paraId="7D07F08A" w14:textId="154FB1C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w:t>
            </w:r>
          </w:p>
        </w:tc>
        <w:tc>
          <w:tcPr>
            <w:tcW w:w="1035" w:type="dxa"/>
            <w:tcBorders>
              <w:top w:val="nil"/>
              <w:left w:val="nil"/>
              <w:bottom w:val="single" w:sz="4" w:space="0" w:color="auto"/>
              <w:right w:val="single" w:sz="4" w:space="0" w:color="auto"/>
            </w:tcBorders>
            <w:shd w:val="clear" w:color="auto" w:fill="auto"/>
            <w:noWrap/>
            <w:vAlign w:val="center"/>
          </w:tcPr>
          <w:p w14:paraId="34A3EBF9" w14:textId="2D64481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32.7</w:t>
            </w:r>
          </w:p>
        </w:tc>
      </w:tr>
      <w:tr w:rsidR="00D135E6" w:rsidRPr="00ED5D46" w14:paraId="057320D8"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853735" w14:textId="7B2F16B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234</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DFC45F" w14:textId="58873B54"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los Andes</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727D3212" w14:textId="56FBDF0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Colombia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47F6DA45" w14:textId="17A8F84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39.6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4205B1C" w14:textId="484872C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54.4</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8543D67" w14:textId="1E676F9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87.9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2C47866" w14:textId="012FE78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27.6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64BD50C" w14:textId="25D184A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32.1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638E7BA" w14:textId="71D9C78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3.1</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01EB785" w14:textId="4AC7ECA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8.1</w:t>
            </w:r>
          </w:p>
        </w:tc>
      </w:tr>
      <w:tr w:rsidR="00D135E6" w:rsidRPr="00ED5D46" w14:paraId="34186536"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147A" w14:textId="72CFA9A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245</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2CBFA270" w14:textId="23AC285D"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Navarra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4EC75D5B" w14:textId="1E95305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51554E83" w14:textId="5C6CF23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38.5</w:t>
            </w:r>
          </w:p>
        </w:tc>
        <w:tc>
          <w:tcPr>
            <w:tcW w:w="1027" w:type="dxa"/>
            <w:tcBorders>
              <w:top w:val="nil"/>
              <w:left w:val="nil"/>
              <w:bottom w:val="single" w:sz="4" w:space="0" w:color="auto"/>
              <w:right w:val="single" w:sz="4" w:space="0" w:color="auto"/>
            </w:tcBorders>
            <w:shd w:val="clear" w:color="auto" w:fill="auto"/>
            <w:noWrap/>
            <w:vAlign w:val="center"/>
          </w:tcPr>
          <w:p w14:paraId="50B1EB5A" w14:textId="5A951C0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31</w:t>
            </w:r>
          </w:p>
        </w:tc>
        <w:tc>
          <w:tcPr>
            <w:tcW w:w="1027" w:type="dxa"/>
            <w:tcBorders>
              <w:top w:val="nil"/>
              <w:left w:val="nil"/>
              <w:bottom w:val="single" w:sz="4" w:space="0" w:color="auto"/>
              <w:right w:val="single" w:sz="4" w:space="0" w:color="auto"/>
            </w:tcBorders>
            <w:shd w:val="clear" w:color="auto" w:fill="auto"/>
            <w:noWrap/>
            <w:vAlign w:val="center"/>
          </w:tcPr>
          <w:p w14:paraId="549ECDE3" w14:textId="2561B9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75.1</w:t>
            </w:r>
          </w:p>
        </w:tc>
        <w:tc>
          <w:tcPr>
            <w:tcW w:w="1027" w:type="dxa"/>
            <w:tcBorders>
              <w:top w:val="nil"/>
              <w:left w:val="nil"/>
              <w:bottom w:val="single" w:sz="4" w:space="0" w:color="auto"/>
              <w:right w:val="single" w:sz="4" w:space="0" w:color="auto"/>
            </w:tcBorders>
            <w:shd w:val="clear" w:color="auto" w:fill="auto"/>
            <w:noWrap/>
            <w:vAlign w:val="center"/>
          </w:tcPr>
          <w:p w14:paraId="6B4D5068" w14:textId="311DCA7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44.1</w:t>
            </w:r>
          </w:p>
        </w:tc>
        <w:tc>
          <w:tcPr>
            <w:tcW w:w="1027" w:type="dxa"/>
            <w:tcBorders>
              <w:top w:val="nil"/>
              <w:left w:val="nil"/>
              <w:bottom w:val="single" w:sz="4" w:space="0" w:color="auto"/>
              <w:right w:val="single" w:sz="4" w:space="0" w:color="auto"/>
            </w:tcBorders>
            <w:shd w:val="clear" w:color="auto" w:fill="auto"/>
            <w:noWrap/>
            <w:vAlign w:val="center"/>
          </w:tcPr>
          <w:p w14:paraId="1012A8E9" w14:textId="5EEDFBA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21.6</w:t>
            </w:r>
          </w:p>
        </w:tc>
        <w:tc>
          <w:tcPr>
            <w:tcW w:w="1027" w:type="dxa"/>
            <w:tcBorders>
              <w:top w:val="nil"/>
              <w:left w:val="nil"/>
              <w:bottom w:val="single" w:sz="4" w:space="0" w:color="auto"/>
              <w:right w:val="single" w:sz="4" w:space="0" w:color="auto"/>
            </w:tcBorders>
            <w:shd w:val="clear" w:color="auto" w:fill="auto"/>
            <w:noWrap/>
            <w:vAlign w:val="center"/>
          </w:tcPr>
          <w:p w14:paraId="36E6A153" w14:textId="6ADCBC4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68.1</w:t>
            </w:r>
          </w:p>
        </w:tc>
        <w:tc>
          <w:tcPr>
            <w:tcW w:w="1035" w:type="dxa"/>
            <w:tcBorders>
              <w:top w:val="nil"/>
              <w:left w:val="nil"/>
              <w:bottom w:val="single" w:sz="4" w:space="0" w:color="auto"/>
              <w:right w:val="single" w:sz="4" w:space="0" w:color="auto"/>
            </w:tcBorders>
            <w:shd w:val="clear" w:color="auto" w:fill="auto"/>
            <w:noWrap/>
            <w:vAlign w:val="center"/>
          </w:tcPr>
          <w:p w14:paraId="48C7CD36" w14:textId="313055A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25.8</w:t>
            </w:r>
          </w:p>
        </w:tc>
      </w:tr>
      <w:tr w:rsidR="00D135E6" w:rsidRPr="00ED5D46" w14:paraId="64AE812D"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719C40" w14:textId="26538BD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253</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EFA53B" w14:textId="6E278CB7"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Nacional de Colombia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52A28F64" w14:textId="7E4E46B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Colombia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4163C9B1" w14:textId="1BFC76B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37.5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C3D6764" w14:textId="3F61F01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61.5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AB423DF" w14:textId="2B43838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89.7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BD0F2DB" w14:textId="5818E91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11.1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A01BB64" w14:textId="4EB21F0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8.3</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F7E9A4F" w14:textId="225CE79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46F29E44" w14:textId="612D97D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5.3</w:t>
            </w:r>
          </w:p>
        </w:tc>
      </w:tr>
      <w:tr w:rsidR="00D135E6" w:rsidRPr="00ED5D46" w14:paraId="613C1485"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3E118" w14:textId="2D2638D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285</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159E7976" w14:textId="2E5E887D"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Pompeu Fabra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7BA65CBC" w14:textId="7BA6DFB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38409354" w14:textId="4BE1C4E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w:t>
            </w:r>
          </w:p>
        </w:tc>
        <w:tc>
          <w:tcPr>
            <w:tcW w:w="1027" w:type="dxa"/>
            <w:tcBorders>
              <w:top w:val="nil"/>
              <w:left w:val="nil"/>
              <w:bottom w:val="single" w:sz="4" w:space="0" w:color="auto"/>
              <w:right w:val="single" w:sz="4" w:space="0" w:color="auto"/>
            </w:tcBorders>
            <w:shd w:val="clear" w:color="auto" w:fill="auto"/>
            <w:noWrap/>
            <w:vAlign w:val="center"/>
          </w:tcPr>
          <w:p w14:paraId="2060E13F" w14:textId="2F4AAB3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31.6</w:t>
            </w:r>
          </w:p>
        </w:tc>
        <w:tc>
          <w:tcPr>
            <w:tcW w:w="1027" w:type="dxa"/>
            <w:tcBorders>
              <w:top w:val="nil"/>
              <w:left w:val="nil"/>
              <w:bottom w:val="single" w:sz="4" w:space="0" w:color="auto"/>
              <w:right w:val="single" w:sz="4" w:space="0" w:color="auto"/>
            </w:tcBorders>
            <w:shd w:val="clear" w:color="auto" w:fill="auto"/>
            <w:noWrap/>
            <w:vAlign w:val="center"/>
          </w:tcPr>
          <w:p w14:paraId="3FADFEA9" w14:textId="5E96BDF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30.9</w:t>
            </w:r>
          </w:p>
        </w:tc>
        <w:tc>
          <w:tcPr>
            <w:tcW w:w="1027" w:type="dxa"/>
            <w:tcBorders>
              <w:top w:val="nil"/>
              <w:left w:val="nil"/>
              <w:bottom w:val="single" w:sz="4" w:space="0" w:color="auto"/>
              <w:right w:val="single" w:sz="4" w:space="0" w:color="auto"/>
            </w:tcBorders>
            <w:shd w:val="clear" w:color="auto" w:fill="auto"/>
            <w:noWrap/>
            <w:vAlign w:val="center"/>
          </w:tcPr>
          <w:p w14:paraId="110F6BE5" w14:textId="5802589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17.3</w:t>
            </w:r>
          </w:p>
        </w:tc>
        <w:tc>
          <w:tcPr>
            <w:tcW w:w="1027" w:type="dxa"/>
            <w:tcBorders>
              <w:top w:val="nil"/>
              <w:left w:val="nil"/>
              <w:bottom w:val="single" w:sz="4" w:space="0" w:color="auto"/>
              <w:right w:val="single" w:sz="4" w:space="0" w:color="auto"/>
            </w:tcBorders>
            <w:shd w:val="clear" w:color="auto" w:fill="auto"/>
            <w:noWrap/>
            <w:vAlign w:val="center"/>
          </w:tcPr>
          <w:p w14:paraId="17AAE325" w14:textId="6D0C701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66.3</w:t>
            </w:r>
          </w:p>
        </w:tc>
        <w:tc>
          <w:tcPr>
            <w:tcW w:w="1027" w:type="dxa"/>
            <w:tcBorders>
              <w:top w:val="nil"/>
              <w:left w:val="nil"/>
              <w:bottom w:val="single" w:sz="4" w:space="0" w:color="auto"/>
              <w:right w:val="single" w:sz="4" w:space="0" w:color="auto"/>
            </w:tcBorders>
            <w:shd w:val="clear" w:color="auto" w:fill="auto"/>
            <w:noWrap/>
            <w:vAlign w:val="center"/>
          </w:tcPr>
          <w:p w14:paraId="11D8C9B4" w14:textId="113606A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25.8</w:t>
            </w:r>
          </w:p>
        </w:tc>
        <w:tc>
          <w:tcPr>
            <w:tcW w:w="1035" w:type="dxa"/>
            <w:tcBorders>
              <w:top w:val="nil"/>
              <w:left w:val="nil"/>
              <w:bottom w:val="single" w:sz="4" w:space="0" w:color="auto"/>
              <w:right w:val="single" w:sz="4" w:space="0" w:color="auto"/>
            </w:tcBorders>
            <w:shd w:val="clear" w:color="auto" w:fill="auto"/>
            <w:noWrap/>
            <w:vAlign w:val="center"/>
          </w:tcPr>
          <w:p w14:paraId="44BEA7E7" w14:textId="60A9900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55.6</w:t>
            </w:r>
          </w:p>
        </w:tc>
      </w:tr>
      <w:tr w:rsidR="00D135E6" w:rsidRPr="00ED5D46" w14:paraId="756B69D4"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65BD06" w14:textId="64073D3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298</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EC16B8" w14:textId="04C3B38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Carlos III de Madrid</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743079F7" w14:textId="62CA3DD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02C3F2DE" w14:textId="03B45DF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248E51F" w14:textId="3985B14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18AB221" w14:textId="58EF0E3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51.5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0E05AA1" w14:textId="660145D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60.7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A01A6A2" w14:textId="59E2597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36.5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C626E05" w14:textId="5B8E57A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07236F24" w14:textId="7EC5C1C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9.7</w:t>
            </w:r>
          </w:p>
        </w:tc>
      </w:tr>
      <w:tr w:rsidR="00D135E6" w:rsidRPr="00ED5D46" w14:paraId="6403990B"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32B38" w14:textId="03A8429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300</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34C7DB3C" w14:textId="690F7D6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Politécnica de Cataluña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723251F4" w14:textId="124A135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0F7EF095" w14:textId="3ED491F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34.5</w:t>
            </w:r>
          </w:p>
        </w:tc>
        <w:tc>
          <w:tcPr>
            <w:tcW w:w="1027" w:type="dxa"/>
            <w:tcBorders>
              <w:top w:val="nil"/>
              <w:left w:val="nil"/>
              <w:bottom w:val="single" w:sz="4" w:space="0" w:color="auto"/>
              <w:right w:val="single" w:sz="4" w:space="0" w:color="auto"/>
            </w:tcBorders>
            <w:shd w:val="clear" w:color="auto" w:fill="auto"/>
            <w:noWrap/>
            <w:vAlign w:val="center"/>
          </w:tcPr>
          <w:p w14:paraId="13E0502F" w14:textId="7BEFEA9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34.7</w:t>
            </w:r>
          </w:p>
        </w:tc>
        <w:tc>
          <w:tcPr>
            <w:tcW w:w="1027" w:type="dxa"/>
            <w:tcBorders>
              <w:top w:val="nil"/>
              <w:left w:val="nil"/>
              <w:bottom w:val="single" w:sz="4" w:space="0" w:color="auto"/>
              <w:right w:val="single" w:sz="4" w:space="0" w:color="auto"/>
            </w:tcBorders>
            <w:shd w:val="clear" w:color="auto" w:fill="auto"/>
            <w:noWrap/>
            <w:vAlign w:val="center"/>
          </w:tcPr>
          <w:p w14:paraId="1F70DC90" w14:textId="3E07C8D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35.2</w:t>
            </w:r>
          </w:p>
        </w:tc>
        <w:tc>
          <w:tcPr>
            <w:tcW w:w="1027" w:type="dxa"/>
            <w:tcBorders>
              <w:top w:val="nil"/>
              <w:left w:val="nil"/>
              <w:bottom w:val="single" w:sz="4" w:space="0" w:color="auto"/>
              <w:right w:val="single" w:sz="4" w:space="0" w:color="auto"/>
            </w:tcBorders>
            <w:shd w:val="clear" w:color="auto" w:fill="auto"/>
            <w:noWrap/>
            <w:vAlign w:val="center"/>
          </w:tcPr>
          <w:p w14:paraId="47CA50B6" w14:textId="4BB0070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53.1</w:t>
            </w:r>
          </w:p>
        </w:tc>
        <w:tc>
          <w:tcPr>
            <w:tcW w:w="1027" w:type="dxa"/>
            <w:tcBorders>
              <w:top w:val="nil"/>
              <w:left w:val="nil"/>
              <w:bottom w:val="single" w:sz="4" w:space="0" w:color="auto"/>
              <w:right w:val="single" w:sz="4" w:space="0" w:color="auto"/>
            </w:tcBorders>
            <w:shd w:val="clear" w:color="auto" w:fill="auto"/>
            <w:noWrap/>
            <w:vAlign w:val="center"/>
          </w:tcPr>
          <w:p w14:paraId="37872C23" w14:textId="3B09FF6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10.4</w:t>
            </w:r>
          </w:p>
        </w:tc>
        <w:tc>
          <w:tcPr>
            <w:tcW w:w="1027" w:type="dxa"/>
            <w:tcBorders>
              <w:top w:val="nil"/>
              <w:left w:val="nil"/>
              <w:bottom w:val="single" w:sz="4" w:space="0" w:color="auto"/>
              <w:right w:val="single" w:sz="4" w:space="0" w:color="auto"/>
            </w:tcBorders>
            <w:shd w:val="clear" w:color="auto" w:fill="auto"/>
            <w:noWrap/>
            <w:vAlign w:val="center"/>
          </w:tcPr>
          <w:p w14:paraId="57B50245" w14:textId="099872F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28.8</w:t>
            </w:r>
          </w:p>
        </w:tc>
        <w:tc>
          <w:tcPr>
            <w:tcW w:w="1035" w:type="dxa"/>
            <w:tcBorders>
              <w:top w:val="nil"/>
              <w:left w:val="nil"/>
              <w:bottom w:val="single" w:sz="4" w:space="0" w:color="auto"/>
              <w:right w:val="single" w:sz="4" w:space="0" w:color="auto"/>
            </w:tcBorders>
            <w:shd w:val="clear" w:color="auto" w:fill="auto"/>
            <w:noWrap/>
            <w:vAlign w:val="center"/>
          </w:tcPr>
          <w:p w14:paraId="5624FCD0" w14:textId="387FC91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22.1</w:t>
            </w:r>
          </w:p>
        </w:tc>
      </w:tr>
      <w:tr w:rsidR="00D135E6" w:rsidRPr="00ED5D46" w14:paraId="1FE096C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69270C" w14:textId="19537E1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335</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320E5" w14:textId="3319B577"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IE Universidad</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6DE1F297" w14:textId="7C53600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10247F5F" w14:textId="25980FE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32.1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337245E" w14:textId="55A6506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57B2794" w14:textId="6867708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49.2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0AA3526" w14:textId="6356026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71.8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CC5F195" w14:textId="75A7FFB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88.6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0D1C7DB" w14:textId="4908F8F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100</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AECF785" w14:textId="78435F6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w:t>
            </w:r>
          </w:p>
        </w:tc>
      </w:tr>
      <w:tr w:rsidR="00D135E6" w:rsidRPr="00ED5D46" w14:paraId="2DE38327"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FD2C1" w14:textId="4BB036E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336</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06058566" w14:textId="423639C5"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Politécnica de Valencia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1CDB4E82" w14:textId="355300D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245F8A66" w14:textId="4C546D3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32</w:t>
            </w:r>
          </w:p>
        </w:tc>
        <w:tc>
          <w:tcPr>
            <w:tcW w:w="1027" w:type="dxa"/>
            <w:tcBorders>
              <w:top w:val="nil"/>
              <w:left w:val="nil"/>
              <w:bottom w:val="single" w:sz="4" w:space="0" w:color="auto"/>
              <w:right w:val="single" w:sz="4" w:space="0" w:color="auto"/>
            </w:tcBorders>
            <w:shd w:val="clear" w:color="auto" w:fill="auto"/>
            <w:noWrap/>
            <w:vAlign w:val="center"/>
          </w:tcPr>
          <w:p w14:paraId="004D353D" w14:textId="5DEE651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22.8</w:t>
            </w:r>
          </w:p>
        </w:tc>
        <w:tc>
          <w:tcPr>
            <w:tcW w:w="1027" w:type="dxa"/>
            <w:tcBorders>
              <w:top w:val="nil"/>
              <w:left w:val="nil"/>
              <w:bottom w:val="single" w:sz="4" w:space="0" w:color="auto"/>
              <w:right w:val="single" w:sz="4" w:space="0" w:color="auto"/>
            </w:tcBorders>
            <w:shd w:val="clear" w:color="auto" w:fill="auto"/>
            <w:noWrap/>
            <w:vAlign w:val="center"/>
          </w:tcPr>
          <w:p w14:paraId="2D0011E5" w14:textId="1DA81CB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17.7</w:t>
            </w:r>
          </w:p>
        </w:tc>
        <w:tc>
          <w:tcPr>
            <w:tcW w:w="1027" w:type="dxa"/>
            <w:tcBorders>
              <w:top w:val="nil"/>
              <w:left w:val="nil"/>
              <w:bottom w:val="single" w:sz="4" w:space="0" w:color="auto"/>
              <w:right w:val="single" w:sz="4" w:space="0" w:color="auto"/>
            </w:tcBorders>
            <w:shd w:val="clear" w:color="auto" w:fill="auto"/>
            <w:noWrap/>
            <w:vAlign w:val="center"/>
          </w:tcPr>
          <w:p w14:paraId="76BB4286" w14:textId="55623C4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80.8</w:t>
            </w:r>
          </w:p>
        </w:tc>
        <w:tc>
          <w:tcPr>
            <w:tcW w:w="1027" w:type="dxa"/>
            <w:tcBorders>
              <w:top w:val="nil"/>
              <w:left w:val="nil"/>
              <w:bottom w:val="single" w:sz="4" w:space="0" w:color="auto"/>
              <w:right w:val="single" w:sz="4" w:space="0" w:color="auto"/>
            </w:tcBorders>
            <w:shd w:val="clear" w:color="auto" w:fill="auto"/>
            <w:noWrap/>
            <w:vAlign w:val="center"/>
          </w:tcPr>
          <w:p w14:paraId="08F41016" w14:textId="34B002B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5.8</w:t>
            </w:r>
          </w:p>
        </w:tc>
        <w:tc>
          <w:tcPr>
            <w:tcW w:w="1027" w:type="dxa"/>
            <w:tcBorders>
              <w:top w:val="nil"/>
              <w:left w:val="nil"/>
              <w:bottom w:val="single" w:sz="4" w:space="0" w:color="auto"/>
              <w:right w:val="single" w:sz="4" w:space="0" w:color="auto"/>
            </w:tcBorders>
            <w:shd w:val="clear" w:color="auto" w:fill="auto"/>
            <w:noWrap/>
            <w:vAlign w:val="center"/>
          </w:tcPr>
          <w:p w14:paraId="1619C3C8" w14:textId="5F649E1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18.8</w:t>
            </w:r>
          </w:p>
        </w:tc>
        <w:tc>
          <w:tcPr>
            <w:tcW w:w="1035" w:type="dxa"/>
            <w:tcBorders>
              <w:top w:val="nil"/>
              <w:left w:val="nil"/>
              <w:bottom w:val="single" w:sz="4" w:space="0" w:color="auto"/>
              <w:right w:val="single" w:sz="4" w:space="0" w:color="auto"/>
            </w:tcBorders>
            <w:shd w:val="clear" w:color="auto" w:fill="auto"/>
            <w:noWrap/>
            <w:vAlign w:val="center"/>
          </w:tcPr>
          <w:p w14:paraId="75789470" w14:textId="3211A50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18.3</w:t>
            </w:r>
          </w:p>
        </w:tc>
      </w:tr>
      <w:tr w:rsidR="00D135E6" w:rsidRPr="00ED5D46" w14:paraId="07F1DA30"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73C31E" w14:textId="69F4109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338</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2B2964" w14:textId="532D9360"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Lisboa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6EDF99F9" w14:textId="167BA2E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Portugal</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1322CB96" w14:textId="2024D69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31.9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8E90326" w14:textId="4048A5C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40.5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E2A917C" w14:textId="3E0BF3F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21C233B" w14:textId="6B9A570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15.6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C805877" w14:textId="1B0A097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2CE9263" w14:textId="6B19737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32.5</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9D2D2E7" w14:textId="4A70862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38.2</w:t>
            </w:r>
          </w:p>
        </w:tc>
      </w:tr>
      <w:tr w:rsidR="00D135E6" w:rsidRPr="00ED5D46" w14:paraId="3E4A4169"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34BFA" w14:textId="59D6ACC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344</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644C16FC" w14:textId="1BAF33C0"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Pontificia Universidad Católica Argentina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561AC08D" w14:textId="2B60FDF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Argentina</w:t>
            </w:r>
          </w:p>
        </w:tc>
        <w:tc>
          <w:tcPr>
            <w:tcW w:w="748" w:type="dxa"/>
            <w:tcBorders>
              <w:top w:val="nil"/>
              <w:left w:val="nil"/>
              <w:bottom w:val="single" w:sz="4" w:space="0" w:color="auto"/>
              <w:right w:val="single" w:sz="4" w:space="0" w:color="auto"/>
            </w:tcBorders>
            <w:shd w:val="clear" w:color="auto" w:fill="auto"/>
            <w:noWrap/>
            <w:vAlign w:val="center"/>
          </w:tcPr>
          <w:p w14:paraId="5B59B67D" w14:textId="42FC469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31.7</w:t>
            </w:r>
          </w:p>
        </w:tc>
        <w:tc>
          <w:tcPr>
            <w:tcW w:w="1027" w:type="dxa"/>
            <w:tcBorders>
              <w:top w:val="nil"/>
              <w:left w:val="nil"/>
              <w:bottom w:val="single" w:sz="4" w:space="0" w:color="auto"/>
              <w:right w:val="single" w:sz="4" w:space="0" w:color="auto"/>
            </w:tcBorders>
            <w:shd w:val="clear" w:color="auto" w:fill="auto"/>
            <w:noWrap/>
            <w:vAlign w:val="center"/>
          </w:tcPr>
          <w:p w14:paraId="1BBACE60" w14:textId="632E23B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17.7</w:t>
            </w:r>
          </w:p>
        </w:tc>
        <w:tc>
          <w:tcPr>
            <w:tcW w:w="1027" w:type="dxa"/>
            <w:tcBorders>
              <w:top w:val="nil"/>
              <w:left w:val="nil"/>
              <w:bottom w:val="single" w:sz="4" w:space="0" w:color="auto"/>
              <w:right w:val="single" w:sz="4" w:space="0" w:color="auto"/>
            </w:tcBorders>
            <w:shd w:val="clear" w:color="auto" w:fill="auto"/>
            <w:noWrap/>
            <w:vAlign w:val="center"/>
          </w:tcPr>
          <w:p w14:paraId="688C011B" w14:textId="7C1C26A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44.3</w:t>
            </w:r>
          </w:p>
        </w:tc>
        <w:tc>
          <w:tcPr>
            <w:tcW w:w="1027" w:type="dxa"/>
            <w:tcBorders>
              <w:top w:val="nil"/>
              <w:left w:val="nil"/>
              <w:bottom w:val="single" w:sz="4" w:space="0" w:color="auto"/>
              <w:right w:val="single" w:sz="4" w:space="0" w:color="auto"/>
            </w:tcBorders>
            <w:shd w:val="clear" w:color="auto" w:fill="auto"/>
            <w:noWrap/>
            <w:vAlign w:val="center"/>
          </w:tcPr>
          <w:p w14:paraId="5E13468B" w14:textId="5F0396F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95.3</w:t>
            </w:r>
          </w:p>
        </w:tc>
        <w:tc>
          <w:tcPr>
            <w:tcW w:w="1027" w:type="dxa"/>
            <w:tcBorders>
              <w:top w:val="nil"/>
              <w:left w:val="nil"/>
              <w:bottom w:val="single" w:sz="4" w:space="0" w:color="auto"/>
              <w:right w:val="single" w:sz="4" w:space="0" w:color="auto"/>
            </w:tcBorders>
            <w:shd w:val="clear" w:color="auto" w:fill="auto"/>
            <w:noWrap/>
            <w:vAlign w:val="center"/>
          </w:tcPr>
          <w:p w14:paraId="24862541" w14:textId="27C3EB9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2.9</w:t>
            </w:r>
          </w:p>
        </w:tc>
        <w:tc>
          <w:tcPr>
            <w:tcW w:w="1027" w:type="dxa"/>
            <w:tcBorders>
              <w:top w:val="nil"/>
              <w:left w:val="nil"/>
              <w:bottom w:val="single" w:sz="4" w:space="0" w:color="auto"/>
              <w:right w:val="single" w:sz="4" w:space="0" w:color="auto"/>
            </w:tcBorders>
            <w:shd w:val="clear" w:color="auto" w:fill="auto"/>
            <w:noWrap/>
            <w:vAlign w:val="center"/>
          </w:tcPr>
          <w:p w14:paraId="494FF186" w14:textId="2231892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13.2</w:t>
            </w:r>
          </w:p>
        </w:tc>
        <w:tc>
          <w:tcPr>
            <w:tcW w:w="1035" w:type="dxa"/>
            <w:tcBorders>
              <w:top w:val="nil"/>
              <w:left w:val="nil"/>
              <w:bottom w:val="single" w:sz="4" w:space="0" w:color="auto"/>
              <w:right w:val="single" w:sz="4" w:space="0" w:color="auto"/>
            </w:tcBorders>
            <w:shd w:val="clear" w:color="auto" w:fill="auto"/>
            <w:noWrap/>
            <w:vAlign w:val="center"/>
          </w:tcPr>
          <w:p w14:paraId="1AF18364" w14:textId="61673E5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1.1</w:t>
            </w:r>
          </w:p>
        </w:tc>
      </w:tr>
      <w:tr w:rsidR="00D135E6" w:rsidRPr="00ED5D46" w14:paraId="302ED70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8E76B3" w14:textId="50D03B2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353</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BC27D2" w14:textId="5F7AC21A"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Oporto</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6A50727C" w14:textId="0375455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Portugal</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2B44FF07" w14:textId="44F2425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0F86C50" w14:textId="1CE9049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55FF874" w14:textId="3261D2A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DCB473D" w14:textId="6DDBE4B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16.1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A78EBD8" w14:textId="27E1AD8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BFC7A88" w14:textId="17CAC95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12.7</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FF5B509" w14:textId="599A07E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47.4</w:t>
            </w:r>
          </w:p>
        </w:tc>
      </w:tr>
      <w:tr w:rsidR="00D135E6" w:rsidRPr="00ED5D46" w14:paraId="7D6E29BC"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631" w14:textId="052D52A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358</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0FFC5A07" w14:textId="36C98E11"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Federal de Río de Janeiro</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5F166548" w14:textId="6D5BE62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Brasil</w:t>
            </w:r>
          </w:p>
        </w:tc>
        <w:tc>
          <w:tcPr>
            <w:tcW w:w="748" w:type="dxa"/>
            <w:tcBorders>
              <w:top w:val="nil"/>
              <w:left w:val="nil"/>
              <w:bottom w:val="single" w:sz="4" w:space="0" w:color="auto"/>
              <w:right w:val="single" w:sz="4" w:space="0" w:color="auto"/>
            </w:tcBorders>
            <w:shd w:val="clear" w:color="auto" w:fill="auto"/>
            <w:noWrap/>
            <w:vAlign w:val="center"/>
          </w:tcPr>
          <w:p w14:paraId="79385178" w14:textId="79989CE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30.6</w:t>
            </w:r>
          </w:p>
        </w:tc>
        <w:tc>
          <w:tcPr>
            <w:tcW w:w="1027" w:type="dxa"/>
            <w:tcBorders>
              <w:top w:val="nil"/>
              <w:left w:val="nil"/>
              <w:bottom w:val="single" w:sz="4" w:space="0" w:color="auto"/>
              <w:right w:val="single" w:sz="4" w:space="0" w:color="auto"/>
            </w:tcBorders>
            <w:shd w:val="clear" w:color="auto" w:fill="auto"/>
            <w:noWrap/>
            <w:vAlign w:val="center"/>
          </w:tcPr>
          <w:p w14:paraId="009A7264" w14:textId="6EC7981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53.8</w:t>
            </w:r>
          </w:p>
        </w:tc>
        <w:tc>
          <w:tcPr>
            <w:tcW w:w="1027" w:type="dxa"/>
            <w:tcBorders>
              <w:top w:val="nil"/>
              <w:left w:val="nil"/>
              <w:bottom w:val="single" w:sz="4" w:space="0" w:color="auto"/>
              <w:right w:val="single" w:sz="4" w:space="0" w:color="auto"/>
            </w:tcBorders>
            <w:shd w:val="clear" w:color="auto" w:fill="auto"/>
            <w:noWrap/>
            <w:vAlign w:val="center"/>
          </w:tcPr>
          <w:p w14:paraId="40231B4E" w14:textId="7A228C4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19.6</w:t>
            </w:r>
          </w:p>
        </w:tc>
        <w:tc>
          <w:tcPr>
            <w:tcW w:w="1027" w:type="dxa"/>
            <w:tcBorders>
              <w:top w:val="nil"/>
              <w:left w:val="nil"/>
              <w:bottom w:val="single" w:sz="4" w:space="0" w:color="auto"/>
              <w:right w:val="single" w:sz="4" w:space="0" w:color="auto"/>
            </w:tcBorders>
            <w:shd w:val="clear" w:color="auto" w:fill="auto"/>
            <w:noWrap/>
            <w:vAlign w:val="center"/>
          </w:tcPr>
          <w:p w14:paraId="1DDB42ED" w14:textId="1A6CB5F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21.3</w:t>
            </w:r>
          </w:p>
        </w:tc>
        <w:tc>
          <w:tcPr>
            <w:tcW w:w="1027" w:type="dxa"/>
            <w:tcBorders>
              <w:top w:val="nil"/>
              <w:left w:val="nil"/>
              <w:bottom w:val="single" w:sz="4" w:space="0" w:color="auto"/>
              <w:right w:val="single" w:sz="4" w:space="0" w:color="auto"/>
            </w:tcBorders>
            <w:shd w:val="clear" w:color="auto" w:fill="auto"/>
            <w:noWrap/>
            <w:vAlign w:val="center"/>
          </w:tcPr>
          <w:p w14:paraId="7FA336E4" w14:textId="578CCE4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w:t>
            </w:r>
          </w:p>
        </w:tc>
        <w:tc>
          <w:tcPr>
            <w:tcW w:w="1027" w:type="dxa"/>
            <w:tcBorders>
              <w:top w:val="nil"/>
              <w:left w:val="nil"/>
              <w:bottom w:val="single" w:sz="4" w:space="0" w:color="auto"/>
              <w:right w:val="single" w:sz="4" w:space="0" w:color="auto"/>
            </w:tcBorders>
            <w:shd w:val="clear" w:color="auto" w:fill="auto"/>
            <w:noWrap/>
            <w:vAlign w:val="center"/>
          </w:tcPr>
          <w:p w14:paraId="337DBCE5" w14:textId="4FD2003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w:t>
            </w:r>
          </w:p>
        </w:tc>
        <w:tc>
          <w:tcPr>
            <w:tcW w:w="1035" w:type="dxa"/>
            <w:tcBorders>
              <w:top w:val="nil"/>
              <w:left w:val="nil"/>
              <w:bottom w:val="single" w:sz="4" w:space="0" w:color="auto"/>
              <w:right w:val="single" w:sz="4" w:space="0" w:color="auto"/>
            </w:tcBorders>
            <w:shd w:val="clear" w:color="auto" w:fill="auto"/>
            <w:noWrap/>
            <w:vAlign w:val="center"/>
          </w:tcPr>
          <w:p w14:paraId="79C45E9A" w14:textId="465FEF7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11.5</w:t>
            </w:r>
          </w:p>
        </w:tc>
      </w:tr>
      <w:tr w:rsidR="00D135E6" w:rsidRPr="00ED5D46" w14:paraId="26347830"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595B6B" w14:textId="697270C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383</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4411CE" w14:textId="665CBC15"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Palermo</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7C6BACBA" w14:textId="0EA86A4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Argentina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49CE51CF" w14:textId="6E01771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0B253DF5" w14:textId="4943672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EC6859F" w14:textId="39D9384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100DF49" w14:textId="5D50F85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84.6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982A1AC" w14:textId="06535DA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3813F7D" w14:textId="473C667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97.5</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06D8FDB" w14:textId="733305A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w:t>
            </w:r>
          </w:p>
        </w:tc>
      </w:tr>
      <w:tr w:rsidR="00D135E6" w:rsidRPr="00ED5D46" w14:paraId="213E0673"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553DB" w14:textId="076C69C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400</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45F382AF" w14:textId="6523B5D0"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Austral</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29E944B9" w14:textId="2602CC5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Argentina</w:t>
            </w:r>
          </w:p>
        </w:tc>
        <w:tc>
          <w:tcPr>
            <w:tcW w:w="748" w:type="dxa"/>
            <w:tcBorders>
              <w:top w:val="nil"/>
              <w:left w:val="nil"/>
              <w:bottom w:val="single" w:sz="4" w:space="0" w:color="auto"/>
              <w:right w:val="single" w:sz="4" w:space="0" w:color="auto"/>
            </w:tcBorders>
            <w:shd w:val="clear" w:color="auto" w:fill="auto"/>
            <w:noWrap/>
            <w:vAlign w:val="center"/>
          </w:tcPr>
          <w:p w14:paraId="74FE3C2E" w14:textId="546544D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28.2</w:t>
            </w:r>
          </w:p>
        </w:tc>
        <w:tc>
          <w:tcPr>
            <w:tcW w:w="1027" w:type="dxa"/>
            <w:tcBorders>
              <w:top w:val="nil"/>
              <w:left w:val="nil"/>
              <w:bottom w:val="single" w:sz="4" w:space="0" w:color="auto"/>
              <w:right w:val="single" w:sz="4" w:space="0" w:color="auto"/>
            </w:tcBorders>
            <w:shd w:val="clear" w:color="auto" w:fill="auto"/>
            <w:noWrap/>
            <w:vAlign w:val="center"/>
          </w:tcPr>
          <w:p w14:paraId="58579BC8" w14:textId="4C100C1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15.6</w:t>
            </w:r>
          </w:p>
        </w:tc>
        <w:tc>
          <w:tcPr>
            <w:tcW w:w="1027" w:type="dxa"/>
            <w:tcBorders>
              <w:top w:val="nil"/>
              <w:left w:val="nil"/>
              <w:bottom w:val="single" w:sz="4" w:space="0" w:color="auto"/>
              <w:right w:val="single" w:sz="4" w:space="0" w:color="auto"/>
            </w:tcBorders>
            <w:shd w:val="clear" w:color="auto" w:fill="auto"/>
            <w:noWrap/>
            <w:vAlign w:val="center"/>
          </w:tcPr>
          <w:p w14:paraId="3400373A" w14:textId="1EAD53A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36.9</w:t>
            </w:r>
          </w:p>
        </w:tc>
        <w:tc>
          <w:tcPr>
            <w:tcW w:w="1027" w:type="dxa"/>
            <w:tcBorders>
              <w:top w:val="nil"/>
              <w:left w:val="nil"/>
              <w:bottom w:val="single" w:sz="4" w:space="0" w:color="auto"/>
              <w:right w:val="single" w:sz="4" w:space="0" w:color="auto"/>
            </w:tcBorders>
            <w:shd w:val="clear" w:color="auto" w:fill="auto"/>
            <w:noWrap/>
            <w:vAlign w:val="center"/>
          </w:tcPr>
          <w:p w14:paraId="0753714F" w14:textId="7A6E2FE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84.4</w:t>
            </w:r>
          </w:p>
        </w:tc>
        <w:tc>
          <w:tcPr>
            <w:tcW w:w="1027" w:type="dxa"/>
            <w:tcBorders>
              <w:top w:val="nil"/>
              <w:left w:val="nil"/>
              <w:bottom w:val="single" w:sz="4" w:space="0" w:color="auto"/>
              <w:right w:val="single" w:sz="4" w:space="0" w:color="auto"/>
            </w:tcBorders>
            <w:shd w:val="clear" w:color="auto" w:fill="auto"/>
            <w:noWrap/>
            <w:vAlign w:val="center"/>
          </w:tcPr>
          <w:p w14:paraId="272E90E2" w14:textId="7031EBF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6.1</w:t>
            </w:r>
          </w:p>
        </w:tc>
        <w:tc>
          <w:tcPr>
            <w:tcW w:w="1027" w:type="dxa"/>
            <w:tcBorders>
              <w:top w:val="nil"/>
              <w:left w:val="nil"/>
              <w:bottom w:val="single" w:sz="4" w:space="0" w:color="auto"/>
              <w:right w:val="single" w:sz="4" w:space="0" w:color="auto"/>
            </w:tcBorders>
            <w:shd w:val="clear" w:color="auto" w:fill="auto"/>
            <w:noWrap/>
            <w:vAlign w:val="center"/>
          </w:tcPr>
          <w:p w14:paraId="4078F5E2" w14:textId="4636649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12.2</w:t>
            </w:r>
          </w:p>
        </w:tc>
        <w:tc>
          <w:tcPr>
            <w:tcW w:w="1035" w:type="dxa"/>
            <w:tcBorders>
              <w:top w:val="nil"/>
              <w:left w:val="nil"/>
              <w:bottom w:val="single" w:sz="4" w:space="0" w:color="auto"/>
              <w:right w:val="single" w:sz="4" w:space="0" w:color="auto"/>
            </w:tcBorders>
            <w:shd w:val="clear" w:color="auto" w:fill="auto"/>
            <w:noWrap/>
            <w:vAlign w:val="center"/>
          </w:tcPr>
          <w:p w14:paraId="7B7DB963" w14:textId="2FBD79B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w:t>
            </w:r>
          </w:p>
        </w:tc>
      </w:tr>
      <w:tr w:rsidR="00D135E6" w:rsidRPr="00ED5D46" w14:paraId="1C94C917"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41E07A" w14:textId="12F3A6F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406</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8A2A70" w14:textId="285A309F"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Coimbra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468B0186" w14:textId="27080F2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Portugal</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5DC64EAA" w14:textId="7B39A79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BC4B98F" w14:textId="6DDEA7E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30.1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50F68B5" w14:textId="11DBA87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B30C5B7" w14:textId="32DB114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91DCEC7" w14:textId="1932E38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12.4</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7928534" w14:textId="504E985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57.2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B0CFEB8" w14:textId="7238131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37.1</w:t>
            </w:r>
          </w:p>
        </w:tc>
      </w:tr>
      <w:tr w:rsidR="00D135E6" w:rsidRPr="00ED5D46" w14:paraId="351DA674"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DCEE9" w14:textId="6C40EAA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421</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12F32E95" w14:textId="1177541A"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Nueva de Lisboa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164EB896" w14:textId="29E222E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Portugal</w:t>
            </w:r>
          </w:p>
        </w:tc>
        <w:tc>
          <w:tcPr>
            <w:tcW w:w="748" w:type="dxa"/>
            <w:tcBorders>
              <w:top w:val="nil"/>
              <w:left w:val="nil"/>
              <w:bottom w:val="single" w:sz="4" w:space="0" w:color="auto"/>
              <w:right w:val="single" w:sz="4" w:space="0" w:color="auto"/>
            </w:tcBorders>
            <w:shd w:val="clear" w:color="auto" w:fill="auto"/>
            <w:noWrap/>
            <w:vAlign w:val="center"/>
          </w:tcPr>
          <w:p w14:paraId="650C1DA5" w14:textId="6362510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27.3</w:t>
            </w:r>
          </w:p>
        </w:tc>
        <w:tc>
          <w:tcPr>
            <w:tcW w:w="1027" w:type="dxa"/>
            <w:tcBorders>
              <w:top w:val="nil"/>
              <w:left w:val="nil"/>
              <w:bottom w:val="single" w:sz="4" w:space="0" w:color="auto"/>
              <w:right w:val="single" w:sz="4" w:space="0" w:color="auto"/>
            </w:tcBorders>
            <w:shd w:val="clear" w:color="auto" w:fill="auto"/>
            <w:noWrap/>
            <w:vAlign w:val="center"/>
          </w:tcPr>
          <w:p w14:paraId="1CDA23E7" w14:textId="4DCC956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26.9</w:t>
            </w:r>
          </w:p>
        </w:tc>
        <w:tc>
          <w:tcPr>
            <w:tcW w:w="1027" w:type="dxa"/>
            <w:tcBorders>
              <w:top w:val="nil"/>
              <w:left w:val="nil"/>
              <w:bottom w:val="single" w:sz="4" w:space="0" w:color="auto"/>
              <w:right w:val="single" w:sz="4" w:space="0" w:color="auto"/>
            </w:tcBorders>
            <w:shd w:val="clear" w:color="auto" w:fill="auto"/>
            <w:noWrap/>
            <w:vAlign w:val="center"/>
          </w:tcPr>
          <w:p w14:paraId="77A00A0A" w14:textId="3C8D3C6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27.8</w:t>
            </w:r>
          </w:p>
        </w:tc>
        <w:tc>
          <w:tcPr>
            <w:tcW w:w="1027" w:type="dxa"/>
            <w:tcBorders>
              <w:top w:val="nil"/>
              <w:left w:val="nil"/>
              <w:bottom w:val="single" w:sz="4" w:space="0" w:color="auto"/>
              <w:right w:val="single" w:sz="4" w:space="0" w:color="auto"/>
            </w:tcBorders>
            <w:shd w:val="clear" w:color="auto" w:fill="auto"/>
            <w:noWrap/>
            <w:vAlign w:val="center"/>
          </w:tcPr>
          <w:p w14:paraId="51AE1984" w14:textId="11542CE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28.2</w:t>
            </w:r>
          </w:p>
        </w:tc>
        <w:tc>
          <w:tcPr>
            <w:tcW w:w="1027" w:type="dxa"/>
            <w:tcBorders>
              <w:top w:val="nil"/>
              <w:left w:val="nil"/>
              <w:bottom w:val="single" w:sz="4" w:space="0" w:color="auto"/>
              <w:right w:val="single" w:sz="4" w:space="0" w:color="auto"/>
            </w:tcBorders>
            <w:shd w:val="clear" w:color="auto" w:fill="auto"/>
            <w:noWrap/>
            <w:vAlign w:val="center"/>
          </w:tcPr>
          <w:p w14:paraId="1F15CEC6" w14:textId="654AF40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26.7</w:t>
            </w:r>
          </w:p>
        </w:tc>
        <w:tc>
          <w:tcPr>
            <w:tcW w:w="1027" w:type="dxa"/>
            <w:tcBorders>
              <w:top w:val="nil"/>
              <w:left w:val="nil"/>
              <w:bottom w:val="single" w:sz="4" w:space="0" w:color="auto"/>
              <w:right w:val="single" w:sz="4" w:space="0" w:color="auto"/>
            </w:tcBorders>
            <w:shd w:val="clear" w:color="auto" w:fill="auto"/>
            <w:noWrap/>
            <w:vAlign w:val="center"/>
          </w:tcPr>
          <w:p w14:paraId="22AA3209" w14:textId="077FA7A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43.8</w:t>
            </w:r>
          </w:p>
        </w:tc>
        <w:tc>
          <w:tcPr>
            <w:tcW w:w="1035" w:type="dxa"/>
            <w:tcBorders>
              <w:top w:val="nil"/>
              <w:left w:val="nil"/>
              <w:bottom w:val="single" w:sz="4" w:space="0" w:color="auto"/>
              <w:right w:val="single" w:sz="4" w:space="0" w:color="auto"/>
            </w:tcBorders>
            <w:shd w:val="clear" w:color="auto" w:fill="auto"/>
            <w:noWrap/>
            <w:vAlign w:val="center"/>
          </w:tcPr>
          <w:p w14:paraId="764E4E45" w14:textId="474F6A9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22.4</w:t>
            </w:r>
          </w:p>
        </w:tc>
      </w:tr>
      <w:tr w:rsidR="00D135E6" w:rsidRPr="00ED5D46" w14:paraId="15FF3795"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3C0121" w14:textId="4CB9E4A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432</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876D82" w14:textId="128679F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Zaragoza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5F80E4FF" w14:textId="4C00FC2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6EDE037E" w14:textId="5CD52ED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638F873" w14:textId="7972D86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2A04165" w14:textId="45E5C42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8F9B5EE" w14:textId="1AA233F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74.8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EC53710" w14:textId="5BB0DFA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EDE4537" w14:textId="2B81D23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6.1</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4012381B" w14:textId="2E6AE7D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w:t>
            </w:r>
          </w:p>
        </w:tc>
      </w:tr>
      <w:tr w:rsidR="00D135E6" w:rsidRPr="00ED5D46" w14:paraId="0728FC81"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3EFA8" w14:textId="564DFF9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435</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7B040573" w14:textId="09536328"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Politécnica de Madrid</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64520110" w14:textId="5F0FAF7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España</w:t>
            </w:r>
          </w:p>
        </w:tc>
        <w:tc>
          <w:tcPr>
            <w:tcW w:w="748" w:type="dxa"/>
            <w:tcBorders>
              <w:top w:val="nil"/>
              <w:left w:val="nil"/>
              <w:bottom w:val="single" w:sz="4" w:space="0" w:color="auto"/>
              <w:right w:val="single" w:sz="4" w:space="0" w:color="auto"/>
            </w:tcBorders>
            <w:shd w:val="clear" w:color="auto" w:fill="auto"/>
            <w:noWrap/>
            <w:vAlign w:val="center"/>
          </w:tcPr>
          <w:p w14:paraId="38FFBF6B" w14:textId="77CAB84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26.5</w:t>
            </w:r>
          </w:p>
        </w:tc>
        <w:tc>
          <w:tcPr>
            <w:tcW w:w="1027" w:type="dxa"/>
            <w:tcBorders>
              <w:top w:val="nil"/>
              <w:left w:val="nil"/>
              <w:bottom w:val="single" w:sz="4" w:space="0" w:color="auto"/>
              <w:right w:val="single" w:sz="4" w:space="0" w:color="auto"/>
            </w:tcBorders>
            <w:shd w:val="clear" w:color="auto" w:fill="auto"/>
            <w:noWrap/>
            <w:vAlign w:val="center"/>
          </w:tcPr>
          <w:p w14:paraId="465F4855" w14:textId="370C4C0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27.6</w:t>
            </w:r>
          </w:p>
        </w:tc>
        <w:tc>
          <w:tcPr>
            <w:tcW w:w="1027" w:type="dxa"/>
            <w:tcBorders>
              <w:top w:val="nil"/>
              <w:left w:val="nil"/>
              <w:bottom w:val="single" w:sz="4" w:space="0" w:color="auto"/>
              <w:right w:val="single" w:sz="4" w:space="0" w:color="auto"/>
            </w:tcBorders>
            <w:shd w:val="clear" w:color="auto" w:fill="auto"/>
            <w:noWrap/>
            <w:vAlign w:val="center"/>
          </w:tcPr>
          <w:p w14:paraId="5066C443" w14:textId="6DCE0A2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61.2</w:t>
            </w:r>
          </w:p>
        </w:tc>
        <w:tc>
          <w:tcPr>
            <w:tcW w:w="1027" w:type="dxa"/>
            <w:tcBorders>
              <w:top w:val="nil"/>
              <w:left w:val="nil"/>
              <w:bottom w:val="single" w:sz="4" w:space="0" w:color="auto"/>
              <w:right w:val="single" w:sz="4" w:space="0" w:color="auto"/>
            </w:tcBorders>
            <w:shd w:val="clear" w:color="auto" w:fill="auto"/>
            <w:noWrap/>
            <w:vAlign w:val="center"/>
          </w:tcPr>
          <w:p w14:paraId="118420F3" w14:textId="146850F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23.9</w:t>
            </w:r>
          </w:p>
        </w:tc>
        <w:tc>
          <w:tcPr>
            <w:tcW w:w="1027" w:type="dxa"/>
            <w:tcBorders>
              <w:top w:val="nil"/>
              <w:left w:val="nil"/>
              <w:bottom w:val="single" w:sz="4" w:space="0" w:color="auto"/>
              <w:right w:val="single" w:sz="4" w:space="0" w:color="auto"/>
            </w:tcBorders>
            <w:shd w:val="clear" w:color="auto" w:fill="auto"/>
            <w:noWrap/>
            <w:vAlign w:val="center"/>
          </w:tcPr>
          <w:p w14:paraId="14F0BF41" w14:textId="00F5C7D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3.7</w:t>
            </w:r>
          </w:p>
        </w:tc>
        <w:tc>
          <w:tcPr>
            <w:tcW w:w="1027" w:type="dxa"/>
            <w:tcBorders>
              <w:top w:val="nil"/>
              <w:left w:val="nil"/>
              <w:bottom w:val="single" w:sz="4" w:space="0" w:color="auto"/>
              <w:right w:val="single" w:sz="4" w:space="0" w:color="auto"/>
            </w:tcBorders>
            <w:shd w:val="clear" w:color="auto" w:fill="auto"/>
            <w:noWrap/>
            <w:vAlign w:val="center"/>
          </w:tcPr>
          <w:p w14:paraId="72E5E432" w14:textId="7000C6A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34.8</w:t>
            </w:r>
          </w:p>
        </w:tc>
        <w:tc>
          <w:tcPr>
            <w:tcW w:w="1035" w:type="dxa"/>
            <w:tcBorders>
              <w:top w:val="nil"/>
              <w:left w:val="nil"/>
              <w:bottom w:val="single" w:sz="4" w:space="0" w:color="auto"/>
              <w:right w:val="single" w:sz="4" w:space="0" w:color="auto"/>
            </w:tcBorders>
            <w:shd w:val="clear" w:color="auto" w:fill="auto"/>
            <w:noWrap/>
            <w:vAlign w:val="center"/>
          </w:tcPr>
          <w:p w14:paraId="78704C38" w14:textId="68D26B1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12.7</w:t>
            </w:r>
          </w:p>
        </w:tc>
      </w:tr>
      <w:tr w:rsidR="00D135E6" w:rsidRPr="00ED5D46" w14:paraId="7E262E24"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33723E" w14:textId="6B63E03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438</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6B9397" w14:textId="719DB66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Belgrano</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1C09E093" w14:textId="4A6AB92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Argentina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41F91D47" w14:textId="7B4CCD4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26.3</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0CE4F746" w14:textId="4C6BEFA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6EF0109" w14:textId="63D622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A07907B" w14:textId="28FE13F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89.2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F3EB332" w14:textId="36514DB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36D7050" w14:textId="681E3A0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55.8</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87A7D50" w14:textId="6AA5A16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1.1</w:t>
            </w:r>
          </w:p>
        </w:tc>
      </w:tr>
      <w:tr w:rsidR="00D135E6" w:rsidRPr="00ED5D46" w14:paraId="48F744ED"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DB08" w14:textId="6F2E758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439</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19C5113E" w14:textId="645F1527"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Federal de Sao Paulo</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38333C3C" w14:textId="2EBB6F0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Brasil</w:t>
            </w:r>
          </w:p>
        </w:tc>
        <w:tc>
          <w:tcPr>
            <w:tcW w:w="748" w:type="dxa"/>
            <w:tcBorders>
              <w:top w:val="nil"/>
              <w:left w:val="nil"/>
              <w:bottom w:val="single" w:sz="4" w:space="0" w:color="auto"/>
              <w:right w:val="single" w:sz="4" w:space="0" w:color="auto"/>
            </w:tcBorders>
            <w:shd w:val="clear" w:color="auto" w:fill="auto"/>
            <w:noWrap/>
            <w:vAlign w:val="center"/>
          </w:tcPr>
          <w:p w14:paraId="209A92EE" w14:textId="679F550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26.2</w:t>
            </w:r>
          </w:p>
        </w:tc>
        <w:tc>
          <w:tcPr>
            <w:tcW w:w="1027" w:type="dxa"/>
            <w:tcBorders>
              <w:top w:val="nil"/>
              <w:left w:val="nil"/>
              <w:bottom w:val="single" w:sz="4" w:space="0" w:color="auto"/>
              <w:right w:val="single" w:sz="4" w:space="0" w:color="auto"/>
            </w:tcBorders>
            <w:shd w:val="clear" w:color="auto" w:fill="auto"/>
            <w:noWrap/>
            <w:vAlign w:val="center"/>
          </w:tcPr>
          <w:p w14:paraId="650372B9" w14:textId="668DE68D"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11.7</w:t>
            </w:r>
          </w:p>
        </w:tc>
        <w:tc>
          <w:tcPr>
            <w:tcW w:w="1027" w:type="dxa"/>
            <w:tcBorders>
              <w:top w:val="nil"/>
              <w:left w:val="nil"/>
              <w:bottom w:val="single" w:sz="4" w:space="0" w:color="auto"/>
              <w:right w:val="single" w:sz="4" w:space="0" w:color="auto"/>
            </w:tcBorders>
            <w:shd w:val="clear" w:color="auto" w:fill="auto"/>
            <w:noWrap/>
            <w:vAlign w:val="center"/>
          </w:tcPr>
          <w:p w14:paraId="5055213C" w14:textId="6CD2967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5.1</w:t>
            </w:r>
          </w:p>
        </w:tc>
        <w:tc>
          <w:tcPr>
            <w:tcW w:w="1027" w:type="dxa"/>
            <w:tcBorders>
              <w:top w:val="nil"/>
              <w:left w:val="nil"/>
              <w:bottom w:val="single" w:sz="4" w:space="0" w:color="auto"/>
              <w:right w:val="single" w:sz="4" w:space="0" w:color="auto"/>
            </w:tcBorders>
            <w:shd w:val="clear" w:color="auto" w:fill="auto"/>
            <w:noWrap/>
            <w:vAlign w:val="center"/>
          </w:tcPr>
          <w:p w14:paraId="6CE8E890" w14:textId="65E3855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93</w:t>
            </w:r>
          </w:p>
        </w:tc>
        <w:tc>
          <w:tcPr>
            <w:tcW w:w="1027" w:type="dxa"/>
            <w:tcBorders>
              <w:top w:val="nil"/>
              <w:left w:val="nil"/>
              <w:bottom w:val="single" w:sz="4" w:space="0" w:color="auto"/>
              <w:right w:val="single" w:sz="4" w:space="0" w:color="auto"/>
            </w:tcBorders>
            <w:shd w:val="clear" w:color="auto" w:fill="auto"/>
            <w:noWrap/>
            <w:vAlign w:val="center"/>
          </w:tcPr>
          <w:p w14:paraId="3E2EE07D" w14:textId="647F04F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5.5</w:t>
            </w:r>
          </w:p>
        </w:tc>
        <w:tc>
          <w:tcPr>
            <w:tcW w:w="1027" w:type="dxa"/>
            <w:tcBorders>
              <w:top w:val="nil"/>
              <w:left w:val="nil"/>
              <w:bottom w:val="single" w:sz="4" w:space="0" w:color="auto"/>
              <w:right w:val="single" w:sz="4" w:space="0" w:color="auto"/>
            </w:tcBorders>
            <w:shd w:val="clear" w:color="auto" w:fill="auto"/>
            <w:noWrap/>
            <w:vAlign w:val="center"/>
          </w:tcPr>
          <w:p w14:paraId="2766DEC6" w14:textId="77ED5D1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w:t>
            </w:r>
          </w:p>
        </w:tc>
        <w:tc>
          <w:tcPr>
            <w:tcW w:w="1035" w:type="dxa"/>
            <w:tcBorders>
              <w:top w:val="nil"/>
              <w:left w:val="nil"/>
              <w:bottom w:val="single" w:sz="4" w:space="0" w:color="auto"/>
              <w:right w:val="single" w:sz="4" w:space="0" w:color="auto"/>
            </w:tcBorders>
            <w:shd w:val="clear" w:color="auto" w:fill="auto"/>
            <w:noWrap/>
            <w:vAlign w:val="center"/>
          </w:tcPr>
          <w:p w14:paraId="307D10B9" w14:textId="6818A5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10</w:t>
            </w:r>
          </w:p>
        </w:tc>
      </w:tr>
      <w:tr w:rsidR="00D135E6" w:rsidRPr="00ED5D46" w14:paraId="719D8A49"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1A104B" w14:textId="1499B15A"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468</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1C0905" w14:textId="67357DB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Pontificia Universidad Javeriana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3B92E540" w14:textId="0A23F1C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Colombia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0D719953" w14:textId="1FFE35A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A13CD28" w14:textId="765D3EE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34</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4B266BA" w14:textId="7242173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70.6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0B1BB654" w14:textId="6C80FB3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12E764E" w14:textId="2B33027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6.5</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E7D543F" w14:textId="5EF17434"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915BA6C" w14:textId="7003CFD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w:t>
            </w:r>
          </w:p>
        </w:tc>
      </w:tr>
      <w:tr w:rsidR="00D135E6" w:rsidRPr="00ED5D46" w14:paraId="5506475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A631E" w14:textId="5D49935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474</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43CF168B" w14:textId="6AA58262"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Pontificia Universidad Católica del Perú</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7AA0AE6E" w14:textId="6A87E26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Perú</w:t>
            </w:r>
          </w:p>
        </w:tc>
        <w:tc>
          <w:tcPr>
            <w:tcW w:w="748" w:type="dxa"/>
            <w:tcBorders>
              <w:top w:val="nil"/>
              <w:left w:val="nil"/>
              <w:bottom w:val="single" w:sz="4" w:space="0" w:color="auto"/>
              <w:right w:val="single" w:sz="4" w:space="0" w:color="auto"/>
            </w:tcBorders>
            <w:shd w:val="clear" w:color="auto" w:fill="auto"/>
            <w:noWrap/>
            <w:vAlign w:val="center"/>
          </w:tcPr>
          <w:p w14:paraId="0150AD4C" w14:textId="7A04C24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25</w:t>
            </w:r>
          </w:p>
        </w:tc>
        <w:tc>
          <w:tcPr>
            <w:tcW w:w="1027" w:type="dxa"/>
            <w:tcBorders>
              <w:top w:val="nil"/>
              <w:left w:val="nil"/>
              <w:bottom w:val="single" w:sz="4" w:space="0" w:color="auto"/>
              <w:right w:val="single" w:sz="4" w:space="0" w:color="auto"/>
            </w:tcBorders>
            <w:shd w:val="clear" w:color="auto" w:fill="auto"/>
            <w:noWrap/>
            <w:vAlign w:val="center"/>
          </w:tcPr>
          <w:p w14:paraId="0F14EF7D" w14:textId="239F427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36.5</w:t>
            </w:r>
          </w:p>
        </w:tc>
        <w:tc>
          <w:tcPr>
            <w:tcW w:w="1027" w:type="dxa"/>
            <w:tcBorders>
              <w:top w:val="nil"/>
              <w:left w:val="nil"/>
              <w:bottom w:val="single" w:sz="4" w:space="0" w:color="auto"/>
              <w:right w:val="single" w:sz="4" w:space="0" w:color="auto"/>
            </w:tcBorders>
            <w:shd w:val="clear" w:color="auto" w:fill="auto"/>
            <w:noWrap/>
            <w:vAlign w:val="center"/>
          </w:tcPr>
          <w:p w14:paraId="31344EB3" w14:textId="2FC4B8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56.3</w:t>
            </w:r>
          </w:p>
        </w:tc>
        <w:tc>
          <w:tcPr>
            <w:tcW w:w="1027" w:type="dxa"/>
            <w:tcBorders>
              <w:top w:val="nil"/>
              <w:left w:val="nil"/>
              <w:bottom w:val="single" w:sz="4" w:space="0" w:color="auto"/>
              <w:right w:val="single" w:sz="4" w:space="0" w:color="auto"/>
            </w:tcBorders>
            <w:shd w:val="clear" w:color="auto" w:fill="auto"/>
            <w:noWrap/>
            <w:vAlign w:val="center"/>
          </w:tcPr>
          <w:p w14:paraId="3EBC0886" w14:textId="28EE881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19.2</w:t>
            </w:r>
          </w:p>
        </w:tc>
        <w:tc>
          <w:tcPr>
            <w:tcW w:w="1027" w:type="dxa"/>
            <w:tcBorders>
              <w:top w:val="nil"/>
              <w:left w:val="nil"/>
              <w:bottom w:val="single" w:sz="4" w:space="0" w:color="auto"/>
              <w:right w:val="single" w:sz="4" w:space="0" w:color="auto"/>
            </w:tcBorders>
            <w:shd w:val="clear" w:color="auto" w:fill="auto"/>
            <w:noWrap/>
            <w:vAlign w:val="center"/>
          </w:tcPr>
          <w:p w14:paraId="4E9FD68E" w14:textId="61E7A4C2"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w:t>
            </w:r>
          </w:p>
        </w:tc>
        <w:tc>
          <w:tcPr>
            <w:tcW w:w="1027" w:type="dxa"/>
            <w:tcBorders>
              <w:top w:val="nil"/>
              <w:left w:val="nil"/>
              <w:bottom w:val="single" w:sz="4" w:space="0" w:color="auto"/>
              <w:right w:val="single" w:sz="4" w:space="0" w:color="auto"/>
            </w:tcBorders>
            <w:shd w:val="clear" w:color="auto" w:fill="auto"/>
            <w:noWrap/>
            <w:vAlign w:val="center"/>
          </w:tcPr>
          <w:p w14:paraId="64F6EDE2" w14:textId="0EA88E7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2.3</w:t>
            </w:r>
          </w:p>
        </w:tc>
        <w:tc>
          <w:tcPr>
            <w:tcW w:w="1035" w:type="dxa"/>
            <w:tcBorders>
              <w:top w:val="nil"/>
              <w:left w:val="nil"/>
              <w:bottom w:val="single" w:sz="4" w:space="0" w:color="auto"/>
              <w:right w:val="single" w:sz="4" w:space="0" w:color="auto"/>
            </w:tcBorders>
            <w:shd w:val="clear" w:color="auto" w:fill="auto"/>
            <w:noWrap/>
            <w:vAlign w:val="center"/>
          </w:tcPr>
          <w:p w14:paraId="7010F14F" w14:textId="736EBCA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1.7</w:t>
            </w:r>
          </w:p>
        </w:tc>
      </w:tr>
      <w:tr w:rsidR="00D135E6" w:rsidRPr="00ED5D46" w14:paraId="45AA050A"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F86BC0" w14:textId="7A4846C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480</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EC3803" w14:textId="41D13BA8"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Externado de Colombia</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3D2DAFA5" w14:textId="12EA686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Colombia</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1CB81DCB" w14:textId="45B354F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24.7</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5E5BA7D8" w14:textId="0BCF47A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7D430506" w14:textId="29FC5C7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0F24A52D" w14:textId="5173D45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79.8</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0BE17BB4" w14:textId="63A5CD4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16.9</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4535F63" w14:textId="6AC19F3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D7F3F3D" w14:textId="2106138B"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w:t>
            </w:r>
          </w:p>
        </w:tc>
      </w:tr>
      <w:tr w:rsidR="00D135E6" w:rsidRPr="00ED5D46" w14:paraId="03590D6E"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1B484" w14:textId="01287A11"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482</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4F9715D4" w14:textId="08DF84FE"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Estatal Paulista</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722D32BD" w14:textId="01FDBB3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Brasil</w:t>
            </w:r>
          </w:p>
        </w:tc>
        <w:tc>
          <w:tcPr>
            <w:tcW w:w="748" w:type="dxa"/>
            <w:tcBorders>
              <w:top w:val="nil"/>
              <w:left w:val="nil"/>
              <w:bottom w:val="single" w:sz="4" w:space="0" w:color="auto"/>
              <w:right w:val="single" w:sz="4" w:space="0" w:color="auto"/>
            </w:tcBorders>
            <w:shd w:val="clear" w:color="auto" w:fill="auto"/>
            <w:noWrap/>
            <w:vAlign w:val="center"/>
          </w:tcPr>
          <w:p w14:paraId="4B007CDD" w14:textId="7E0357F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24.6</w:t>
            </w:r>
          </w:p>
        </w:tc>
        <w:tc>
          <w:tcPr>
            <w:tcW w:w="1027" w:type="dxa"/>
            <w:tcBorders>
              <w:top w:val="nil"/>
              <w:left w:val="nil"/>
              <w:bottom w:val="single" w:sz="4" w:space="0" w:color="auto"/>
              <w:right w:val="single" w:sz="4" w:space="0" w:color="auto"/>
            </w:tcBorders>
            <w:shd w:val="clear" w:color="auto" w:fill="auto"/>
            <w:noWrap/>
            <w:vAlign w:val="center"/>
          </w:tcPr>
          <w:p w14:paraId="6CC2FC08" w14:textId="6152D5B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31.2</w:t>
            </w:r>
          </w:p>
        </w:tc>
        <w:tc>
          <w:tcPr>
            <w:tcW w:w="1027" w:type="dxa"/>
            <w:tcBorders>
              <w:top w:val="nil"/>
              <w:left w:val="nil"/>
              <w:bottom w:val="single" w:sz="4" w:space="0" w:color="auto"/>
              <w:right w:val="single" w:sz="4" w:space="0" w:color="auto"/>
            </w:tcBorders>
            <w:shd w:val="clear" w:color="auto" w:fill="auto"/>
            <w:noWrap/>
            <w:vAlign w:val="center"/>
          </w:tcPr>
          <w:p w14:paraId="0F4B9F44" w14:textId="41DED0E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15.5</w:t>
            </w:r>
          </w:p>
        </w:tc>
        <w:tc>
          <w:tcPr>
            <w:tcW w:w="1027" w:type="dxa"/>
            <w:tcBorders>
              <w:top w:val="nil"/>
              <w:left w:val="nil"/>
              <w:bottom w:val="single" w:sz="4" w:space="0" w:color="auto"/>
              <w:right w:val="single" w:sz="4" w:space="0" w:color="auto"/>
            </w:tcBorders>
            <w:shd w:val="clear" w:color="auto" w:fill="auto"/>
            <w:noWrap/>
            <w:vAlign w:val="center"/>
          </w:tcPr>
          <w:p w14:paraId="6329BDF5" w14:textId="1C0244C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35.5</w:t>
            </w:r>
          </w:p>
        </w:tc>
        <w:tc>
          <w:tcPr>
            <w:tcW w:w="1027" w:type="dxa"/>
            <w:tcBorders>
              <w:top w:val="nil"/>
              <w:left w:val="nil"/>
              <w:bottom w:val="single" w:sz="4" w:space="0" w:color="auto"/>
              <w:right w:val="single" w:sz="4" w:space="0" w:color="auto"/>
            </w:tcBorders>
            <w:shd w:val="clear" w:color="auto" w:fill="auto"/>
            <w:noWrap/>
            <w:vAlign w:val="center"/>
          </w:tcPr>
          <w:p w14:paraId="53693A11" w14:textId="1E156BF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5.9</w:t>
            </w:r>
          </w:p>
        </w:tc>
        <w:tc>
          <w:tcPr>
            <w:tcW w:w="1027" w:type="dxa"/>
            <w:tcBorders>
              <w:top w:val="nil"/>
              <w:left w:val="nil"/>
              <w:bottom w:val="single" w:sz="4" w:space="0" w:color="auto"/>
              <w:right w:val="single" w:sz="4" w:space="0" w:color="auto"/>
            </w:tcBorders>
            <w:shd w:val="clear" w:color="auto" w:fill="auto"/>
            <w:noWrap/>
            <w:vAlign w:val="center"/>
          </w:tcPr>
          <w:p w14:paraId="06E584C2" w14:textId="36DBF59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2.2</w:t>
            </w:r>
          </w:p>
        </w:tc>
        <w:tc>
          <w:tcPr>
            <w:tcW w:w="1035" w:type="dxa"/>
            <w:tcBorders>
              <w:top w:val="nil"/>
              <w:left w:val="nil"/>
              <w:bottom w:val="single" w:sz="4" w:space="0" w:color="auto"/>
              <w:right w:val="single" w:sz="4" w:space="0" w:color="auto"/>
            </w:tcBorders>
            <w:shd w:val="clear" w:color="auto" w:fill="auto"/>
            <w:noWrap/>
            <w:vAlign w:val="center"/>
          </w:tcPr>
          <w:p w14:paraId="2E22AD24" w14:textId="2F697C4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14.7</w:t>
            </w:r>
          </w:p>
        </w:tc>
      </w:tr>
      <w:tr w:rsidR="00D135E6" w:rsidRPr="00ED5D46" w14:paraId="7BF25133"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64F627" w14:textId="7CD22C4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489</w:t>
            </w:r>
          </w:p>
        </w:tc>
        <w:tc>
          <w:tcPr>
            <w:tcW w:w="33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43EAB1" w14:textId="58805C3A"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Santiago de Chile</w:t>
            </w:r>
          </w:p>
        </w:tc>
        <w:tc>
          <w:tcPr>
            <w:tcW w:w="791" w:type="dxa"/>
            <w:tcBorders>
              <w:top w:val="nil"/>
              <w:left w:val="single" w:sz="4" w:space="0" w:color="auto"/>
              <w:bottom w:val="single" w:sz="4" w:space="0" w:color="auto"/>
              <w:right w:val="single" w:sz="4" w:space="0" w:color="auto"/>
            </w:tcBorders>
            <w:shd w:val="clear" w:color="auto" w:fill="E7E6E6" w:themeFill="background2"/>
            <w:noWrap/>
            <w:vAlign w:val="center"/>
          </w:tcPr>
          <w:p w14:paraId="6E8F6ECD" w14:textId="11F837C7"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Chile</w:t>
            </w:r>
          </w:p>
        </w:tc>
        <w:tc>
          <w:tcPr>
            <w:tcW w:w="748" w:type="dxa"/>
            <w:tcBorders>
              <w:top w:val="nil"/>
              <w:left w:val="nil"/>
              <w:bottom w:val="single" w:sz="4" w:space="0" w:color="auto"/>
              <w:right w:val="single" w:sz="4" w:space="0" w:color="auto"/>
            </w:tcBorders>
            <w:shd w:val="clear" w:color="auto" w:fill="E7E6E6" w:themeFill="background2"/>
            <w:noWrap/>
            <w:vAlign w:val="center"/>
          </w:tcPr>
          <w:p w14:paraId="0F9A9AE6" w14:textId="7A8083D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24.4</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393516BD" w14:textId="2F4EB1F0"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35.6</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44B61871" w14:textId="790D0E2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60.2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18D48158" w14:textId="04E45FA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13.1</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2B72BBBA" w14:textId="48359AB3"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8.2</w:t>
            </w:r>
          </w:p>
        </w:tc>
        <w:tc>
          <w:tcPr>
            <w:tcW w:w="1027" w:type="dxa"/>
            <w:tcBorders>
              <w:top w:val="nil"/>
              <w:left w:val="nil"/>
              <w:bottom w:val="single" w:sz="4" w:space="0" w:color="auto"/>
              <w:right w:val="single" w:sz="4" w:space="0" w:color="auto"/>
            </w:tcBorders>
            <w:shd w:val="clear" w:color="auto" w:fill="E7E6E6" w:themeFill="background2"/>
            <w:noWrap/>
            <w:vAlign w:val="center"/>
          </w:tcPr>
          <w:p w14:paraId="6B988F3B" w14:textId="4B7C9E7E"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6BBC145" w14:textId="06D91CF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4.7</w:t>
            </w:r>
          </w:p>
        </w:tc>
      </w:tr>
      <w:tr w:rsidR="00D135E6" w:rsidRPr="00ED5D46" w14:paraId="198660CC" w14:textId="77777777" w:rsidTr="00D135E6">
        <w:trPr>
          <w:gridAfter w:val="1"/>
          <w:wAfter w:w="23" w:type="dxa"/>
          <w:trHeight w:val="25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20944" w14:textId="52391DB9"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491</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26CA335F" w14:textId="743634EB" w:rsidR="00D135E6" w:rsidRPr="00ED5D46" w:rsidRDefault="00D135E6" w:rsidP="00D135E6">
            <w:pPr>
              <w:spacing w:after="0" w:line="240" w:lineRule="auto"/>
              <w:rPr>
                <w:rFonts w:eastAsia="Times New Roman" w:cstheme="minorHAnsi"/>
                <w:color w:val="000000"/>
                <w:sz w:val="16"/>
                <w:szCs w:val="16"/>
                <w:lang w:eastAsia="es-MX"/>
              </w:rPr>
            </w:pPr>
            <w:r w:rsidRPr="00ED5D46">
              <w:rPr>
                <w:rFonts w:cstheme="minorHAnsi"/>
                <w:color w:val="000000"/>
                <w:sz w:val="16"/>
                <w:szCs w:val="16"/>
              </w:rPr>
              <w:t>Universidad de Montevideo</w:t>
            </w:r>
          </w:p>
        </w:tc>
        <w:tc>
          <w:tcPr>
            <w:tcW w:w="791" w:type="dxa"/>
            <w:tcBorders>
              <w:top w:val="nil"/>
              <w:left w:val="single" w:sz="4" w:space="0" w:color="auto"/>
              <w:bottom w:val="single" w:sz="4" w:space="0" w:color="auto"/>
              <w:right w:val="single" w:sz="4" w:space="0" w:color="auto"/>
            </w:tcBorders>
            <w:shd w:val="clear" w:color="auto" w:fill="auto"/>
            <w:noWrap/>
            <w:vAlign w:val="center"/>
          </w:tcPr>
          <w:p w14:paraId="362189CC" w14:textId="5E991F1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Uruguay</w:t>
            </w:r>
          </w:p>
        </w:tc>
        <w:tc>
          <w:tcPr>
            <w:tcW w:w="748" w:type="dxa"/>
            <w:tcBorders>
              <w:top w:val="nil"/>
              <w:left w:val="nil"/>
              <w:bottom w:val="single" w:sz="4" w:space="0" w:color="auto"/>
              <w:right w:val="single" w:sz="4" w:space="0" w:color="auto"/>
            </w:tcBorders>
            <w:shd w:val="clear" w:color="auto" w:fill="auto"/>
            <w:noWrap/>
            <w:vAlign w:val="center"/>
          </w:tcPr>
          <w:p w14:paraId="3FB0191F" w14:textId="334AC226"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24.3</w:t>
            </w:r>
          </w:p>
        </w:tc>
        <w:tc>
          <w:tcPr>
            <w:tcW w:w="1027" w:type="dxa"/>
            <w:tcBorders>
              <w:top w:val="nil"/>
              <w:left w:val="nil"/>
              <w:bottom w:val="single" w:sz="4" w:space="0" w:color="auto"/>
              <w:right w:val="single" w:sz="4" w:space="0" w:color="auto"/>
            </w:tcBorders>
            <w:shd w:val="clear" w:color="auto" w:fill="auto"/>
            <w:noWrap/>
            <w:vAlign w:val="center"/>
          </w:tcPr>
          <w:p w14:paraId="61C09513" w14:textId="5606EAE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13.4</w:t>
            </w:r>
          </w:p>
        </w:tc>
        <w:tc>
          <w:tcPr>
            <w:tcW w:w="1027" w:type="dxa"/>
            <w:tcBorders>
              <w:top w:val="nil"/>
              <w:left w:val="nil"/>
              <w:bottom w:val="single" w:sz="4" w:space="0" w:color="auto"/>
              <w:right w:val="single" w:sz="4" w:space="0" w:color="auto"/>
            </w:tcBorders>
            <w:shd w:val="clear" w:color="auto" w:fill="auto"/>
            <w:noWrap/>
            <w:vAlign w:val="center"/>
          </w:tcPr>
          <w:p w14:paraId="3423D970" w14:textId="626E2AC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17.3</w:t>
            </w:r>
          </w:p>
        </w:tc>
        <w:tc>
          <w:tcPr>
            <w:tcW w:w="1027" w:type="dxa"/>
            <w:tcBorders>
              <w:top w:val="nil"/>
              <w:left w:val="nil"/>
              <w:bottom w:val="single" w:sz="4" w:space="0" w:color="auto"/>
              <w:right w:val="single" w:sz="4" w:space="0" w:color="auto"/>
            </w:tcBorders>
            <w:shd w:val="clear" w:color="auto" w:fill="auto"/>
            <w:noWrap/>
            <w:vAlign w:val="center"/>
          </w:tcPr>
          <w:p w14:paraId="5E5967DD" w14:textId="376C2175"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79.1</w:t>
            </w:r>
          </w:p>
        </w:tc>
        <w:tc>
          <w:tcPr>
            <w:tcW w:w="1027" w:type="dxa"/>
            <w:tcBorders>
              <w:top w:val="nil"/>
              <w:left w:val="nil"/>
              <w:bottom w:val="single" w:sz="4" w:space="0" w:color="auto"/>
              <w:right w:val="single" w:sz="4" w:space="0" w:color="auto"/>
            </w:tcBorders>
            <w:shd w:val="clear" w:color="auto" w:fill="auto"/>
            <w:noWrap/>
            <w:vAlign w:val="center"/>
          </w:tcPr>
          <w:p w14:paraId="26F282BF" w14:textId="4A4C676F"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18.1</w:t>
            </w:r>
          </w:p>
        </w:tc>
        <w:tc>
          <w:tcPr>
            <w:tcW w:w="1027" w:type="dxa"/>
            <w:tcBorders>
              <w:top w:val="nil"/>
              <w:left w:val="nil"/>
              <w:bottom w:val="single" w:sz="4" w:space="0" w:color="auto"/>
              <w:right w:val="single" w:sz="4" w:space="0" w:color="auto"/>
            </w:tcBorders>
            <w:shd w:val="clear" w:color="auto" w:fill="auto"/>
            <w:noWrap/>
            <w:vAlign w:val="center"/>
          </w:tcPr>
          <w:p w14:paraId="408E9DB9" w14:textId="7028F6AC"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3.7</w:t>
            </w:r>
          </w:p>
        </w:tc>
        <w:tc>
          <w:tcPr>
            <w:tcW w:w="1035" w:type="dxa"/>
            <w:tcBorders>
              <w:top w:val="nil"/>
              <w:left w:val="nil"/>
              <w:bottom w:val="single" w:sz="4" w:space="0" w:color="auto"/>
              <w:right w:val="single" w:sz="4" w:space="0" w:color="auto"/>
            </w:tcBorders>
            <w:shd w:val="clear" w:color="auto" w:fill="auto"/>
            <w:noWrap/>
            <w:vAlign w:val="center"/>
          </w:tcPr>
          <w:p w14:paraId="3A458EDC" w14:textId="6E8C0D28" w:rsidR="00D135E6" w:rsidRPr="00ED5D46" w:rsidRDefault="00D135E6" w:rsidP="00D135E6">
            <w:pPr>
              <w:spacing w:after="0" w:line="240" w:lineRule="auto"/>
              <w:jc w:val="center"/>
              <w:rPr>
                <w:rFonts w:eastAsia="Times New Roman" w:cstheme="minorHAnsi"/>
                <w:color w:val="000000"/>
                <w:sz w:val="16"/>
                <w:szCs w:val="16"/>
                <w:lang w:eastAsia="es-MX"/>
              </w:rPr>
            </w:pPr>
            <w:r w:rsidRPr="00ED5D46">
              <w:rPr>
                <w:rFonts w:cstheme="minorHAnsi"/>
                <w:color w:val="000000"/>
                <w:sz w:val="16"/>
                <w:szCs w:val="16"/>
              </w:rPr>
              <w:t>1.3</w:t>
            </w:r>
          </w:p>
        </w:tc>
      </w:tr>
      <w:tr w:rsidR="00D135E6" w:rsidRPr="00ED5D46" w14:paraId="22639021" w14:textId="77777777" w:rsidTr="00D135E6">
        <w:trPr>
          <w:trHeight w:val="258"/>
          <w:jc w:val="center"/>
        </w:trPr>
        <w:tc>
          <w:tcPr>
            <w:tcW w:w="11827" w:type="dxa"/>
            <w:gridSpan w:val="11"/>
            <w:tcBorders>
              <w:top w:val="single" w:sz="4" w:space="0" w:color="auto"/>
            </w:tcBorders>
            <w:shd w:val="clear" w:color="auto" w:fill="FFFFFF" w:themeFill="background1"/>
            <w:noWrap/>
            <w:vAlign w:val="center"/>
          </w:tcPr>
          <w:p w14:paraId="7673D276" w14:textId="6EE0E330" w:rsidR="00D135E6" w:rsidRPr="00ED5D46" w:rsidRDefault="00D135E6" w:rsidP="00D135E6">
            <w:pPr>
              <w:spacing w:after="0" w:line="240" w:lineRule="auto"/>
              <w:rPr>
                <w:rFonts w:ascii="Calibri" w:eastAsia="Times New Roman" w:hAnsi="Calibri" w:cs="Calibri"/>
                <w:color w:val="000000"/>
                <w:sz w:val="14"/>
                <w:szCs w:val="14"/>
                <w:lang w:eastAsia="es-MX"/>
              </w:rPr>
            </w:pPr>
            <w:r w:rsidRPr="00ED5D46">
              <w:rPr>
                <w:rFonts w:ascii="Calibri" w:eastAsia="Times New Roman" w:hAnsi="Calibri" w:cs="Calibri"/>
                <w:b/>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ranking mundial de universidades, 2020.</w:t>
            </w:r>
          </w:p>
          <w:p w14:paraId="52A4392A" w14:textId="5D3906E3" w:rsidR="00D135E6" w:rsidRPr="00ED5D46" w:rsidRDefault="00D135E6" w:rsidP="00D135E6">
            <w:pPr>
              <w:spacing w:after="0" w:line="240" w:lineRule="auto"/>
              <w:rPr>
                <w:rFonts w:ascii="Calibri" w:eastAsia="Times New Roman" w:hAnsi="Calibri" w:cs="Calibri"/>
                <w:color w:val="000000"/>
                <w:sz w:val="14"/>
                <w:szCs w:val="14"/>
                <w:lang w:eastAsia="es-MX"/>
              </w:rPr>
            </w:pPr>
            <w:r w:rsidRPr="00ED5D46">
              <w:rPr>
                <w:rFonts w:ascii="Calibri" w:eastAsia="Times New Roman" w:hAnsi="Calibri" w:cs="Calibri"/>
                <w:b/>
                <w:color w:val="000000"/>
                <w:sz w:val="14"/>
                <w:szCs w:val="14"/>
                <w:lang w:eastAsia="es-MX"/>
              </w:rPr>
              <w:t xml:space="preserve">Nota: </w:t>
            </w:r>
            <w:r w:rsidRPr="00ED5D46">
              <w:rPr>
                <w:rFonts w:ascii="Calibri" w:eastAsia="Times New Roman" w:hAnsi="Calibri" w:cs="Calibri"/>
                <w:color w:val="000000"/>
                <w:sz w:val="14"/>
                <w:szCs w:val="14"/>
                <w:lang w:eastAsia="es-MX"/>
              </w:rPr>
              <w:t>Ordenado conforme a la posición obtenida en 2020 y el nombre de la institución.</w:t>
            </w:r>
          </w:p>
          <w:p w14:paraId="0E27A7F8" w14:textId="3B71EC50" w:rsidR="00D135E6" w:rsidRPr="00ED5D46" w:rsidRDefault="00D135E6" w:rsidP="00D135E6">
            <w:pPr>
              <w:spacing w:after="0" w:line="240" w:lineRule="auto"/>
              <w:rPr>
                <w:rFonts w:eastAsia="Times New Roman" w:cs="Times New Roman"/>
                <w:color w:val="000000"/>
                <w:sz w:val="18"/>
                <w:szCs w:val="18"/>
                <w:lang w:eastAsia="es-MX"/>
              </w:rPr>
            </w:pPr>
            <w:r w:rsidRPr="00ED5D46">
              <w:rPr>
                <w:rFonts w:ascii="Calibri" w:eastAsia="Times New Roman" w:hAnsi="Calibri" w:cs="Calibri"/>
                <w:b/>
                <w:color w:val="000000"/>
                <w:sz w:val="14"/>
                <w:szCs w:val="14"/>
                <w:lang w:eastAsia="es-MX"/>
              </w:rPr>
              <w:t>N/D:</w:t>
            </w:r>
            <w:r w:rsidRPr="00ED5D46">
              <w:rPr>
                <w:rFonts w:ascii="Calibri" w:eastAsia="Times New Roman" w:hAnsi="Calibri" w:cs="Calibri"/>
                <w:color w:val="000000"/>
                <w:sz w:val="14"/>
                <w:szCs w:val="14"/>
                <w:lang w:eastAsia="es-MX"/>
              </w:rPr>
              <w:t xml:space="preserve"> Información no disponible.</w:t>
            </w:r>
          </w:p>
        </w:tc>
      </w:tr>
    </w:tbl>
    <w:p w14:paraId="4ABCE030" w14:textId="77777777" w:rsidR="00CF5D11" w:rsidRPr="00334D96" w:rsidRDefault="00CF5D11" w:rsidP="00CD645D">
      <w:pPr>
        <w:pStyle w:val="Prrafodelista"/>
        <w:spacing w:after="0" w:line="240" w:lineRule="auto"/>
        <w:jc w:val="both"/>
        <w:rPr>
          <w:b/>
          <w:sz w:val="8"/>
        </w:rPr>
      </w:pPr>
    </w:p>
    <w:p w14:paraId="11BE407E" w14:textId="369A89AC" w:rsidR="00CF5D11" w:rsidRPr="00ED5D46" w:rsidRDefault="00CF5D11" w:rsidP="00CD645D">
      <w:pPr>
        <w:pStyle w:val="Prrafodelista"/>
        <w:spacing w:after="0" w:line="240" w:lineRule="auto"/>
        <w:jc w:val="both"/>
        <w:rPr>
          <w:b/>
          <w:sz w:val="24"/>
        </w:rPr>
      </w:pPr>
      <w:r w:rsidRPr="00ED5D46">
        <w:rPr>
          <w:b/>
          <w:sz w:val="24"/>
        </w:rPr>
        <w:t>Universidades Mexicanas</w:t>
      </w:r>
    </w:p>
    <w:p w14:paraId="50833268" w14:textId="6BFE2FD9" w:rsidR="00621566" w:rsidRPr="00ED5D46" w:rsidRDefault="00CA04D8" w:rsidP="00334D96">
      <w:pPr>
        <w:pStyle w:val="Prrafodelista"/>
        <w:numPr>
          <w:ilvl w:val="0"/>
          <w:numId w:val="1"/>
        </w:numPr>
        <w:spacing w:after="0" w:line="240" w:lineRule="auto"/>
        <w:ind w:left="708"/>
        <w:jc w:val="both"/>
        <w:rPr>
          <w:sz w:val="24"/>
        </w:rPr>
      </w:pPr>
      <w:r w:rsidRPr="00ED5D46">
        <w:rPr>
          <w:sz w:val="24"/>
        </w:rPr>
        <w:t xml:space="preserve">En el QS ranking mundial se clasificaron </w:t>
      </w:r>
      <w:r w:rsidR="00FC5858" w:rsidRPr="00ED5D46">
        <w:rPr>
          <w:sz w:val="24"/>
        </w:rPr>
        <w:t>1</w:t>
      </w:r>
      <w:r w:rsidR="00976FA2" w:rsidRPr="00ED5D46">
        <w:rPr>
          <w:sz w:val="24"/>
        </w:rPr>
        <w:t>3</w:t>
      </w:r>
      <w:r w:rsidR="003F525C" w:rsidRPr="00ED5D46">
        <w:rPr>
          <w:sz w:val="24"/>
        </w:rPr>
        <w:t xml:space="preserve"> </w:t>
      </w:r>
      <w:r w:rsidR="00DF7B91" w:rsidRPr="00ED5D46">
        <w:rPr>
          <w:sz w:val="24"/>
        </w:rPr>
        <w:t>universidades mexicanas</w:t>
      </w:r>
      <w:r w:rsidR="00CF5D11" w:rsidRPr="00ED5D46">
        <w:rPr>
          <w:sz w:val="24"/>
        </w:rPr>
        <w:t>:</w:t>
      </w:r>
      <w:r w:rsidR="00621566" w:rsidRPr="00ED5D46">
        <w:rPr>
          <w:sz w:val="24"/>
        </w:rPr>
        <w:t xml:space="preserve"> </w:t>
      </w:r>
    </w:p>
    <w:p w14:paraId="64C3C84C" w14:textId="11AF16A1" w:rsidR="00621566" w:rsidRPr="00ED5D46" w:rsidRDefault="00976FA2" w:rsidP="00334D96">
      <w:pPr>
        <w:pStyle w:val="Prrafodelista"/>
        <w:numPr>
          <w:ilvl w:val="1"/>
          <w:numId w:val="1"/>
        </w:numPr>
        <w:spacing w:after="0" w:line="240" w:lineRule="auto"/>
        <w:jc w:val="both"/>
        <w:rPr>
          <w:sz w:val="24"/>
        </w:rPr>
      </w:pPr>
      <w:r w:rsidRPr="00ED5D46">
        <w:rPr>
          <w:sz w:val="24"/>
        </w:rPr>
        <w:t xml:space="preserve">LA UNAM </w:t>
      </w:r>
      <w:r w:rsidR="00334D96">
        <w:rPr>
          <w:sz w:val="24"/>
        </w:rPr>
        <w:t xml:space="preserve">en el lugar 103 </w:t>
      </w:r>
      <w:r w:rsidRPr="00ED5D46">
        <w:rPr>
          <w:sz w:val="24"/>
        </w:rPr>
        <w:t>es la mejor universidad del país,</w:t>
      </w:r>
      <w:r w:rsidR="00621566" w:rsidRPr="00ED5D46">
        <w:rPr>
          <w:sz w:val="24"/>
        </w:rPr>
        <w:t xml:space="preserve"> </w:t>
      </w:r>
      <w:r w:rsidRPr="00ED5D46">
        <w:rPr>
          <w:sz w:val="24"/>
        </w:rPr>
        <w:t xml:space="preserve">seguida por el ITESM en </w:t>
      </w:r>
      <w:r w:rsidR="00621566" w:rsidRPr="00ED5D46">
        <w:rPr>
          <w:sz w:val="24"/>
        </w:rPr>
        <w:t>el lugar 1</w:t>
      </w:r>
      <w:r w:rsidRPr="00ED5D46">
        <w:rPr>
          <w:sz w:val="24"/>
        </w:rPr>
        <w:t>5</w:t>
      </w:r>
      <w:r w:rsidR="00621566" w:rsidRPr="00ED5D46">
        <w:rPr>
          <w:sz w:val="24"/>
        </w:rPr>
        <w:t>8</w:t>
      </w:r>
      <w:r w:rsidRPr="00ED5D46">
        <w:rPr>
          <w:sz w:val="24"/>
        </w:rPr>
        <w:t xml:space="preserve">, y la </w:t>
      </w:r>
      <w:r w:rsidR="00621566" w:rsidRPr="00ED5D46">
        <w:rPr>
          <w:sz w:val="24"/>
        </w:rPr>
        <w:t>Universidad Anáhuac en el rango 5</w:t>
      </w:r>
      <w:r w:rsidRPr="00ED5D46">
        <w:rPr>
          <w:sz w:val="24"/>
        </w:rPr>
        <w:t>6</w:t>
      </w:r>
      <w:r w:rsidR="00621566" w:rsidRPr="00ED5D46">
        <w:rPr>
          <w:sz w:val="24"/>
        </w:rPr>
        <w:t>1-5</w:t>
      </w:r>
      <w:r w:rsidRPr="00ED5D46">
        <w:rPr>
          <w:sz w:val="24"/>
        </w:rPr>
        <w:t>7</w:t>
      </w:r>
      <w:r w:rsidR="00621566" w:rsidRPr="00ED5D46">
        <w:rPr>
          <w:sz w:val="24"/>
        </w:rPr>
        <w:t>0</w:t>
      </w:r>
      <w:r w:rsidRPr="00ED5D46">
        <w:rPr>
          <w:sz w:val="24"/>
        </w:rPr>
        <w:t>;</w:t>
      </w:r>
      <w:r w:rsidR="00621566" w:rsidRPr="00ED5D46">
        <w:rPr>
          <w:sz w:val="24"/>
        </w:rPr>
        <w:t xml:space="preserve"> </w:t>
      </w:r>
    </w:p>
    <w:p w14:paraId="6F52089C" w14:textId="77777777" w:rsidR="00976FA2" w:rsidRPr="00ED5D46" w:rsidRDefault="00976FA2" w:rsidP="00334D96">
      <w:pPr>
        <w:pStyle w:val="Prrafodelista"/>
        <w:numPr>
          <w:ilvl w:val="1"/>
          <w:numId w:val="1"/>
        </w:numPr>
        <w:jc w:val="both"/>
        <w:rPr>
          <w:sz w:val="24"/>
        </w:rPr>
      </w:pPr>
      <w:r w:rsidRPr="00ED5D46">
        <w:rPr>
          <w:sz w:val="24"/>
        </w:rPr>
        <w:t>Del total de universidades mexicanas, 7 pertenecen al sector privado y 6 al sector público.</w:t>
      </w:r>
    </w:p>
    <w:p w14:paraId="4A9EA12B" w14:textId="6651A097" w:rsidR="00976FA2" w:rsidRPr="00ED5D46" w:rsidRDefault="00976FA2" w:rsidP="00334D96">
      <w:pPr>
        <w:pStyle w:val="Prrafodelista"/>
        <w:numPr>
          <w:ilvl w:val="1"/>
          <w:numId w:val="1"/>
        </w:numPr>
        <w:jc w:val="both"/>
        <w:rPr>
          <w:sz w:val="24"/>
        </w:rPr>
      </w:pPr>
      <w:r w:rsidRPr="00ED5D46">
        <w:rPr>
          <w:sz w:val="24"/>
        </w:rPr>
        <w:t>Únicamente la UNAM y el ITESM fueron las universidades clasificadas en el TOP 500, el resto de universidades se clasificaron entre el rango 561-570 hasta el 801-1000.</w:t>
      </w:r>
    </w:p>
    <w:p w14:paraId="39B01AAC" w14:textId="77777777" w:rsidR="00976FA2" w:rsidRPr="00ED5D46" w:rsidRDefault="00976FA2" w:rsidP="00AD7D66">
      <w:pPr>
        <w:pStyle w:val="Prrafodelista"/>
        <w:spacing w:after="0" w:line="240" w:lineRule="auto"/>
        <w:jc w:val="both"/>
        <w:rPr>
          <w:sz w:val="24"/>
        </w:rPr>
      </w:pPr>
    </w:p>
    <w:p w14:paraId="66FEDD2E" w14:textId="290FE9EA" w:rsidR="00555A42" w:rsidRPr="00ED5D46" w:rsidRDefault="00DF7B91" w:rsidP="0088069D">
      <w:pPr>
        <w:pStyle w:val="Prrafodelista"/>
        <w:numPr>
          <w:ilvl w:val="0"/>
          <w:numId w:val="1"/>
        </w:numPr>
        <w:spacing w:after="0" w:line="240" w:lineRule="auto"/>
        <w:jc w:val="both"/>
        <w:rPr>
          <w:sz w:val="24"/>
        </w:rPr>
      </w:pPr>
      <w:r w:rsidRPr="00ED5D46">
        <w:rPr>
          <w:sz w:val="24"/>
        </w:rPr>
        <w:t xml:space="preserve">Como puede apreciarse en la Tabla 3, algunas universidades forman parte de la evaluación de pago de QS </w:t>
      </w:r>
      <w:r w:rsidR="00555A42" w:rsidRPr="00ED5D46">
        <w:rPr>
          <w:sz w:val="24"/>
        </w:rPr>
        <w:t>para la obtención de estrellas llamadas “QS Stars”</w:t>
      </w:r>
      <w:r w:rsidR="00555A42" w:rsidRPr="00ED5D46">
        <w:rPr>
          <w:rStyle w:val="Refdenotaalpie"/>
          <w:sz w:val="24"/>
        </w:rPr>
        <w:footnoteReference w:id="1"/>
      </w:r>
      <w:r w:rsidR="00555A42" w:rsidRPr="00ED5D46">
        <w:rPr>
          <w:sz w:val="24"/>
        </w:rPr>
        <w:t>.</w:t>
      </w:r>
    </w:p>
    <w:p w14:paraId="1A44C1FD" w14:textId="77777777" w:rsidR="003549CE" w:rsidRPr="00ED5D46" w:rsidRDefault="003549CE" w:rsidP="00CD645D">
      <w:pPr>
        <w:pStyle w:val="Prrafodelista"/>
        <w:spacing w:after="0" w:line="240" w:lineRule="auto"/>
        <w:rPr>
          <w:sz w:val="24"/>
        </w:rPr>
      </w:pPr>
    </w:p>
    <w:tbl>
      <w:tblPr>
        <w:tblW w:w="7135" w:type="dxa"/>
        <w:jc w:val="center"/>
        <w:tblCellMar>
          <w:left w:w="70" w:type="dxa"/>
          <w:right w:w="70" w:type="dxa"/>
        </w:tblCellMar>
        <w:tblLook w:val="04A0" w:firstRow="1" w:lastRow="0" w:firstColumn="1" w:lastColumn="0" w:noHBand="0" w:noVBand="1"/>
      </w:tblPr>
      <w:tblGrid>
        <w:gridCol w:w="4229"/>
        <w:gridCol w:w="1003"/>
        <w:gridCol w:w="799"/>
        <w:gridCol w:w="550"/>
        <w:gridCol w:w="554"/>
      </w:tblGrid>
      <w:tr w:rsidR="00976FA2" w:rsidRPr="00ED5D46" w14:paraId="1C861AC3" w14:textId="77777777" w:rsidTr="00976FA2">
        <w:trPr>
          <w:trHeight w:val="232"/>
          <w:jc w:val="center"/>
        </w:trPr>
        <w:tc>
          <w:tcPr>
            <w:tcW w:w="7135" w:type="dxa"/>
            <w:gridSpan w:val="5"/>
            <w:tcBorders>
              <w:top w:val="nil"/>
              <w:left w:val="nil"/>
              <w:bottom w:val="nil"/>
              <w:right w:val="nil"/>
            </w:tcBorders>
            <w:shd w:val="clear" w:color="auto" w:fill="auto"/>
            <w:noWrap/>
            <w:vAlign w:val="center"/>
            <w:hideMark/>
          </w:tcPr>
          <w:p w14:paraId="75717443" w14:textId="2FC7A8C4" w:rsidR="00976FA2" w:rsidRPr="00ED5D46" w:rsidRDefault="00976FA2" w:rsidP="00976FA2">
            <w:pPr>
              <w:spacing w:after="0" w:line="240" w:lineRule="auto"/>
              <w:jc w:val="center"/>
              <w:rPr>
                <w:rFonts w:ascii="Calibri" w:eastAsia="Times New Roman" w:hAnsi="Calibri" w:cs="Calibri"/>
                <w:b/>
                <w:bCs/>
                <w:color w:val="000000"/>
                <w:sz w:val="20"/>
                <w:szCs w:val="20"/>
                <w:lang w:eastAsia="es-MX"/>
              </w:rPr>
            </w:pPr>
            <w:r w:rsidRPr="00ED5D46">
              <w:rPr>
                <w:rFonts w:ascii="Calibri" w:eastAsia="Times New Roman" w:hAnsi="Calibri" w:cs="Calibri"/>
                <w:b/>
                <w:bCs/>
                <w:color w:val="000000"/>
                <w:sz w:val="20"/>
                <w:szCs w:val="20"/>
                <w:lang w:eastAsia="es-MX"/>
              </w:rPr>
              <w:t>Tabla 3. Universidades mexicanas clasificadas en el QS ranking mundial de universidades, 2020.</w:t>
            </w:r>
          </w:p>
        </w:tc>
      </w:tr>
      <w:tr w:rsidR="00976FA2" w:rsidRPr="00ED5D46" w14:paraId="1A68F7C2" w14:textId="77777777" w:rsidTr="00976FA2">
        <w:trPr>
          <w:trHeight w:val="232"/>
          <w:jc w:val="center"/>
        </w:trPr>
        <w:tc>
          <w:tcPr>
            <w:tcW w:w="4229"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5FBD7E62" w14:textId="77777777" w:rsidR="00976FA2" w:rsidRPr="00ED5D46" w:rsidRDefault="00976FA2" w:rsidP="00976FA2">
            <w:pPr>
              <w:spacing w:after="0" w:line="240" w:lineRule="auto"/>
              <w:jc w:val="center"/>
              <w:rPr>
                <w:rFonts w:ascii="Calibri" w:eastAsia="Times New Roman" w:hAnsi="Calibri" w:cs="Calibri"/>
                <w:b/>
                <w:bCs/>
                <w:color w:val="050505"/>
                <w:sz w:val="16"/>
                <w:szCs w:val="16"/>
                <w:lang w:eastAsia="es-MX"/>
              </w:rPr>
            </w:pPr>
            <w:r w:rsidRPr="00ED5D46">
              <w:rPr>
                <w:rFonts w:ascii="Calibri" w:eastAsia="Times New Roman" w:hAnsi="Calibri" w:cs="Calibri"/>
                <w:b/>
                <w:bCs/>
                <w:color w:val="050505"/>
                <w:sz w:val="16"/>
                <w:szCs w:val="16"/>
                <w:lang w:eastAsia="es-MX"/>
              </w:rPr>
              <w:t>Universidad</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03A663C0" w14:textId="77777777" w:rsidR="00976FA2" w:rsidRPr="00ED5D46" w:rsidRDefault="00976FA2" w:rsidP="00976FA2">
            <w:pPr>
              <w:spacing w:after="0" w:line="240" w:lineRule="auto"/>
              <w:jc w:val="center"/>
              <w:rPr>
                <w:rFonts w:ascii="Calibri" w:eastAsia="Times New Roman" w:hAnsi="Calibri" w:cs="Calibri"/>
                <w:b/>
                <w:bCs/>
                <w:color w:val="050505"/>
                <w:sz w:val="16"/>
                <w:szCs w:val="16"/>
                <w:lang w:eastAsia="es-MX"/>
              </w:rPr>
            </w:pPr>
            <w:r w:rsidRPr="00ED5D46">
              <w:rPr>
                <w:rFonts w:ascii="Calibri" w:eastAsia="Times New Roman" w:hAnsi="Calibri" w:cs="Calibri"/>
                <w:b/>
                <w:bCs/>
                <w:color w:val="050505"/>
                <w:sz w:val="16"/>
                <w:szCs w:val="16"/>
                <w:lang w:eastAsia="es-MX"/>
              </w:rPr>
              <w:t>Posición</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14D70AD" w14:textId="77777777" w:rsidR="00976FA2" w:rsidRPr="00ED5D46" w:rsidRDefault="00976FA2" w:rsidP="00976FA2">
            <w:pPr>
              <w:spacing w:after="0" w:line="240" w:lineRule="auto"/>
              <w:jc w:val="center"/>
              <w:rPr>
                <w:rFonts w:ascii="Calibri" w:eastAsia="Times New Roman" w:hAnsi="Calibri" w:cs="Calibri"/>
                <w:b/>
                <w:bCs/>
                <w:color w:val="050505"/>
                <w:sz w:val="16"/>
                <w:szCs w:val="16"/>
                <w:lang w:eastAsia="es-MX"/>
              </w:rPr>
            </w:pPr>
            <w:r w:rsidRPr="00ED5D46">
              <w:rPr>
                <w:rFonts w:ascii="Calibri" w:eastAsia="Times New Roman" w:hAnsi="Calibri" w:cs="Calibri"/>
                <w:b/>
                <w:bCs/>
                <w:color w:val="050505"/>
                <w:sz w:val="16"/>
                <w:szCs w:val="16"/>
                <w:lang w:eastAsia="es-MX"/>
              </w:rPr>
              <w:t>Tipo</w:t>
            </w:r>
          </w:p>
        </w:tc>
        <w:tc>
          <w:tcPr>
            <w:tcW w:w="1102" w:type="dxa"/>
            <w:gridSpan w:val="2"/>
            <w:tcBorders>
              <w:top w:val="single" w:sz="4" w:space="0" w:color="auto"/>
              <w:left w:val="nil"/>
              <w:bottom w:val="single" w:sz="4" w:space="0" w:color="auto"/>
              <w:right w:val="single" w:sz="4" w:space="0" w:color="auto"/>
            </w:tcBorders>
            <w:shd w:val="clear" w:color="000000" w:fill="BDD6EE"/>
            <w:noWrap/>
            <w:vAlign w:val="center"/>
            <w:hideMark/>
          </w:tcPr>
          <w:p w14:paraId="32E871F8" w14:textId="77777777" w:rsidR="00976FA2" w:rsidRPr="00ED5D46" w:rsidRDefault="00976FA2" w:rsidP="00976FA2">
            <w:pPr>
              <w:spacing w:after="0" w:line="240" w:lineRule="auto"/>
              <w:jc w:val="center"/>
              <w:rPr>
                <w:rFonts w:ascii="Calibri" w:eastAsia="Times New Roman" w:hAnsi="Calibri" w:cs="Calibri"/>
                <w:b/>
                <w:bCs/>
                <w:color w:val="050505"/>
                <w:sz w:val="16"/>
                <w:szCs w:val="16"/>
                <w:lang w:eastAsia="es-MX"/>
              </w:rPr>
            </w:pPr>
            <w:r w:rsidRPr="00ED5D46">
              <w:rPr>
                <w:rFonts w:ascii="Calibri" w:eastAsia="Times New Roman" w:hAnsi="Calibri" w:cs="Calibri"/>
                <w:b/>
                <w:bCs/>
                <w:color w:val="050505"/>
                <w:sz w:val="16"/>
                <w:szCs w:val="16"/>
                <w:lang w:eastAsia="es-MX"/>
              </w:rPr>
              <w:t>Estrellas</w:t>
            </w:r>
          </w:p>
        </w:tc>
      </w:tr>
      <w:tr w:rsidR="00976FA2" w:rsidRPr="00ED5D46" w14:paraId="52C6ABB0" w14:textId="77777777" w:rsidTr="00976FA2">
        <w:trPr>
          <w:trHeight w:val="232"/>
          <w:jc w:val="center"/>
        </w:trPr>
        <w:tc>
          <w:tcPr>
            <w:tcW w:w="4229" w:type="dxa"/>
            <w:vMerge/>
            <w:tcBorders>
              <w:top w:val="single" w:sz="4" w:space="0" w:color="auto"/>
              <w:left w:val="single" w:sz="4" w:space="0" w:color="auto"/>
              <w:bottom w:val="single" w:sz="4" w:space="0" w:color="auto"/>
              <w:right w:val="single" w:sz="4" w:space="0" w:color="auto"/>
            </w:tcBorders>
            <w:vAlign w:val="center"/>
            <w:hideMark/>
          </w:tcPr>
          <w:p w14:paraId="47F59DF3" w14:textId="77777777" w:rsidR="00976FA2" w:rsidRPr="00ED5D46" w:rsidRDefault="00976FA2" w:rsidP="00976FA2">
            <w:pPr>
              <w:spacing w:after="0" w:line="240" w:lineRule="auto"/>
              <w:rPr>
                <w:rFonts w:ascii="Calibri" w:eastAsia="Times New Roman" w:hAnsi="Calibri" w:cs="Calibri"/>
                <w:b/>
                <w:bCs/>
                <w:color w:val="050505"/>
                <w:sz w:val="16"/>
                <w:szCs w:val="16"/>
                <w:lang w:eastAsia="es-MX"/>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4B95044" w14:textId="77777777" w:rsidR="00976FA2" w:rsidRPr="00ED5D46" w:rsidRDefault="00976FA2" w:rsidP="00976FA2">
            <w:pPr>
              <w:spacing w:after="0" w:line="240" w:lineRule="auto"/>
              <w:rPr>
                <w:rFonts w:ascii="Calibri" w:eastAsia="Times New Roman" w:hAnsi="Calibri" w:cs="Calibri"/>
                <w:b/>
                <w:bCs/>
                <w:color w:val="050505"/>
                <w:sz w:val="16"/>
                <w:szCs w:val="16"/>
                <w:lang w:eastAsia="es-MX"/>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44490423" w14:textId="77777777" w:rsidR="00976FA2" w:rsidRPr="00ED5D46" w:rsidRDefault="00976FA2" w:rsidP="00976FA2">
            <w:pPr>
              <w:spacing w:after="0" w:line="240" w:lineRule="auto"/>
              <w:rPr>
                <w:rFonts w:ascii="Calibri" w:eastAsia="Times New Roman" w:hAnsi="Calibri" w:cs="Calibri"/>
                <w:b/>
                <w:bCs/>
                <w:color w:val="050505"/>
                <w:sz w:val="16"/>
                <w:szCs w:val="16"/>
                <w:lang w:eastAsia="es-MX"/>
              </w:rPr>
            </w:pPr>
          </w:p>
        </w:tc>
        <w:tc>
          <w:tcPr>
            <w:tcW w:w="550" w:type="dxa"/>
            <w:tcBorders>
              <w:top w:val="nil"/>
              <w:left w:val="nil"/>
              <w:bottom w:val="single" w:sz="4" w:space="0" w:color="auto"/>
              <w:right w:val="single" w:sz="4" w:space="0" w:color="auto"/>
            </w:tcBorders>
            <w:shd w:val="clear" w:color="000000" w:fill="BDD6EE"/>
            <w:noWrap/>
            <w:vAlign w:val="center"/>
            <w:hideMark/>
          </w:tcPr>
          <w:p w14:paraId="40309ED6" w14:textId="77777777" w:rsidR="00976FA2" w:rsidRPr="00ED5D46" w:rsidRDefault="00976FA2" w:rsidP="00976FA2">
            <w:pPr>
              <w:spacing w:after="0" w:line="240" w:lineRule="auto"/>
              <w:jc w:val="center"/>
              <w:rPr>
                <w:rFonts w:ascii="Calibri" w:eastAsia="Times New Roman" w:hAnsi="Calibri" w:cs="Calibri"/>
                <w:b/>
                <w:bCs/>
                <w:color w:val="050505"/>
                <w:sz w:val="16"/>
                <w:szCs w:val="16"/>
                <w:lang w:eastAsia="es-MX"/>
              </w:rPr>
            </w:pPr>
            <w:r w:rsidRPr="00ED5D46">
              <w:rPr>
                <w:rFonts w:ascii="Calibri" w:eastAsia="Times New Roman" w:hAnsi="Calibri" w:cs="Calibri"/>
                <w:b/>
                <w:bCs/>
                <w:color w:val="050505"/>
                <w:sz w:val="16"/>
                <w:szCs w:val="16"/>
                <w:lang w:eastAsia="es-MX"/>
              </w:rPr>
              <w:t>2019</w:t>
            </w:r>
          </w:p>
        </w:tc>
        <w:tc>
          <w:tcPr>
            <w:tcW w:w="552" w:type="dxa"/>
            <w:tcBorders>
              <w:top w:val="nil"/>
              <w:left w:val="nil"/>
              <w:bottom w:val="single" w:sz="4" w:space="0" w:color="auto"/>
              <w:right w:val="single" w:sz="4" w:space="0" w:color="auto"/>
            </w:tcBorders>
            <w:shd w:val="clear" w:color="000000" w:fill="BDD6EE"/>
            <w:noWrap/>
            <w:vAlign w:val="center"/>
            <w:hideMark/>
          </w:tcPr>
          <w:p w14:paraId="244A55B4" w14:textId="77777777" w:rsidR="00976FA2" w:rsidRPr="00ED5D46" w:rsidRDefault="00976FA2" w:rsidP="00976FA2">
            <w:pPr>
              <w:spacing w:after="0" w:line="240" w:lineRule="auto"/>
              <w:jc w:val="center"/>
              <w:rPr>
                <w:rFonts w:ascii="Calibri" w:eastAsia="Times New Roman" w:hAnsi="Calibri" w:cs="Calibri"/>
                <w:b/>
                <w:bCs/>
                <w:color w:val="050505"/>
                <w:sz w:val="16"/>
                <w:szCs w:val="16"/>
                <w:lang w:eastAsia="es-MX"/>
              </w:rPr>
            </w:pPr>
            <w:r w:rsidRPr="00ED5D46">
              <w:rPr>
                <w:rFonts w:ascii="Calibri" w:eastAsia="Times New Roman" w:hAnsi="Calibri" w:cs="Calibri"/>
                <w:b/>
                <w:bCs/>
                <w:color w:val="050505"/>
                <w:sz w:val="16"/>
                <w:szCs w:val="16"/>
                <w:lang w:eastAsia="es-MX"/>
              </w:rPr>
              <w:t>2020</w:t>
            </w:r>
          </w:p>
        </w:tc>
      </w:tr>
      <w:tr w:rsidR="00976FA2" w:rsidRPr="00ED5D46" w14:paraId="0B140067"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2AB55BDA"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Universidad Nacional Autónoma de México</w:t>
            </w:r>
          </w:p>
        </w:tc>
        <w:tc>
          <w:tcPr>
            <w:tcW w:w="1003" w:type="dxa"/>
            <w:tcBorders>
              <w:top w:val="nil"/>
              <w:left w:val="nil"/>
              <w:bottom w:val="single" w:sz="4" w:space="0" w:color="auto"/>
              <w:right w:val="single" w:sz="4" w:space="0" w:color="auto"/>
            </w:tcBorders>
            <w:shd w:val="clear" w:color="auto" w:fill="auto"/>
            <w:noWrap/>
            <w:vAlign w:val="center"/>
            <w:hideMark/>
          </w:tcPr>
          <w:p w14:paraId="0A9176AB"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103</w:t>
            </w:r>
          </w:p>
        </w:tc>
        <w:tc>
          <w:tcPr>
            <w:tcW w:w="799" w:type="dxa"/>
            <w:tcBorders>
              <w:top w:val="nil"/>
              <w:left w:val="nil"/>
              <w:bottom w:val="single" w:sz="4" w:space="0" w:color="auto"/>
              <w:right w:val="single" w:sz="4" w:space="0" w:color="auto"/>
            </w:tcBorders>
            <w:shd w:val="clear" w:color="auto" w:fill="auto"/>
            <w:noWrap/>
            <w:vAlign w:val="center"/>
            <w:hideMark/>
          </w:tcPr>
          <w:p w14:paraId="098221A4"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Publica</w:t>
            </w:r>
          </w:p>
        </w:tc>
        <w:tc>
          <w:tcPr>
            <w:tcW w:w="550" w:type="dxa"/>
            <w:tcBorders>
              <w:top w:val="nil"/>
              <w:left w:val="nil"/>
              <w:bottom w:val="single" w:sz="4" w:space="0" w:color="auto"/>
              <w:right w:val="single" w:sz="4" w:space="0" w:color="auto"/>
            </w:tcBorders>
            <w:shd w:val="clear" w:color="auto" w:fill="auto"/>
            <w:noWrap/>
            <w:vAlign w:val="center"/>
            <w:hideMark/>
          </w:tcPr>
          <w:p w14:paraId="605147CC"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c>
          <w:tcPr>
            <w:tcW w:w="552" w:type="dxa"/>
            <w:tcBorders>
              <w:top w:val="nil"/>
              <w:left w:val="nil"/>
              <w:bottom w:val="single" w:sz="4" w:space="0" w:color="auto"/>
              <w:right w:val="single" w:sz="4" w:space="0" w:color="auto"/>
            </w:tcBorders>
            <w:shd w:val="clear" w:color="auto" w:fill="auto"/>
            <w:noWrap/>
            <w:vAlign w:val="center"/>
            <w:hideMark/>
          </w:tcPr>
          <w:p w14:paraId="293C584B"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r>
      <w:tr w:rsidR="00976FA2" w:rsidRPr="00ED5D46" w14:paraId="2F95431F"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602A04"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Instituto Tecnológico y de Estudios Superiores de Monterrey</w:t>
            </w:r>
          </w:p>
        </w:tc>
        <w:tc>
          <w:tcPr>
            <w:tcW w:w="1003" w:type="dxa"/>
            <w:tcBorders>
              <w:top w:val="nil"/>
              <w:left w:val="nil"/>
              <w:bottom w:val="single" w:sz="4" w:space="0" w:color="auto"/>
              <w:right w:val="single" w:sz="4" w:space="0" w:color="auto"/>
            </w:tcBorders>
            <w:shd w:val="clear" w:color="auto" w:fill="F2F2F2" w:themeFill="background1" w:themeFillShade="F2"/>
            <w:noWrap/>
            <w:vAlign w:val="center"/>
            <w:hideMark/>
          </w:tcPr>
          <w:p w14:paraId="19389094"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158</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hideMark/>
          </w:tcPr>
          <w:p w14:paraId="2A0F4F4A"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8619556"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5</w:t>
            </w:r>
          </w:p>
        </w:tc>
        <w:tc>
          <w:tcPr>
            <w:tcW w:w="552" w:type="dxa"/>
            <w:tcBorders>
              <w:top w:val="nil"/>
              <w:left w:val="nil"/>
              <w:bottom w:val="single" w:sz="4" w:space="0" w:color="auto"/>
              <w:right w:val="single" w:sz="4" w:space="0" w:color="auto"/>
            </w:tcBorders>
            <w:shd w:val="clear" w:color="auto" w:fill="F2F2F2" w:themeFill="background1" w:themeFillShade="F2"/>
            <w:noWrap/>
            <w:vAlign w:val="center"/>
            <w:hideMark/>
          </w:tcPr>
          <w:p w14:paraId="42AADAB6"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5</w:t>
            </w:r>
          </w:p>
        </w:tc>
      </w:tr>
      <w:tr w:rsidR="00976FA2" w:rsidRPr="00ED5D46" w14:paraId="423B7A97"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0C3CCF49"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xml:space="preserve">Universidad Anáhuac </w:t>
            </w:r>
          </w:p>
        </w:tc>
        <w:tc>
          <w:tcPr>
            <w:tcW w:w="1003" w:type="dxa"/>
            <w:tcBorders>
              <w:top w:val="nil"/>
              <w:left w:val="nil"/>
              <w:bottom w:val="single" w:sz="4" w:space="0" w:color="auto"/>
              <w:right w:val="single" w:sz="4" w:space="0" w:color="auto"/>
            </w:tcBorders>
            <w:shd w:val="clear" w:color="auto" w:fill="auto"/>
            <w:noWrap/>
            <w:vAlign w:val="center"/>
            <w:hideMark/>
          </w:tcPr>
          <w:p w14:paraId="13E8E0E4"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561-570</w:t>
            </w:r>
          </w:p>
        </w:tc>
        <w:tc>
          <w:tcPr>
            <w:tcW w:w="799" w:type="dxa"/>
            <w:tcBorders>
              <w:top w:val="nil"/>
              <w:left w:val="nil"/>
              <w:bottom w:val="single" w:sz="4" w:space="0" w:color="auto"/>
              <w:right w:val="single" w:sz="4" w:space="0" w:color="auto"/>
            </w:tcBorders>
            <w:shd w:val="clear" w:color="auto" w:fill="auto"/>
            <w:noWrap/>
            <w:vAlign w:val="center"/>
            <w:hideMark/>
          </w:tcPr>
          <w:p w14:paraId="6808353C"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auto"/>
            <w:noWrap/>
            <w:vAlign w:val="center"/>
            <w:hideMark/>
          </w:tcPr>
          <w:p w14:paraId="1DEF37A9"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c>
          <w:tcPr>
            <w:tcW w:w="552" w:type="dxa"/>
            <w:tcBorders>
              <w:top w:val="nil"/>
              <w:left w:val="nil"/>
              <w:bottom w:val="single" w:sz="4" w:space="0" w:color="auto"/>
              <w:right w:val="single" w:sz="4" w:space="0" w:color="auto"/>
            </w:tcBorders>
            <w:shd w:val="clear" w:color="auto" w:fill="auto"/>
            <w:noWrap/>
            <w:vAlign w:val="center"/>
            <w:hideMark/>
          </w:tcPr>
          <w:p w14:paraId="7D370158"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r>
      <w:tr w:rsidR="00976FA2" w:rsidRPr="00ED5D46" w14:paraId="01184E8E"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DAC2CD"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Universidad Panamericana</w:t>
            </w:r>
          </w:p>
        </w:tc>
        <w:tc>
          <w:tcPr>
            <w:tcW w:w="100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702B69"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601-650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hideMark/>
          </w:tcPr>
          <w:p w14:paraId="4F3E1537"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C0B00E"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c>
          <w:tcPr>
            <w:tcW w:w="552" w:type="dxa"/>
            <w:tcBorders>
              <w:top w:val="nil"/>
              <w:left w:val="nil"/>
              <w:bottom w:val="single" w:sz="4" w:space="0" w:color="auto"/>
              <w:right w:val="single" w:sz="4" w:space="0" w:color="auto"/>
            </w:tcBorders>
            <w:shd w:val="clear" w:color="auto" w:fill="F2F2F2" w:themeFill="background1" w:themeFillShade="F2"/>
            <w:noWrap/>
            <w:vAlign w:val="center"/>
            <w:hideMark/>
          </w:tcPr>
          <w:p w14:paraId="4A2ED117"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4</w:t>
            </w:r>
          </w:p>
        </w:tc>
      </w:tr>
      <w:tr w:rsidR="00976FA2" w:rsidRPr="00ED5D46" w14:paraId="6A6BBFFA"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1C8A3FFB"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xml:space="preserve">Instituto Politécnico Nacional </w:t>
            </w:r>
          </w:p>
        </w:tc>
        <w:tc>
          <w:tcPr>
            <w:tcW w:w="1003" w:type="dxa"/>
            <w:tcBorders>
              <w:top w:val="nil"/>
              <w:left w:val="nil"/>
              <w:bottom w:val="single" w:sz="4" w:space="0" w:color="auto"/>
              <w:right w:val="single" w:sz="4" w:space="0" w:color="auto"/>
            </w:tcBorders>
            <w:shd w:val="clear" w:color="auto" w:fill="auto"/>
            <w:noWrap/>
            <w:vAlign w:val="center"/>
            <w:hideMark/>
          </w:tcPr>
          <w:p w14:paraId="7EC541F8"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651-700</w:t>
            </w:r>
          </w:p>
        </w:tc>
        <w:tc>
          <w:tcPr>
            <w:tcW w:w="799" w:type="dxa"/>
            <w:tcBorders>
              <w:top w:val="nil"/>
              <w:left w:val="nil"/>
              <w:bottom w:val="single" w:sz="4" w:space="0" w:color="auto"/>
              <w:right w:val="single" w:sz="4" w:space="0" w:color="auto"/>
            </w:tcBorders>
            <w:shd w:val="clear" w:color="auto" w:fill="auto"/>
            <w:noWrap/>
            <w:vAlign w:val="center"/>
            <w:hideMark/>
          </w:tcPr>
          <w:p w14:paraId="7080BEDD"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Publica</w:t>
            </w:r>
          </w:p>
        </w:tc>
        <w:tc>
          <w:tcPr>
            <w:tcW w:w="550" w:type="dxa"/>
            <w:tcBorders>
              <w:top w:val="nil"/>
              <w:left w:val="nil"/>
              <w:bottom w:val="single" w:sz="4" w:space="0" w:color="auto"/>
              <w:right w:val="single" w:sz="4" w:space="0" w:color="auto"/>
            </w:tcBorders>
            <w:shd w:val="clear" w:color="auto" w:fill="auto"/>
            <w:noWrap/>
            <w:vAlign w:val="bottom"/>
            <w:hideMark/>
          </w:tcPr>
          <w:p w14:paraId="16271EF2"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c>
          <w:tcPr>
            <w:tcW w:w="552" w:type="dxa"/>
            <w:tcBorders>
              <w:top w:val="nil"/>
              <w:left w:val="nil"/>
              <w:bottom w:val="single" w:sz="4" w:space="0" w:color="auto"/>
              <w:right w:val="single" w:sz="4" w:space="0" w:color="auto"/>
            </w:tcBorders>
            <w:shd w:val="clear" w:color="auto" w:fill="auto"/>
            <w:noWrap/>
            <w:vAlign w:val="bottom"/>
            <w:hideMark/>
          </w:tcPr>
          <w:p w14:paraId="75DAEAB9"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r>
      <w:tr w:rsidR="00976FA2" w:rsidRPr="00ED5D46" w14:paraId="761C6EEB"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B0D4ED"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Instituto Tecnológico Autónomo de México</w:t>
            </w:r>
          </w:p>
        </w:tc>
        <w:tc>
          <w:tcPr>
            <w:tcW w:w="1003" w:type="dxa"/>
            <w:tcBorders>
              <w:top w:val="nil"/>
              <w:left w:val="nil"/>
              <w:bottom w:val="single" w:sz="4" w:space="0" w:color="auto"/>
              <w:right w:val="single" w:sz="4" w:space="0" w:color="auto"/>
            </w:tcBorders>
            <w:shd w:val="clear" w:color="auto" w:fill="F2F2F2" w:themeFill="background1" w:themeFillShade="F2"/>
            <w:noWrap/>
            <w:vAlign w:val="center"/>
            <w:hideMark/>
          </w:tcPr>
          <w:p w14:paraId="14E572A6"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651-700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6C0905"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F2F2F2" w:themeFill="background1" w:themeFillShade="F2"/>
            <w:noWrap/>
            <w:vAlign w:val="bottom"/>
            <w:hideMark/>
          </w:tcPr>
          <w:p w14:paraId="68A2DFED"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c>
          <w:tcPr>
            <w:tcW w:w="552" w:type="dxa"/>
            <w:tcBorders>
              <w:top w:val="nil"/>
              <w:left w:val="nil"/>
              <w:bottom w:val="single" w:sz="4" w:space="0" w:color="auto"/>
              <w:right w:val="single" w:sz="4" w:space="0" w:color="auto"/>
            </w:tcBorders>
            <w:shd w:val="clear" w:color="auto" w:fill="F2F2F2" w:themeFill="background1" w:themeFillShade="F2"/>
            <w:noWrap/>
            <w:vAlign w:val="bottom"/>
            <w:hideMark/>
          </w:tcPr>
          <w:p w14:paraId="4B758281"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r>
      <w:tr w:rsidR="00976FA2" w:rsidRPr="00ED5D46" w14:paraId="0D8AA604"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3BD82854"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Universidad Iberoamericana</w:t>
            </w:r>
          </w:p>
        </w:tc>
        <w:tc>
          <w:tcPr>
            <w:tcW w:w="1003" w:type="dxa"/>
            <w:tcBorders>
              <w:top w:val="nil"/>
              <w:left w:val="nil"/>
              <w:bottom w:val="single" w:sz="4" w:space="0" w:color="auto"/>
              <w:right w:val="single" w:sz="4" w:space="0" w:color="auto"/>
            </w:tcBorders>
            <w:shd w:val="clear" w:color="auto" w:fill="auto"/>
            <w:noWrap/>
            <w:vAlign w:val="center"/>
            <w:hideMark/>
          </w:tcPr>
          <w:p w14:paraId="6E8FFB33"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651-700</w:t>
            </w:r>
          </w:p>
        </w:tc>
        <w:tc>
          <w:tcPr>
            <w:tcW w:w="799" w:type="dxa"/>
            <w:tcBorders>
              <w:top w:val="nil"/>
              <w:left w:val="nil"/>
              <w:bottom w:val="single" w:sz="4" w:space="0" w:color="auto"/>
              <w:right w:val="single" w:sz="4" w:space="0" w:color="auto"/>
            </w:tcBorders>
            <w:shd w:val="clear" w:color="auto" w:fill="auto"/>
            <w:noWrap/>
            <w:vAlign w:val="center"/>
            <w:hideMark/>
          </w:tcPr>
          <w:p w14:paraId="24A4C7D1"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auto"/>
            <w:noWrap/>
            <w:vAlign w:val="bottom"/>
            <w:hideMark/>
          </w:tcPr>
          <w:p w14:paraId="6092732B"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c>
          <w:tcPr>
            <w:tcW w:w="552" w:type="dxa"/>
            <w:tcBorders>
              <w:top w:val="nil"/>
              <w:left w:val="nil"/>
              <w:bottom w:val="single" w:sz="4" w:space="0" w:color="auto"/>
              <w:right w:val="single" w:sz="4" w:space="0" w:color="auto"/>
            </w:tcBorders>
            <w:shd w:val="clear" w:color="auto" w:fill="auto"/>
            <w:noWrap/>
            <w:vAlign w:val="bottom"/>
            <w:hideMark/>
          </w:tcPr>
          <w:p w14:paraId="6D591515"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r>
      <w:tr w:rsidR="00976FA2" w:rsidRPr="00ED5D46" w14:paraId="7B7C025F"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0FA3C6"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xml:space="preserve">Universidad de Guadalajara </w:t>
            </w:r>
          </w:p>
        </w:tc>
        <w:tc>
          <w:tcPr>
            <w:tcW w:w="1003" w:type="dxa"/>
            <w:tcBorders>
              <w:top w:val="nil"/>
              <w:left w:val="nil"/>
              <w:bottom w:val="single" w:sz="4" w:space="0" w:color="auto"/>
              <w:right w:val="single" w:sz="4" w:space="0" w:color="auto"/>
            </w:tcBorders>
            <w:shd w:val="clear" w:color="auto" w:fill="F2F2F2" w:themeFill="background1" w:themeFillShade="F2"/>
            <w:noWrap/>
            <w:vAlign w:val="center"/>
            <w:hideMark/>
          </w:tcPr>
          <w:p w14:paraId="420A9EDF"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701-750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hideMark/>
          </w:tcPr>
          <w:p w14:paraId="2C7DB6D7"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Publica</w:t>
            </w:r>
          </w:p>
        </w:tc>
        <w:tc>
          <w:tcPr>
            <w:tcW w:w="5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DDC2A2C"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4</w:t>
            </w:r>
          </w:p>
        </w:tc>
        <w:tc>
          <w:tcPr>
            <w:tcW w:w="552" w:type="dxa"/>
            <w:tcBorders>
              <w:top w:val="nil"/>
              <w:left w:val="nil"/>
              <w:bottom w:val="single" w:sz="4" w:space="0" w:color="auto"/>
              <w:right w:val="single" w:sz="4" w:space="0" w:color="auto"/>
            </w:tcBorders>
            <w:shd w:val="clear" w:color="auto" w:fill="F2F2F2" w:themeFill="background1" w:themeFillShade="F2"/>
            <w:noWrap/>
            <w:vAlign w:val="center"/>
            <w:hideMark/>
          </w:tcPr>
          <w:p w14:paraId="324AD28C"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4</w:t>
            </w:r>
          </w:p>
        </w:tc>
      </w:tr>
      <w:tr w:rsidR="00976FA2" w:rsidRPr="00ED5D46" w14:paraId="4ACB911F"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5F73FB95"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Universidad de las Américas Puebla</w:t>
            </w:r>
          </w:p>
        </w:tc>
        <w:tc>
          <w:tcPr>
            <w:tcW w:w="1003" w:type="dxa"/>
            <w:tcBorders>
              <w:top w:val="nil"/>
              <w:left w:val="nil"/>
              <w:bottom w:val="single" w:sz="4" w:space="0" w:color="auto"/>
              <w:right w:val="single" w:sz="4" w:space="0" w:color="auto"/>
            </w:tcBorders>
            <w:shd w:val="clear" w:color="auto" w:fill="auto"/>
            <w:noWrap/>
            <w:vAlign w:val="center"/>
            <w:hideMark/>
          </w:tcPr>
          <w:p w14:paraId="7F8773BE"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751-800</w:t>
            </w:r>
          </w:p>
        </w:tc>
        <w:tc>
          <w:tcPr>
            <w:tcW w:w="799" w:type="dxa"/>
            <w:tcBorders>
              <w:top w:val="nil"/>
              <w:left w:val="nil"/>
              <w:bottom w:val="single" w:sz="4" w:space="0" w:color="auto"/>
              <w:right w:val="single" w:sz="4" w:space="0" w:color="auto"/>
            </w:tcBorders>
            <w:shd w:val="clear" w:color="auto" w:fill="auto"/>
            <w:noWrap/>
            <w:vAlign w:val="center"/>
            <w:hideMark/>
          </w:tcPr>
          <w:p w14:paraId="0A704074"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auto"/>
            <w:noWrap/>
            <w:vAlign w:val="center"/>
            <w:hideMark/>
          </w:tcPr>
          <w:p w14:paraId="0F656282"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5</w:t>
            </w:r>
          </w:p>
        </w:tc>
        <w:tc>
          <w:tcPr>
            <w:tcW w:w="552" w:type="dxa"/>
            <w:tcBorders>
              <w:top w:val="nil"/>
              <w:left w:val="nil"/>
              <w:bottom w:val="single" w:sz="4" w:space="0" w:color="auto"/>
              <w:right w:val="single" w:sz="4" w:space="0" w:color="auto"/>
            </w:tcBorders>
            <w:shd w:val="clear" w:color="auto" w:fill="auto"/>
            <w:noWrap/>
            <w:vAlign w:val="center"/>
            <w:hideMark/>
          </w:tcPr>
          <w:p w14:paraId="3F80C9D4"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5</w:t>
            </w:r>
          </w:p>
        </w:tc>
      </w:tr>
      <w:tr w:rsidR="00976FA2" w:rsidRPr="00ED5D46" w14:paraId="64AD61F6"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8B3A8F"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Universidad Autónoma de Nuevo León</w:t>
            </w:r>
          </w:p>
        </w:tc>
        <w:tc>
          <w:tcPr>
            <w:tcW w:w="1003" w:type="dxa"/>
            <w:tcBorders>
              <w:top w:val="nil"/>
              <w:left w:val="nil"/>
              <w:bottom w:val="single" w:sz="4" w:space="0" w:color="auto"/>
              <w:right w:val="single" w:sz="4" w:space="0" w:color="auto"/>
            </w:tcBorders>
            <w:shd w:val="clear" w:color="auto" w:fill="F2F2F2" w:themeFill="background1" w:themeFillShade="F2"/>
            <w:noWrap/>
            <w:vAlign w:val="center"/>
            <w:hideMark/>
          </w:tcPr>
          <w:p w14:paraId="3E527A28"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801-1000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hideMark/>
          </w:tcPr>
          <w:p w14:paraId="7D253442"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Publica</w:t>
            </w:r>
          </w:p>
        </w:tc>
        <w:tc>
          <w:tcPr>
            <w:tcW w:w="5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752BF1E"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c>
          <w:tcPr>
            <w:tcW w:w="552" w:type="dxa"/>
            <w:tcBorders>
              <w:top w:val="nil"/>
              <w:left w:val="nil"/>
              <w:bottom w:val="single" w:sz="4" w:space="0" w:color="auto"/>
              <w:right w:val="single" w:sz="4" w:space="0" w:color="auto"/>
            </w:tcBorders>
            <w:shd w:val="clear" w:color="auto" w:fill="F2F2F2" w:themeFill="background1" w:themeFillShade="F2"/>
            <w:noWrap/>
            <w:vAlign w:val="center"/>
            <w:hideMark/>
          </w:tcPr>
          <w:p w14:paraId="5C7A8E2E"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r>
      <w:tr w:rsidR="00976FA2" w:rsidRPr="00ED5D46" w14:paraId="2E3635AA"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6A93FFBE"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xml:space="preserve">Universidad Autónoma del Estado de México </w:t>
            </w:r>
          </w:p>
        </w:tc>
        <w:tc>
          <w:tcPr>
            <w:tcW w:w="1003" w:type="dxa"/>
            <w:tcBorders>
              <w:top w:val="nil"/>
              <w:left w:val="nil"/>
              <w:bottom w:val="single" w:sz="4" w:space="0" w:color="auto"/>
              <w:right w:val="single" w:sz="4" w:space="0" w:color="auto"/>
            </w:tcBorders>
            <w:shd w:val="clear" w:color="auto" w:fill="auto"/>
            <w:noWrap/>
            <w:vAlign w:val="center"/>
            <w:hideMark/>
          </w:tcPr>
          <w:p w14:paraId="4AC71302"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801-1000</w:t>
            </w:r>
          </w:p>
        </w:tc>
        <w:tc>
          <w:tcPr>
            <w:tcW w:w="799" w:type="dxa"/>
            <w:tcBorders>
              <w:top w:val="nil"/>
              <w:left w:val="nil"/>
              <w:bottom w:val="single" w:sz="4" w:space="0" w:color="auto"/>
              <w:right w:val="single" w:sz="4" w:space="0" w:color="auto"/>
            </w:tcBorders>
            <w:shd w:val="clear" w:color="auto" w:fill="auto"/>
            <w:noWrap/>
            <w:vAlign w:val="center"/>
            <w:hideMark/>
          </w:tcPr>
          <w:p w14:paraId="52311EA6"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Publica</w:t>
            </w:r>
          </w:p>
        </w:tc>
        <w:tc>
          <w:tcPr>
            <w:tcW w:w="550" w:type="dxa"/>
            <w:tcBorders>
              <w:top w:val="nil"/>
              <w:left w:val="nil"/>
              <w:bottom w:val="single" w:sz="4" w:space="0" w:color="auto"/>
              <w:right w:val="single" w:sz="4" w:space="0" w:color="auto"/>
            </w:tcBorders>
            <w:shd w:val="clear" w:color="auto" w:fill="auto"/>
            <w:noWrap/>
            <w:vAlign w:val="center"/>
            <w:hideMark/>
          </w:tcPr>
          <w:p w14:paraId="4171A7DD"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3</w:t>
            </w:r>
          </w:p>
        </w:tc>
        <w:tc>
          <w:tcPr>
            <w:tcW w:w="552" w:type="dxa"/>
            <w:tcBorders>
              <w:top w:val="nil"/>
              <w:left w:val="nil"/>
              <w:bottom w:val="single" w:sz="4" w:space="0" w:color="auto"/>
              <w:right w:val="single" w:sz="4" w:space="0" w:color="auto"/>
            </w:tcBorders>
            <w:shd w:val="clear" w:color="auto" w:fill="auto"/>
            <w:noWrap/>
            <w:vAlign w:val="center"/>
            <w:hideMark/>
          </w:tcPr>
          <w:p w14:paraId="40418FCB"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3</w:t>
            </w:r>
          </w:p>
        </w:tc>
      </w:tr>
      <w:tr w:rsidR="00976FA2" w:rsidRPr="00ED5D46" w14:paraId="5FBC332A"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B58935"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xml:space="preserve">Universidad Autónoma Metropolitana </w:t>
            </w:r>
          </w:p>
        </w:tc>
        <w:tc>
          <w:tcPr>
            <w:tcW w:w="100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5D96E8"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801-1000</w:t>
            </w:r>
          </w:p>
        </w:tc>
        <w:tc>
          <w:tcPr>
            <w:tcW w:w="799" w:type="dxa"/>
            <w:tcBorders>
              <w:top w:val="nil"/>
              <w:left w:val="nil"/>
              <w:bottom w:val="single" w:sz="4" w:space="0" w:color="auto"/>
              <w:right w:val="single" w:sz="4" w:space="0" w:color="auto"/>
            </w:tcBorders>
            <w:shd w:val="clear" w:color="auto" w:fill="F2F2F2" w:themeFill="background1" w:themeFillShade="F2"/>
            <w:noWrap/>
            <w:vAlign w:val="center"/>
            <w:hideMark/>
          </w:tcPr>
          <w:p w14:paraId="44734EC6"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Publica</w:t>
            </w:r>
          </w:p>
        </w:tc>
        <w:tc>
          <w:tcPr>
            <w:tcW w:w="5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6A1CB96" w14:textId="77777777" w:rsidR="00976FA2" w:rsidRPr="00ED5D46" w:rsidRDefault="00976FA2" w:rsidP="00976FA2">
            <w:pPr>
              <w:spacing w:after="0" w:line="240" w:lineRule="auto"/>
              <w:rPr>
                <w:rFonts w:ascii="Calibri" w:eastAsia="Times New Roman" w:hAnsi="Calibri" w:cs="Calibri"/>
                <w:color w:val="000000"/>
                <w:lang w:eastAsia="es-MX"/>
              </w:rPr>
            </w:pPr>
            <w:r w:rsidRPr="00ED5D46">
              <w:rPr>
                <w:rFonts w:ascii="Calibri" w:eastAsia="Times New Roman" w:hAnsi="Calibri" w:cs="Calibri"/>
                <w:color w:val="000000"/>
                <w:lang w:eastAsia="es-MX"/>
              </w:rPr>
              <w:t> </w:t>
            </w:r>
          </w:p>
        </w:tc>
        <w:tc>
          <w:tcPr>
            <w:tcW w:w="552" w:type="dxa"/>
            <w:tcBorders>
              <w:top w:val="nil"/>
              <w:left w:val="nil"/>
              <w:bottom w:val="single" w:sz="4" w:space="0" w:color="auto"/>
              <w:right w:val="single" w:sz="4" w:space="0" w:color="auto"/>
            </w:tcBorders>
            <w:shd w:val="clear" w:color="auto" w:fill="F2F2F2" w:themeFill="background1" w:themeFillShade="F2"/>
            <w:noWrap/>
            <w:vAlign w:val="center"/>
            <w:hideMark/>
          </w:tcPr>
          <w:p w14:paraId="580C022C"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w:t>
            </w:r>
          </w:p>
        </w:tc>
      </w:tr>
      <w:tr w:rsidR="00976FA2" w:rsidRPr="00ED5D46" w14:paraId="4BEF02A4" w14:textId="77777777" w:rsidTr="00976FA2">
        <w:trPr>
          <w:trHeight w:val="232"/>
          <w:jc w:val="center"/>
        </w:trPr>
        <w:tc>
          <w:tcPr>
            <w:tcW w:w="4229" w:type="dxa"/>
            <w:tcBorders>
              <w:top w:val="nil"/>
              <w:left w:val="single" w:sz="4" w:space="0" w:color="auto"/>
              <w:bottom w:val="single" w:sz="4" w:space="0" w:color="auto"/>
              <w:right w:val="single" w:sz="4" w:space="0" w:color="auto"/>
            </w:tcBorders>
            <w:shd w:val="clear" w:color="auto" w:fill="auto"/>
            <w:noWrap/>
            <w:vAlign w:val="center"/>
            <w:hideMark/>
          </w:tcPr>
          <w:p w14:paraId="5203C2A6" w14:textId="77777777" w:rsidR="00976FA2" w:rsidRPr="00ED5D46" w:rsidRDefault="00976FA2" w:rsidP="00976FA2">
            <w:pPr>
              <w:spacing w:after="0" w:line="240" w:lineRule="auto"/>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 xml:space="preserve">Universidad de Monterrey </w:t>
            </w:r>
          </w:p>
        </w:tc>
        <w:tc>
          <w:tcPr>
            <w:tcW w:w="1003" w:type="dxa"/>
            <w:tcBorders>
              <w:top w:val="nil"/>
              <w:left w:val="nil"/>
              <w:bottom w:val="single" w:sz="4" w:space="0" w:color="auto"/>
              <w:right w:val="single" w:sz="4" w:space="0" w:color="auto"/>
            </w:tcBorders>
            <w:shd w:val="clear" w:color="auto" w:fill="auto"/>
            <w:noWrap/>
            <w:vAlign w:val="center"/>
            <w:hideMark/>
          </w:tcPr>
          <w:p w14:paraId="754F45D3"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801-1000</w:t>
            </w:r>
          </w:p>
        </w:tc>
        <w:tc>
          <w:tcPr>
            <w:tcW w:w="799" w:type="dxa"/>
            <w:tcBorders>
              <w:top w:val="nil"/>
              <w:left w:val="nil"/>
              <w:bottom w:val="single" w:sz="4" w:space="0" w:color="auto"/>
              <w:right w:val="single" w:sz="4" w:space="0" w:color="auto"/>
            </w:tcBorders>
            <w:shd w:val="clear" w:color="auto" w:fill="auto"/>
            <w:noWrap/>
            <w:vAlign w:val="center"/>
            <w:hideMark/>
          </w:tcPr>
          <w:p w14:paraId="7D36A297"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Privada</w:t>
            </w:r>
          </w:p>
        </w:tc>
        <w:tc>
          <w:tcPr>
            <w:tcW w:w="550" w:type="dxa"/>
            <w:tcBorders>
              <w:top w:val="nil"/>
              <w:left w:val="nil"/>
              <w:bottom w:val="single" w:sz="4" w:space="0" w:color="auto"/>
              <w:right w:val="single" w:sz="4" w:space="0" w:color="auto"/>
            </w:tcBorders>
            <w:shd w:val="clear" w:color="auto" w:fill="auto"/>
            <w:noWrap/>
            <w:vAlign w:val="center"/>
            <w:hideMark/>
          </w:tcPr>
          <w:p w14:paraId="34086D46"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4</w:t>
            </w:r>
          </w:p>
        </w:tc>
        <w:tc>
          <w:tcPr>
            <w:tcW w:w="552" w:type="dxa"/>
            <w:tcBorders>
              <w:top w:val="nil"/>
              <w:left w:val="nil"/>
              <w:bottom w:val="single" w:sz="4" w:space="0" w:color="auto"/>
              <w:right w:val="single" w:sz="4" w:space="0" w:color="auto"/>
            </w:tcBorders>
            <w:shd w:val="clear" w:color="auto" w:fill="auto"/>
            <w:noWrap/>
            <w:vAlign w:val="center"/>
            <w:hideMark/>
          </w:tcPr>
          <w:p w14:paraId="4254D7FE" w14:textId="77777777" w:rsidR="00976FA2" w:rsidRPr="00ED5D46" w:rsidRDefault="00976FA2" w:rsidP="00976FA2">
            <w:pPr>
              <w:spacing w:after="0" w:line="240" w:lineRule="auto"/>
              <w:jc w:val="center"/>
              <w:rPr>
                <w:rFonts w:ascii="Calibri" w:eastAsia="Times New Roman" w:hAnsi="Calibri" w:cs="Calibri"/>
                <w:color w:val="000000"/>
                <w:sz w:val="16"/>
                <w:szCs w:val="16"/>
                <w:lang w:eastAsia="es-MX"/>
              </w:rPr>
            </w:pPr>
            <w:r w:rsidRPr="00ED5D46">
              <w:rPr>
                <w:rFonts w:ascii="Calibri" w:eastAsia="Times New Roman" w:hAnsi="Calibri" w:cs="Calibri"/>
                <w:color w:val="000000"/>
                <w:sz w:val="16"/>
                <w:szCs w:val="16"/>
                <w:lang w:eastAsia="es-MX"/>
              </w:rPr>
              <w:t>4</w:t>
            </w:r>
          </w:p>
        </w:tc>
      </w:tr>
      <w:tr w:rsidR="00976FA2" w:rsidRPr="00ED5D46" w14:paraId="33E7A67A" w14:textId="77777777" w:rsidTr="00976FA2">
        <w:trPr>
          <w:trHeight w:val="232"/>
          <w:jc w:val="center"/>
        </w:trPr>
        <w:tc>
          <w:tcPr>
            <w:tcW w:w="7135" w:type="dxa"/>
            <w:gridSpan w:val="5"/>
            <w:tcBorders>
              <w:top w:val="nil"/>
              <w:left w:val="nil"/>
              <w:bottom w:val="nil"/>
              <w:right w:val="nil"/>
            </w:tcBorders>
            <w:shd w:val="clear" w:color="000000" w:fill="FFFFFF"/>
            <w:noWrap/>
            <w:vAlign w:val="center"/>
            <w:hideMark/>
          </w:tcPr>
          <w:p w14:paraId="15D55341" w14:textId="5D5FE62B" w:rsidR="00976FA2" w:rsidRPr="00ED5D46" w:rsidRDefault="00976FA2" w:rsidP="00976FA2">
            <w:pPr>
              <w:spacing w:after="0" w:line="240" w:lineRule="auto"/>
              <w:rPr>
                <w:rFonts w:ascii="Calibri" w:eastAsia="Times New Roman" w:hAnsi="Calibri" w:cs="Calibri"/>
                <w:b/>
                <w:bCs/>
                <w:color w:val="000000"/>
                <w:sz w:val="14"/>
                <w:szCs w:val="14"/>
                <w:lang w:eastAsia="es-MX"/>
              </w:rPr>
            </w:pPr>
            <w:r w:rsidRPr="00ED5D46">
              <w:rPr>
                <w:rFonts w:ascii="Calibri" w:eastAsia="Times New Roman" w:hAnsi="Calibri" w:cs="Calibri"/>
                <w:b/>
                <w:bCs/>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ranking mundial de universidades, 2019-2020.</w:t>
            </w:r>
          </w:p>
        </w:tc>
      </w:tr>
      <w:tr w:rsidR="00976FA2" w:rsidRPr="00ED5D46" w14:paraId="5D9A4152" w14:textId="77777777" w:rsidTr="00976FA2">
        <w:trPr>
          <w:trHeight w:val="232"/>
          <w:jc w:val="center"/>
        </w:trPr>
        <w:tc>
          <w:tcPr>
            <w:tcW w:w="7135" w:type="dxa"/>
            <w:gridSpan w:val="5"/>
            <w:tcBorders>
              <w:top w:val="nil"/>
              <w:left w:val="nil"/>
              <w:bottom w:val="nil"/>
              <w:right w:val="nil"/>
            </w:tcBorders>
            <w:shd w:val="clear" w:color="000000" w:fill="FFFFFF"/>
            <w:noWrap/>
            <w:vAlign w:val="center"/>
            <w:hideMark/>
          </w:tcPr>
          <w:p w14:paraId="30B652FB" w14:textId="3CBD8535" w:rsidR="00976FA2" w:rsidRPr="00ED5D46" w:rsidRDefault="00976FA2" w:rsidP="00976FA2">
            <w:pPr>
              <w:spacing w:after="0" w:line="240" w:lineRule="auto"/>
              <w:rPr>
                <w:rFonts w:ascii="Calibri" w:eastAsia="Times New Roman" w:hAnsi="Calibri" w:cs="Calibri"/>
                <w:b/>
                <w:bCs/>
                <w:color w:val="000000"/>
                <w:sz w:val="14"/>
                <w:szCs w:val="14"/>
                <w:lang w:eastAsia="es-MX"/>
              </w:rPr>
            </w:pPr>
            <w:r w:rsidRPr="00ED5D46">
              <w:rPr>
                <w:rFonts w:ascii="Calibri" w:eastAsia="Times New Roman" w:hAnsi="Calibri" w:cs="Calibri"/>
                <w:b/>
                <w:bCs/>
                <w:color w:val="000000"/>
                <w:sz w:val="14"/>
                <w:szCs w:val="14"/>
                <w:lang w:eastAsia="es-MX"/>
              </w:rPr>
              <w:t xml:space="preserve">Nota: </w:t>
            </w:r>
            <w:r w:rsidRPr="00ED5D46">
              <w:rPr>
                <w:rFonts w:ascii="Calibri" w:eastAsia="Times New Roman" w:hAnsi="Calibri" w:cs="Calibri"/>
                <w:color w:val="000000"/>
                <w:sz w:val="14"/>
                <w:szCs w:val="14"/>
                <w:lang w:eastAsia="es-MX"/>
              </w:rPr>
              <w:t>Ordenado conforme a la posición obtenida en 2020 y el nombre de la institución.</w:t>
            </w:r>
            <w:r w:rsidRPr="00ED5D46">
              <w:rPr>
                <w:rFonts w:ascii="Calibri" w:eastAsia="Times New Roman" w:hAnsi="Calibri" w:cs="Calibri"/>
                <w:b/>
                <w:bCs/>
                <w:color w:val="000000"/>
                <w:sz w:val="14"/>
                <w:szCs w:val="14"/>
                <w:lang w:eastAsia="es-MX"/>
              </w:rPr>
              <w:t> </w:t>
            </w:r>
          </w:p>
        </w:tc>
      </w:tr>
    </w:tbl>
    <w:p w14:paraId="7928D9F4" w14:textId="77777777" w:rsidR="00976FA2" w:rsidRPr="00ED5D46" w:rsidRDefault="00976FA2" w:rsidP="00CD645D">
      <w:pPr>
        <w:pStyle w:val="Prrafodelista"/>
        <w:spacing w:after="0" w:line="240" w:lineRule="auto"/>
        <w:jc w:val="both"/>
        <w:rPr>
          <w:b/>
          <w:sz w:val="24"/>
        </w:rPr>
      </w:pPr>
    </w:p>
    <w:p w14:paraId="239B3F51" w14:textId="250940D6" w:rsidR="00F6783A" w:rsidRPr="00ED5D46" w:rsidRDefault="006B3FF3" w:rsidP="00CD645D">
      <w:pPr>
        <w:pStyle w:val="Prrafodelista"/>
        <w:spacing w:after="0" w:line="240" w:lineRule="auto"/>
        <w:jc w:val="both"/>
        <w:rPr>
          <w:b/>
          <w:sz w:val="24"/>
        </w:rPr>
      </w:pPr>
      <w:r w:rsidRPr="00ED5D46">
        <w:rPr>
          <w:b/>
          <w:sz w:val="24"/>
        </w:rPr>
        <w:t>C</w:t>
      </w:r>
      <w:r w:rsidR="00F6783A" w:rsidRPr="00ED5D46">
        <w:rPr>
          <w:b/>
          <w:sz w:val="24"/>
        </w:rPr>
        <w:t>omportamiento de la UNAM en el periodo 201</w:t>
      </w:r>
      <w:r w:rsidR="0071412B" w:rsidRPr="00ED5D46">
        <w:rPr>
          <w:b/>
          <w:sz w:val="24"/>
        </w:rPr>
        <w:t>2</w:t>
      </w:r>
      <w:r w:rsidR="00F6783A" w:rsidRPr="00ED5D46">
        <w:rPr>
          <w:b/>
          <w:sz w:val="24"/>
        </w:rPr>
        <w:t xml:space="preserve"> </w:t>
      </w:r>
      <w:r w:rsidR="00250246" w:rsidRPr="00ED5D46">
        <w:rPr>
          <w:b/>
          <w:sz w:val="24"/>
        </w:rPr>
        <w:t xml:space="preserve">- </w:t>
      </w:r>
      <w:r w:rsidR="00062B9F" w:rsidRPr="00ED5D46">
        <w:rPr>
          <w:b/>
          <w:sz w:val="24"/>
        </w:rPr>
        <w:t>20</w:t>
      </w:r>
      <w:r w:rsidR="00FD00F1" w:rsidRPr="00ED5D46">
        <w:rPr>
          <w:b/>
          <w:sz w:val="24"/>
        </w:rPr>
        <w:t>20</w:t>
      </w:r>
      <w:r w:rsidR="00F6783A" w:rsidRPr="00ED5D46">
        <w:rPr>
          <w:b/>
          <w:sz w:val="24"/>
        </w:rPr>
        <w:t>.</w:t>
      </w:r>
    </w:p>
    <w:p w14:paraId="15D8D1BB" w14:textId="19961F84" w:rsidR="00F6783A" w:rsidRPr="00ED5D46" w:rsidRDefault="00F6783A" w:rsidP="00CD645D">
      <w:pPr>
        <w:pStyle w:val="Prrafodelista"/>
        <w:numPr>
          <w:ilvl w:val="1"/>
          <w:numId w:val="11"/>
        </w:numPr>
        <w:spacing w:after="0" w:line="240" w:lineRule="auto"/>
        <w:jc w:val="both"/>
        <w:rPr>
          <w:sz w:val="24"/>
        </w:rPr>
      </w:pPr>
      <w:r w:rsidRPr="00ED5D46">
        <w:rPr>
          <w:sz w:val="24"/>
        </w:rPr>
        <w:t xml:space="preserve">La UNAM </w:t>
      </w:r>
      <w:r w:rsidR="00021F28" w:rsidRPr="00ED5D46">
        <w:rPr>
          <w:sz w:val="24"/>
        </w:rPr>
        <w:t>aventaj</w:t>
      </w:r>
      <w:r w:rsidR="00641AA1">
        <w:rPr>
          <w:sz w:val="24"/>
        </w:rPr>
        <w:t>ó</w:t>
      </w:r>
      <w:r w:rsidR="00021F28" w:rsidRPr="00ED5D46">
        <w:rPr>
          <w:sz w:val="24"/>
        </w:rPr>
        <w:t xml:space="preserve"> 10 posiciones al pasar </w:t>
      </w:r>
      <w:r w:rsidRPr="00ED5D46">
        <w:rPr>
          <w:sz w:val="24"/>
        </w:rPr>
        <w:t xml:space="preserve">del lugar </w:t>
      </w:r>
      <w:r w:rsidR="008866FB" w:rsidRPr="00ED5D46">
        <w:rPr>
          <w:sz w:val="24"/>
        </w:rPr>
        <w:t>1</w:t>
      </w:r>
      <w:r w:rsidR="00021F28" w:rsidRPr="00ED5D46">
        <w:rPr>
          <w:sz w:val="24"/>
        </w:rPr>
        <w:t>13</w:t>
      </w:r>
      <w:r w:rsidR="008866FB" w:rsidRPr="00ED5D46">
        <w:rPr>
          <w:sz w:val="24"/>
        </w:rPr>
        <w:t xml:space="preserve"> </w:t>
      </w:r>
      <w:r w:rsidR="00021F28" w:rsidRPr="00ED5D46">
        <w:rPr>
          <w:sz w:val="24"/>
        </w:rPr>
        <w:t xml:space="preserve">en la edición 2019 </w:t>
      </w:r>
      <w:r w:rsidR="009B2E46" w:rsidRPr="00ED5D46">
        <w:rPr>
          <w:sz w:val="24"/>
        </w:rPr>
        <w:t>al 1</w:t>
      </w:r>
      <w:r w:rsidR="00021F28" w:rsidRPr="00ED5D46">
        <w:rPr>
          <w:sz w:val="24"/>
        </w:rPr>
        <w:t>0</w:t>
      </w:r>
      <w:r w:rsidR="009B2E46" w:rsidRPr="00ED5D46">
        <w:rPr>
          <w:sz w:val="24"/>
        </w:rPr>
        <w:t>3</w:t>
      </w:r>
      <w:r w:rsidR="00945346" w:rsidRPr="00ED5D46">
        <w:rPr>
          <w:sz w:val="24"/>
        </w:rPr>
        <w:t>;</w:t>
      </w:r>
      <w:r w:rsidRPr="00ED5D46">
        <w:rPr>
          <w:sz w:val="24"/>
        </w:rPr>
        <w:t xml:space="preserve"> </w:t>
      </w:r>
    </w:p>
    <w:p w14:paraId="7CA2D088" w14:textId="7D9B8FE9" w:rsidR="0025102A" w:rsidRPr="00ED5D46" w:rsidRDefault="0025102A" w:rsidP="00CD645D">
      <w:pPr>
        <w:pStyle w:val="Prrafodelista"/>
        <w:numPr>
          <w:ilvl w:val="1"/>
          <w:numId w:val="11"/>
        </w:numPr>
        <w:spacing w:after="0" w:line="240" w:lineRule="auto"/>
        <w:jc w:val="both"/>
        <w:rPr>
          <w:sz w:val="24"/>
        </w:rPr>
      </w:pPr>
      <w:r w:rsidRPr="00ED5D46">
        <w:rPr>
          <w:sz w:val="24"/>
        </w:rPr>
        <w:t xml:space="preserve">En el puntaje general </w:t>
      </w:r>
      <w:r w:rsidR="00667AE4" w:rsidRPr="00ED5D46">
        <w:rPr>
          <w:sz w:val="24"/>
        </w:rPr>
        <w:t xml:space="preserve">se </w:t>
      </w:r>
      <w:r w:rsidR="00AD2B48" w:rsidRPr="00ED5D46">
        <w:rPr>
          <w:sz w:val="24"/>
        </w:rPr>
        <w:t xml:space="preserve">obtuvo un total de 58.8 </w:t>
      </w:r>
      <w:r w:rsidR="00667AE4" w:rsidRPr="00ED5D46">
        <w:rPr>
          <w:sz w:val="24"/>
        </w:rPr>
        <w:t xml:space="preserve">puntos sobre </w:t>
      </w:r>
      <w:r w:rsidRPr="00ED5D46">
        <w:rPr>
          <w:sz w:val="24"/>
        </w:rPr>
        <w:t>un total de 100</w:t>
      </w:r>
      <w:r w:rsidR="00133440" w:rsidRPr="00ED5D46">
        <w:rPr>
          <w:sz w:val="24"/>
        </w:rPr>
        <w:t xml:space="preserve"> posibles</w:t>
      </w:r>
      <w:r w:rsidRPr="00ED5D46">
        <w:rPr>
          <w:sz w:val="24"/>
        </w:rPr>
        <w:t>;</w:t>
      </w:r>
      <w:bookmarkStart w:id="0" w:name="_GoBack"/>
      <w:bookmarkEnd w:id="0"/>
    </w:p>
    <w:p w14:paraId="5CBB020D" w14:textId="4BFC0A6C" w:rsidR="00C01650" w:rsidRPr="00ED5D46" w:rsidRDefault="00AD2B48" w:rsidP="00AD2B48">
      <w:pPr>
        <w:pStyle w:val="Prrafodelista"/>
        <w:numPr>
          <w:ilvl w:val="1"/>
          <w:numId w:val="11"/>
        </w:numPr>
        <w:spacing w:after="0" w:line="240" w:lineRule="auto"/>
        <w:jc w:val="both"/>
        <w:rPr>
          <w:sz w:val="24"/>
        </w:rPr>
      </w:pPr>
      <w:r w:rsidRPr="00ED5D46">
        <w:rPr>
          <w:sz w:val="24"/>
        </w:rPr>
        <w:t>Se presentó un incremento de 6.8 puntos en el indicador de “Relación entre estudiantes y profesores”, 3.9 puntos en “Reputación según empleadores”, 1.6 en el indicador de “Reputación según académicos”, y de 0.4 puntos en “Proporción de estudiantes extranjeros”.</w:t>
      </w:r>
    </w:p>
    <w:p w14:paraId="18F6B8AC" w14:textId="759D590D" w:rsidR="00ED5D46" w:rsidRPr="00ED5D46" w:rsidRDefault="00ED5D46" w:rsidP="00ED5D46">
      <w:pPr>
        <w:pStyle w:val="Prrafodelista"/>
        <w:numPr>
          <w:ilvl w:val="1"/>
          <w:numId w:val="11"/>
        </w:numPr>
        <w:spacing w:after="0" w:line="240" w:lineRule="auto"/>
        <w:jc w:val="both"/>
        <w:rPr>
          <w:sz w:val="24"/>
        </w:rPr>
      </w:pPr>
      <w:r w:rsidRPr="00ED5D46">
        <w:rPr>
          <w:sz w:val="24"/>
        </w:rPr>
        <w:t xml:space="preserve">Se tuvo un decremento de 6.6 puntos en el rubro de “Proporción de académicos extranjeros” que considera a los académicos internacionales del </w:t>
      </w:r>
      <w:r w:rsidRPr="00ED5D46">
        <w:rPr>
          <w:sz w:val="24"/>
        </w:rPr>
        <w:lastRenderedPageBreak/>
        <w:t xml:space="preserve">total de la planta académica, y de 0.2 puntos en las “Citas académicas por artículo entre planta académica” en Scopus. </w:t>
      </w:r>
    </w:p>
    <w:p w14:paraId="1C5420B5" w14:textId="77777777" w:rsidR="003F6DF0" w:rsidRPr="00ED5D46" w:rsidRDefault="003F6DF0" w:rsidP="00CD645D">
      <w:pPr>
        <w:pStyle w:val="Prrafodelista"/>
        <w:spacing w:after="0" w:line="240" w:lineRule="auto"/>
        <w:rPr>
          <w:sz w:val="20"/>
        </w:rPr>
      </w:pPr>
    </w:p>
    <w:tbl>
      <w:tblPr>
        <w:tblW w:w="10546" w:type="dxa"/>
        <w:jc w:val="center"/>
        <w:tblLayout w:type="fixed"/>
        <w:tblCellMar>
          <w:left w:w="70" w:type="dxa"/>
          <w:right w:w="70" w:type="dxa"/>
        </w:tblCellMar>
        <w:tblLook w:val="04A0" w:firstRow="1" w:lastRow="0" w:firstColumn="1" w:lastColumn="0" w:noHBand="0" w:noVBand="1"/>
      </w:tblPr>
      <w:tblGrid>
        <w:gridCol w:w="1168"/>
        <w:gridCol w:w="852"/>
        <w:gridCol w:w="852"/>
        <w:gridCol w:w="1278"/>
        <w:gridCol w:w="1278"/>
        <w:gridCol w:w="1279"/>
        <w:gridCol w:w="1453"/>
        <w:gridCol w:w="1209"/>
        <w:gridCol w:w="1177"/>
      </w:tblGrid>
      <w:tr w:rsidR="00945346" w:rsidRPr="00ED5D46" w14:paraId="56FB97A4" w14:textId="77777777" w:rsidTr="007D5D89">
        <w:trPr>
          <w:trHeight w:val="299"/>
          <w:jc w:val="center"/>
        </w:trPr>
        <w:tc>
          <w:tcPr>
            <w:tcW w:w="10546" w:type="dxa"/>
            <w:gridSpan w:val="9"/>
            <w:tcBorders>
              <w:bottom w:val="single" w:sz="4" w:space="0" w:color="auto"/>
            </w:tcBorders>
            <w:shd w:val="clear" w:color="auto" w:fill="auto"/>
            <w:noWrap/>
            <w:vAlign w:val="center"/>
          </w:tcPr>
          <w:p w14:paraId="4889512A" w14:textId="2FD92217" w:rsidR="00945346" w:rsidRPr="00ED5D46" w:rsidRDefault="00945346" w:rsidP="00C74A05">
            <w:pPr>
              <w:spacing w:after="0" w:line="240" w:lineRule="auto"/>
              <w:jc w:val="center"/>
              <w:rPr>
                <w:rFonts w:ascii="Calibri" w:eastAsia="Times New Roman" w:hAnsi="Calibri" w:cs="Times New Roman"/>
                <w:b/>
                <w:bCs/>
                <w:color w:val="000000"/>
                <w:sz w:val="20"/>
                <w:szCs w:val="18"/>
                <w:lang w:eastAsia="es-MX"/>
              </w:rPr>
            </w:pPr>
            <w:r w:rsidRPr="00ED5D46">
              <w:rPr>
                <w:b/>
                <w:sz w:val="20"/>
                <w:szCs w:val="18"/>
              </w:rPr>
              <w:t xml:space="preserve">Tabla </w:t>
            </w:r>
            <w:r w:rsidR="008B73D1" w:rsidRPr="00ED5D46">
              <w:rPr>
                <w:b/>
                <w:sz w:val="20"/>
                <w:szCs w:val="18"/>
              </w:rPr>
              <w:t>4</w:t>
            </w:r>
            <w:r w:rsidRPr="00ED5D46">
              <w:rPr>
                <w:b/>
                <w:sz w:val="20"/>
                <w:szCs w:val="18"/>
              </w:rPr>
              <w:t xml:space="preserve">. Desempeño de la UNAM en los indicadores del </w:t>
            </w:r>
            <w:r w:rsidR="001A7734" w:rsidRPr="00ED5D46">
              <w:rPr>
                <w:b/>
                <w:sz w:val="20"/>
                <w:szCs w:val="18"/>
              </w:rPr>
              <w:t>QS ranking mundial de universidades</w:t>
            </w:r>
            <w:r w:rsidRPr="00ED5D46">
              <w:rPr>
                <w:b/>
                <w:sz w:val="20"/>
                <w:szCs w:val="18"/>
              </w:rPr>
              <w:t>, 201</w:t>
            </w:r>
            <w:r w:rsidR="0071412B" w:rsidRPr="00ED5D46">
              <w:rPr>
                <w:b/>
                <w:sz w:val="20"/>
                <w:szCs w:val="18"/>
              </w:rPr>
              <w:t>2</w:t>
            </w:r>
            <w:r w:rsidRPr="00ED5D46">
              <w:rPr>
                <w:b/>
                <w:sz w:val="20"/>
                <w:szCs w:val="18"/>
              </w:rPr>
              <w:t>-20</w:t>
            </w:r>
            <w:r w:rsidR="00C74A05" w:rsidRPr="00ED5D46">
              <w:rPr>
                <w:b/>
                <w:sz w:val="20"/>
                <w:szCs w:val="18"/>
              </w:rPr>
              <w:t>20</w:t>
            </w:r>
            <w:r w:rsidRPr="00ED5D46">
              <w:rPr>
                <w:b/>
                <w:sz w:val="20"/>
                <w:szCs w:val="18"/>
              </w:rPr>
              <w:t>.</w:t>
            </w:r>
          </w:p>
        </w:tc>
      </w:tr>
      <w:tr w:rsidR="00945346" w:rsidRPr="00ED5D46" w14:paraId="24BC8054" w14:textId="77777777" w:rsidTr="007D5D89">
        <w:trPr>
          <w:trHeight w:val="714"/>
          <w:jc w:val="center"/>
        </w:trPr>
        <w:tc>
          <w:tcPr>
            <w:tcW w:w="116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F55130" w14:textId="77777777" w:rsidR="00945346" w:rsidRPr="00ED5D46" w:rsidRDefault="00945346" w:rsidP="00CD645D">
            <w:pPr>
              <w:spacing w:after="0" w:line="240" w:lineRule="auto"/>
              <w:jc w:val="center"/>
              <w:rPr>
                <w:rFonts w:ascii="Calibri" w:eastAsia="Times New Roman" w:hAnsi="Calibri" w:cs="Times New Roman"/>
                <w:b/>
                <w:bCs/>
                <w:color w:val="000000"/>
                <w:sz w:val="16"/>
                <w:szCs w:val="16"/>
                <w:lang w:eastAsia="es-MX"/>
              </w:rPr>
            </w:pPr>
            <w:r w:rsidRPr="00ED5D46">
              <w:rPr>
                <w:b/>
                <w:sz w:val="16"/>
                <w:szCs w:val="16"/>
              </w:rPr>
              <w:t>Año</w:t>
            </w:r>
          </w:p>
        </w:tc>
        <w:tc>
          <w:tcPr>
            <w:tcW w:w="85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A38536A" w14:textId="77777777" w:rsidR="00945346" w:rsidRPr="00ED5D46" w:rsidRDefault="00945346" w:rsidP="00CD645D">
            <w:pPr>
              <w:spacing w:after="0" w:line="240" w:lineRule="auto"/>
              <w:jc w:val="center"/>
              <w:rPr>
                <w:rFonts w:ascii="Calibri" w:eastAsia="Times New Roman" w:hAnsi="Calibri" w:cs="Times New Roman"/>
                <w:b/>
                <w:bCs/>
                <w:color w:val="000000"/>
                <w:sz w:val="16"/>
                <w:szCs w:val="16"/>
                <w:lang w:eastAsia="es-MX"/>
              </w:rPr>
            </w:pPr>
            <w:r w:rsidRPr="00ED5D46">
              <w:rPr>
                <w:b/>
                <w:sz w:val="16"/>
                <w:szCs w:val="16"/>
              </w:rPr>
              <w:t>Posición</w:t>
            </w:r>
          </w:p>
        </w:tc>
        <w:tc>
          <w:tcPr>
            <w:tcW w:w="85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DE4CD18" w14:textId="07297100" w:rsidR="00945346" w:rsidRPr="00ED5D46" w:rsidRDefault="00945346" w:rsidP="00CD645D">
            <w:pPr>
              <w:spacing w:after="0" w:line="240" w:lineRule="auto"/>
              <w:jc w:val="center"/>
              <w:rPr>
                <w:b/>
                <w:sz w:val="16"/>
                <w:szCs w:val="16"/>
              </w:rPr>
            </w:pPr>
            <w:r w:rsidRPr="00ED5D46">
              <w:rPr>
                <w:b/>
                <w:sz w:val="16"/>
                <w:szCs w:val="16"/>
              </w:rPr>
              <w:t>Puntaje Gral.</w:t>
            </w:r>
          </w:p>
        </w:tc>
        <w:tc>
          <w:tcPr>
            <w:tcW w:w="127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D9CE569" w14:textId="5BE0C139" w:rsidR="00945346" w:rsidRPr="00ED5D46" w:rsidRDefault="00945346" w:rsidP="00CD645D">
            <w:pPr>
              <w:spacing w:after="0" w:line="240" w:lineRule="auto"/>
              <w:jc w:val="center"/>
              <w:rPr>
                <w:b/>
                <w:sz w:val="16"/>
                <w:szCs w:val="16"/>
              </w:rPr>
            </w:pPr>
            <w:r w:rsidRPr="00ED5D46">
              <w:rPr>
                <w:b/>
                <w:sz w:val="16"/>
                <w:szCs w:val="16"/>
              </w:rPr>
              <w:t>Reputación según académicos</w:t>
            </w:r>
          </w:p>
        </w:tc>
        <w:tc>
          <w:tcPr>
            <w:tcW w:w="127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719E93A" w14:textId="586198B3" w:rsidR="00945346" w:rsidRPr="00ED5D46" w:rsidRDefault="00945346" w:rsidP="00CD645D">
            <w:pPr>
              <w:spacing w:after="0" w:line="240" w:lineRule="auto"/>
              <w:jc w:val="center"/>
              <w:rPr>
                <w:b/>
                <w:sz w:val="16"/>
                <w:szCs w:val="16"/>
              </w:rPr>
            </w:pPr>
            <w:r w:rsidRPr="00ED5D46">
              <w:rPr>
                <w:b/>
                <w:sz w:val="16"/>
                <w:szCs w:val="16"/>
              </w:rPr>
              <w:t>Reputación según empleadores</w:t>
            </w:r>
          </w:p>
        </w:tc>
        <w:tc>
          <w:tcPr>
            <w:tcW w:w="127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815281D" w14:textId="332BE192" w:rsidR="00945346" w:rsidRPr="00ED5D46" w:rsidRDefault="00945346" w:rsidP="00CD645D">
            <w:pPr>
              <w:spacing w:after="0" w:line="240" w:lineRule="auto"/>
              <w:jc w:val="center"/>
              <w:rPr>
                <w:b/>
                <w:sz w:val="16"/>
                <w:szCs w:val="16"/>
              </w:rPr>
            </w:pPr>
            <w:r w:rsidRPr="00ED5D46">
              <w:rPr>
                <w:b/>
                <w:sz w:val="16"/>
                <w:szCs w:val="16"/>
              </w:rPr>
              <w:t>Relación entre estudiantes y profesores</w:t>
            </w:r>
          </w:p>
        </w:tc>
        <w:tc>
          <w:tcPr>
            <w:tcW w:w="145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EB0DCC4" w14:textId="35797003" w:rsidR="00945346" w:rsidRPr="00ED5D46" w:rsidRDefault="00945346" w:rsidP="00CD645D">
            <w:pPr>
              <w:spacing w:after="0" w:line="240" w:lineRule="auto"/>
              <w:jc w:val="center"/>
              <w:rPr>
                <w:b/>
                <w:sz w:val="16"/>
                <w:szCs w:val="16"/>
              </w:rPr>
            </w:pPr>
            <w:r w:rsidRPr="00ED5D46">
              <w:rPr>
                <w:b/>
                <w:sz w:val="16"/>
                <w:szCs w:val="16"/>
              </w:rPr>
              <w:t>Citas académicas por artículo entre planta académica</w:t>
            </w:r>
          </w:p>
        </w:tc>
        <w:tc>
          <w:tcPr>
            <w:tcW w:w="12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2122B56" w14:textId="0ECAF1FE" w:rsidR="00945346" w:rsidRPr="00ED5D46" w:rsidRDefault="00945346" w:rsidP="00CD645D">
            <w:pPr>
              <w:spacing w:after="0" w:line="240" w:lineRule="auto"/>
              <w:jc w:val="center"/>
              <w:rPr>
                <w:b/>
                <w:sz w:val="16"/>
                <w:szCs w:val="16"/>
              </w:rPr>
            </w:pPr>
            <w:r w:rsidRPr="00ED5D46">
              <w:rPr>
                <w:b/>
                <w:sz w:val="16"/>
                <w:szCs w:val="16"/>
              </w:rPr>
              <w:t>Proporción de académicos extranjeros</w:t>
            </w:r>
          </w:p>
        </w:tc>
        <w:tc>
          <w:tcPr>
            <w:tcW w:w="11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E155DCE" w14:textId="1AB25B04" w:rsidR="00945346" w:rsidRPr="00ED5D46" w:rsidRDefault="00945346" w:rsidP="00CD645D">
            <w:pPr>
              <w:spacing w:after="0" w:line="240" w:lineRule="auto"/>
              <w:jc w:val="center"/>
              <w:rPr>
                <w:b/>
                <w:sz w:val="16"/>
                <w:szCs w:val="16"/>
              </w:rPr>
            </w:pPr>
            <w:r w:rsidRPr="00ED5D46">
              <w:rPr>
                <w:b/>
                <w:sz w:val="16"/>
                <w:szCs w:val="16"/>
              </w:rPr>
              <w:t>Proporción de estudiantes extranjeros</w:t>
            </w:r>
          </w:p>
        </w:tc>
      </w:tr>
      <w:tr w:rsidR="0071412B" w:rsidRPr="00ED5D46" w14:paraId="79559FA4" w14:textId="77777777" w:rsidTr="006303B1">
        <w:trPr>
          <w:trHeight w:val="204"/>
          <w:jc w:val="center"/>
        </w:trPr>
        <w:tc>
          <w:tcPr>
            <w:tcW w:w="1168" w:type="dxa"/>
            <w:tcBorders>
              <w:top w:val="nil"/>
              <w:left w:val="single" w:sz="4" w:space="0" w:color="auto"/>
              <w:bottom w:val="single" w:sz="4" w:space="0" w:color="auto"/>
              <w:right w:val="single" w:sz="4" w:space="0" w:color="auto"/>
            </w:tcBorders>
            <w:shd w:val="clear" w:color="auto" w:fill="E7E6E6" w:themeFill="background2"/>
            <w:noWrap/>
            <w:vAlign w:val="bottom"/>
          </w:tcPr>
          <w:p w14:paraId="727FE5A0" w14:textId="6B253C12"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2012</w:t>
            </w:r>
          </w:p>
        </w:tc>
        <w:tc>
          <w:tcPr>
            <w:tcW w:w="852" w:type="dxa"/>
            <w:tcBorders>
              <w:top w:val="nil"/>
              <w:left w:val="nil"/>
              <w:bottom w:val="single" w:sz="4" w:space="0" w:color="auto"/>
              <w:right w:val="single" w:sz="4" w:space="0" w:color="auto"/>
            </w:tcBorders>
            <w:shd w:val="clear" w:color="auto" w:fill="E7E6E6" w:themeFill="background2"/>
            <w:noWrap/>
            <w:vAlign w:val="bottom"/>
          </w:tcPr>
          <w:p w14:paraId="2F991094" w14:textId="2632CC60"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169</w:t>
            </w:r>
          </w:p>
        </w:tc>
        <w:tc>
          <w:tcPr>
            <w:tcW w:w="852" w:type="dxa"/>
            <w:tcBorders>
              <w:top w:val="nil"/>
              <w:left w:val="nil"/>
              <w:bottom w:val="single" w:sz="4" w:space="0" w:color="auto"/>
              <w:right w:val="single" w:sz="4" w:space="0" w:color="auto"/>
            </w:tcBorders>
            <w:shd w:val="clear" w:color="auto" w:fill="E7E6E6" w:themeFill="background2"/>
            <w:noWrap/>
            <w:vAlign w:val="bottom"/>
          </w:tcPr>
          <w:p w14:paraId="1E1DD582" w14:textId="2EAD3619"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50.7</w:t>
            </w:r>
          </w:p>
        </w:tc>
        <w:tc>
          <w:tcPr>
            <w:tcW w:w="1278" w:type="dxa"/>
            <w:tcBorders>
              <w:top w:val="nil"/>
              <w:left w:val="nil"/>
              <w:bottom w:val="single" w:sz="4" w:space="0" w:color="auto"/>
              <w:right w:val="single" w:sz="4" w:space="0" w:color="auto"/>
            </w:tcBorders>
            <w:shd w:val="clear" w:color="auto" w:fill="E7E6E6" w:themeFill="background2"/>
            <w:noWrap/>
            <w:vAlign w:val="bottom"/>
          </w:tcPr>
          <w:p w14:paraId="7994AA99" w14:textId="34E48D18"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79.4</w:t>
            </w:r>
          </w:p>
        </w:tc>
        <w:tc>
          <w:tcPr>
            <w:tcW w:w="1278" w:type="dxa"/>
            <w:tcBorders>
              <w:top w:val="nil"/>
              <w:left w:val="nil"/>
              <w:bottom w:val="single" w:sz="4" w:space="0" w:color="auto"/>
              <w:right w:val="single" w:sz="4" w:space="0" w:color="auto"/>
            </w:tcBorders>
            <w:shd w:val="clear" w:color="auto" w:fill="E7E6E6" w:themeFill="background2"/>
            <w:noWrap/>
            <w:vAlign w:val="bottom"/>
          </w:tcPr>
          <w:p w14:paraId="5761AFA2" w14:textId="5396EC88"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55.9</w:t>
            </w:r>
          </w:p>
        </w:tc>
        <w:tc>
          <w:tcPr>
            <w:tcW w:w="1279" w:type="dxa"/>
            <w:tcBorders>
              <w:top w:val="nil"/>
              <w:left w:val="nil"/>
              <w:bottom w:val="single" w:sz="4" w:space="0" w:color="auto"/>
              <w:right w:val="single" w:sz="4" w:space="0" w:color="auto"/>
            </w:tcBorders>
            <w:shd w:val="clear" w:color="auto" w:fill="E7E6E6" w:themeFill="background2"/>
            <w:noWrap/>
            <w:vAlign w:val="bottom"/>
          </w:tcPr>
          <w:p w14:paraId="599BC406" w14:textId="075B156A"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52.6</w:t>
            </w:r>
          </w:p>
        </w:tc>
        <w:tc>
          <w:tcPr>
            <w:tcW w:w="1453" w:type="dxa"/>
            <w:tcBorders>
              <w:top w:val="nil"/>
              <w:left w:val="nil"/>
              <w:bottom w:val="single" w:sz="4" w:space="0" w:color="auto"/>
              <w:right w:val="single" w:sz="4" w:space="0" w:color="auto"/>
            </w:tcBorders>
            <w:shd w:val="clear" w:color="auto" w:fill="E7E6E6" w:themeFill="background2"/>
            <w:noWrap/>
            <w:vAlign w:val="bottom"/>
          </w:tcPr>
          <w:p w14:paraId="47BC02C8" w14:textId="63FC049A"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4.5</w:t>
            </w:r>
          </w:p>
        </w:tc>
        <w:tc>
          <w:tcPr>
            <w:tcW w:w="1209" w:type="dxa"/>
            <w:tcBorders>
              <w:top w:val="nil"/>
              <w:left w:val="nil"/>
              <w:bottom w:val="single" w:sz="4" w:space="0" w:color="auto"/>
              <w:right w:val="single" w:sz="4" w:space="0" w:color="auto"/>
            </w:tcBorders>
            <w:shd w:val="clear" w:color="auto" w:fill="E7E6E6" w:themeFill="background2"/>
            <w:noWrap/>
            <w:vAlign w:val="bottom"/>
          </w:tcPr>
          <w:p w14:paraId="12C37C04" w14:textId="5D1B956F"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16.1</w:t>
            </w:r>
          </w:p>
        </w:tc>
        <w:tc>
          <w:tcPr>
            <w:tcW w:w="1177" w:type="dxa"/>
            <w:tcBorders>
              <w:top w:val="nil"/>
              <w:left w:val="nil"/>
              <w:bottom w:val="single" w:sz="4" w:space="0" w:color="auto"/>
              <w:right w:val="single" w:sz="4" w:space="0" w:color="auto"/>
            </w:tcBorders>
            <w:shd w:val="clear" w:color="auto" w:fill="E7E6E6" w:themeFill="background2"/>
            <w:noWrap/>
            <w:vAlign w:val="bottom"/>
          </w:tcPr>
          <w:p w14:paraId="70795242" w14:textId="795874BA"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3.8</w:t>
            </w:r>
          </w:p>
        </w:tc>
      </w:tr>
      <w:tr w:rsidR="0071412B" w:rsidRPr="00ED5D46" w14:paraId="49BCA4EF" w14:textId="77777777" w:rsidTr="006303B1">
        <w:trPr>
          <w:trHeight w:val="204"/>
          <w:jc w:val="center"/>
        </w:trPr>
        <w:tc>
          <w:tcPr>
            <w:tcW w:w="1168" w:type="dxa"/>
            <w:tcBorders>
              <w:top w:val="nil"/>
              <w:left w:val="single" w:sz="4" w:space="0" w:color="auto"/>
              <w:bottom w:val="single" w:sz="4" w:space="0" w:color="auto"/>
              <w:right w:val="single" w:sz="4" w:space="0" w:color="auto"/>
            </w:tcBorders>
            <w:shd w:val="clear" w:color="auto" w:fill="auto"/>
            <w:noWrap/>
            <w:vAlign w:val="bottom"/>
          </w:tcPr>
          <w:p w14:paraId="64DA458C" w14:textId="287CC88A"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2013</w:t>
            </w:r>
          </w:p>
        </w:tc>
        <w:tc>
          <w:tcPr>
            <w:tcW w:w="852" w:type="dxa"/>
            <w:tcBorders>
              <w:top w:val="nil"/>
              <w:left w:val="nil"/>
              <w:bottom w:val="single" w:sz="4" w:space="0" w:color="auto"/>
              <w:right w:val="single" w:sz="4" w:space="0" w:color="auto"/>
            </w:tcBorders>
            <w:shd w:val="clear" w:color="auto" w:fill="auto"/>
            <w:noWrap/>
            <w:vAlign w:val="bottom"/>
          </w:tcPr>
          <w:p w14:paraId="24AAE626" w14:textId="10D1E33B"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146</w:t>
            </w:r>
          </w:p>
        </w:tc>
        <w:tc>
          <w:tcPr>
            <w:tcW w:w="852" w:type="dxa"/>
            <w:tcBorders>
              <w:top w:val="nil"/>
              <w:left w:val="nil"/>
              <w:bottom w:val="single" w:sz="4" w:space="0" w:color="auto"/>
              <w:right w:val="single" w:sz="4" w:space="0" w:color="auto"/>
            </w:tcBorders>
            <w:shd w:val="clear" w:color="auto" w:fill="auto"/>
            <w:noWrap/>
            <w:vAlign w:val="bottom"/>
          </w:tcPr>
          <w:p w14:paraId="4B4C14EC" w14:textId="29238D5D"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56.8</w:t>
            </w:r>
          </w:p>
        </w:tc>
        <w:tc>
          <w:tcPr>
            <w:tcW w:w="1278" w:type="dxa"/>
            <w:tcBorders>
              <w:top w:val="nil"/>
              <w:left w:val="nil"/>
              <w:bottom w:val="single" w:sz="4" w:space="0" w:color="auto"/>
              <w:right w:val="single" w:sz="4" w:space="0" w:color="auto"/>
            </w:tcBorders>
            <w:shd w:val="clear" w:color="auto" w:fill="auto"/>
            <w:noWrap/>
            <w:vAlign w:val="bottom"/>
          </w:tcPr>
          <w:p w14:paraId="40CB88C3" w14:textId="2AA4BDB9"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89.6</w:t>
            </w:r>
          </w:p>
        </w:tc>
        <w:tc>
          <w:tcPr>
            <w:tcW w:w="1278" w:type="dxa"/>
            <w:tcBorders>
              <w:top w:val="nil"/>
              <w:left w:val="nil"/>
              <w:bottom w:val="single" w:sz="4" w:space="0" w:color="auto"/>
              <w:right w:val="single" w:sz="4" w:space="0" w:color="auto"/>
            </w:tcBorders>
            <w:shd w:val="clear" w:color="auto" w:fill="auto"/>
            <w:noWrap/>
            <w:vAlign w:val="bottom"/>
          </w:tcPr>
          <w:p w14:paraId="5B4A7150" w14:textId="1BB35337"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67</w:t>
            </w:r>
          </w:p>
        </w:tc>
        <w:tc>
          <w:tcPr>
            <w:tcW w:w="1279" w:type="dxa"/>
            <w:tcBorders>
              <w:top w:val="nil"/>
              <w:left w:val="nil"/>
              <w:bottom w:val="single" w:sz="4" w:space="0" w:color="auto"/>
              <w:right w:val="single" w:sz="4" w:space="0" w:color="auto"/>
            </w:tcBorders>
            <w:shd w:val="clear" w:color="auto" w:fill="auto"/>
            <w:noWrap/>
            <w:vAlign w:val="bottom"/>
          </w:tcPr>
          <w:p w14:paraId="51E9E70C" w14:textId="221C8971"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56.3</w:t>
            </w:r>
          </w:p>
        </w:tc>
        <w:tc>
          <w:tcPr>
            <w:tcW w:w="1453" w:type="dxa"/>
            <w:tcBorders>
              <w:top w:val="nil"/>
              <w:left w:val="nil"/>
              <w:bottom w:val="single" w:sz="4" w:space="0" w:color="auto"/>
              <w:right w:val="single" w:sz="4" w:space="0" w:color="auto"/>
            </w:tcBorders>
            <w:shd w:val="clear" w:color="auto" w:fill="auto"/>
            <w:noWrap/>
            <w:vAlign w:val="bottom"/>
          </w:tcPr>
          <w:p w14:paraId="1551A129" w14:textId="6C5ACDC1"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4.9</w:t>
            </w:r>
          </w:p>
        </w:tc>
        <w:tc>
          <w:tcPr>
            <w:tcW w:w="1209" w:type="dxa"/>
            <w:tcBorders>
              <w:top w:val="nil"/>
              <w:left w:val="nil"/>
              <w:bottom w:val="single" w:sz="4" w:space="0" w:color="auto"/>
              <w:right w:val="single" w:sz="4" w:space="0" w:color="auto"/>
            </w:tcBorders>
            <w:shd w:val="clear" w:color="auto" w:fill="auto"/>
            <w:noWrap/>
            <w:vAlign w:val="bottom"/>
          </w:tcPr>
          <w:p w14:paraId="77A067A6" w14:textId="405ED900"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23.2</w:t>
            </w:r>
          </w:p>
        </w:tc>
        <w:tc>
          <w:tcPr>
            <w:tcW w:w="1177" w:type="dxa"/>
            <w:tcBorders>
              <w:top w:val="nil"/>
              <w:left w:val="nil"/>
              <w:bottom w:val="single" w:sz="4" w:space="0" w:color="auto"/>
              <w:right w:val="single" w:sz="4" w:space="0" w:color="auto"/>
            </w:tcBorders>
            <w:shd w:val="clear" w:color="auto" w:fill="auto"/>
            <w:noWrap/>
            <w:vAlign w:val="bottom"/>
          </w:tcPr>
          <w:p w14:paraId="5FB54FA0" w14:textId="4E53C46F"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w:t>
            </w:r>
          </w:p>
        </w:tc>
      </w:tr>
      <w:tr w:rsidR="0071412B" w:rsidRPr="00ED5D46" w14:paraId="02F62D9B" w14:textId="77777777" w:rsidTr="006303B1">
        <w:trPr>
          <w:trHeight w:val="204"/>
          <w:jc w:val="center"/>
        </w:trPr>
        <w:tc>
          <w:tcPr>
            <w:tcW w:w="1168" w:type="dxa"/>
            <w:tcBorders>
              <w:top w:val="nil"/>
              <w:left w:val="single" w:sz="4" w:space="0" w:color="auto"/>
              <w:bottom w:val="single" w:sz="4" w:space="0" w:color="auto"/>
              <w:right w:val="single" w:sz="4" w:space="0" w:color="auto"/>
            </w:tcBorders>
            <w:shd w:val="clear" w:color="auto" w:fill="E7E6E6" w:themeFill="background2"/>
            <w:noWrap/>
            <w:vAlign w:val="bottom"/>
          </w:tcPr>
          <w:p w14:paraId="65104FAC" w14:textId="67D5567F"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2014</w:t>
            </w:r>
          </w:p>
        </w:tc>
        <w:tc>
          <w:tcPr>
            <w:tcW w:w="852" w:type="dxa"/>
            <w:tcBorders>
              <w:top w:val="nil"/>
              <w:left w:val="nil"/>
              <w:bottom w:val="single" w:sz="4" w:space="0" w:color="auto"/>
              <w:right w:val="single" w:sz="4" w:space="0" w:color="auto"/>
            </w:tcBorders>
            <w:shd w:val="clear" w:color="auto" w:fill="E7E6E6" w:themeFill="background2"/>
            <w:noWrap/>
            <w:vAlign w:val="bottom"/>
          </w:tcPr>
          <w:p w14:paraId="3DCD5413" w14:textId="678F4D6A"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163</w:t>
            </w:r>
          </w:p>
        </w:tc>
        <w:tc>
          <w:tcPr>
            <w:tcW w:w="852" w:type="dxa"/>
            <w:tcBorders>
              <w:top w:val="nil"/>
              <w:left w:val="nil"/>
              <w:bottom w:val="single" w:sz="4" w:space="0" w:color="auto"/>
              <w:right w:val="single" w:sz="4" w:space="0" w:color="auto"/>
            </w:tcBorders>
            <w:shd w:val="clear" w:color="auto" w:fill="E7E6E6" w:themeFill="background2"/>
            <w:noWrap/>
            <w:vAlign w:val="bottom"/>
          </w:tcPr>
          <w:p w14:paraId="091F2789" w14:textId="49474C8D"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57.3</w:t>
            </w:r>
          </w:p>
        </w:tc>
        <w:tc>
          <w:tcPr>
            <w:tcW w:w="1278" w:type="dxa"/>
            <w:tcBorders>
              <w:top w:val="nil"/>
              <w:left w:val="nil"/>
              <w:bottom w:val="single" w:sz="4" w:space="0" w:color="auto"/>
              <w:right w:val="single" w:sz="4" w:space="0" w:color="auto"/>
            </w:tcBorders>
            <w:shd w:val="clear" w:color="auto" w:fill="E7E6E6" w:themeFill="background2"/>
            <w:noWrap/>
            <w:vAlign w:val="bottom"/>
          </w:tcPr>
          <w:p w14:paraId="0B3C62F4" w14:textId="63D0FAB0"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95</w:t>
            </w:r>
          </w:p>
        </w:tc>
        <w:tc>
          <w:tcPr>
            <w:tcW w:w="1278" w:type="dxa"/>
            <w:tcBorders>
              <w:top w:val="nil"/>
              <w:left w:val="nil"/>
              <w:bottom w:val="single" w:sz="4" w:space="0" w:color="auto"/>
              <w:right w:val="single" w:sz="4" w:space="0" w:color="auto"/>
            </w:tcBorders>
            <w:shd w:val="clear" w:color="auto" w:fill="E7E6E6" w:themeFill="background2"/>
            <w:noWrap/>
            <w:vAlign w:val="bottom"/>
          </w:tcPr>
          <w:p w14:paraId="26ACD640" w14:textId="79CE5438"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78.2</w:t>
            </w:r>
          </w:p>
        </w:tc>
        <w:tc>
          <w:tcPr>
            <w:tcW w:w="1279" w:type="dxa"/>
            <w:tcBorders>
              <w:top w:val="nil"/>
              <w:left w:val="nil"/>
              <w:bottom w:val="single" w:sz="4" w:space="0" w:color="auto"/>
              <w:right w:val="single" w:sz="4" w:space="0" w:color="auto"/>
            </w:tcBorders>
            <w:shd w:val="clear" w:color="auto" w:fill="E7E6E6" w:themeFill="background2"/>
            <w:noWrap/>
            <w:vAlign w:val="bottom"/>
          </w:tcPr>
          <w:p w14:paraId="4FA42426" w14:textId="4047A5AD"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44.7</w:t>
            </w:r>
          </w:p>
        </w:tc>
        <w:tc>
          <w:tcPr>
            <w:tcW w:w="1453" w:type="dxa"/>
            <w:tcBorders>
              <w:top w:val="nil"/>
              <w:left w:val="nil"/>
              <w:bottom w:val="single" w:sz="4" w:space="0" w:color="auto"/>
              <w:right w:val="single" w:sz="4" w:space="0" w:color="auto"/>
            </w:tcBorders>
            <w:shd w:val="clear" w:color="auto" w:fill="E7E6E6" w:themeFill="background2"/>
            <w:noWrap/>
            <w:vAlign w:val="bottom"/>
          </w:tcPr>
          <w:p w14:paraId="670BA9E8" w14:textId="33B81555"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6.3</w:t>
            </w:r>
          </w:p>
        </w:tc>
        <w:tc>
          <w:tcPr>
            <w:tcW w:w="1209" w:type="dxa"/>
            <w:tcBorders>
              <w:top w:val="nil"/>
              <w:left w:val="nil"/>
              <w:bottom w:val="single" w:sz="4" w:space="0" w:color="auto"/>
              <w:right w:val="single" w:sz="4" w:space="0" w:color="auto"/>
            </w:tcBorders>
            <w:shd w:val="clear" w:color="auto" w:fill="E7E6E6" w:themeFill="background2"/>
            <w:noWrap/>
            <w:vAlign w:val="bottom"/>
          </w:tcPr>
          <w:p w14:paraId="45821CE5" w14:textId="6BC1B689"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19.2</w:t>
            </w:r>
          </w:p>
        </w:tc>
        <w:tc>
          <w:tcPr>
            <w:tcW w:w="1177" w:type="dxa"/>
            <w:tcBorders>
              <w:top w:val="nil"/>
              <w:left w:val="nil"/>
              <w:bottom w:val="single" w:sz="4" w:space="0" w:color="auto"/>
              <w:right w:val="single" w:sz="4" w:space="0" w:color="auto"/>
            </w:tcBorders>
            <w:shd w:val="clear" w:color="auto" w:fill="E7E6E6" w:themeFill="background2"/>
            <w:noWrap/>
            <w:vAlign w:val="bottom"/>
          </w:tcPr>
          <w:p w14:paraId="2B9B6172" w14:textId="53C14E2D"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2.7</w:t>
            </w:r>
          </w:p>
        </w:tc>
      </w:tr>
      <w:tr w:rsidR="0071412B" w:rsidRPr="00ED5D46" w14:paraId="0618C911" w14:textId="77777777" w:rsidTr="006303B1">
        <w:trPr>
          <w:trHeight w:val="204"/>
          <w:jc w:val="center"/>
        </w:trPr>
        <w:tc>
          <w:tcPr>
            <w:tcW w:w="1168" w:type="dxa"/>
            <w:tcBorders>
              <w:top w:val="nil"/>
              <w:left w:val="single" w:sz="4" w:space="0" w:color="auto"/>
              <w:bottom w:val="single" w:sz="4" w:space="0" w:color="auto"/>
              <w:right w:val="single" w:sz="4" w:space="0" w:color="auto"/>
            </w:tcBorders>
            <w:shd w:val="clear" w:color="auto" w:fill="auto"/>
            <w:noWrap/>
            <w:vAlign w:val="bottom"/>
          </w:tcPr>
          <w:p w14:paraId="394048F5" w14:textId="06019A5C"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2015</w:t>
            </w:r>
          </w:p>
        </w:tc>
        <w:tc>
          <w:tcPr>
            <w:tcW w:w="852" w:type="dxa"/>
            <w:tcBorders>
              <w:top w:val="nil"/>
              <w:left w:val="nil"/>
              <w:bottom w:val="single" w:sz="4" w:space="0" w:color="auto"/>
              <w:right w:val="single" w:sz="4" w:space="0" w:color="auto"/>
            </w:tcBorders>
            <w:shd w:val="clear" w:color="auto" w:fill="auto"/>
            <w:noWrap/>
            <w:vAlign w:val="bottom"/>
          </w:tcPr>
          <w:p w14:paraId="723BBAF1" w14:textId="2FD96BD4"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175</w:t>
            </w:r>
          </w:p>
        </w:tc>
        <w:tc>
          <w:tcPr>
            <w:tcW w:w="852" w:type="dxa"/>
            <w:tcBorders>
              <w:top w:val="nil"/>
              <w:left w:val="nil"/>
              <w:bottom w:val="single" w:sz="4" w:space="0" w:color="auto"/>
              <w:right w:val="single" w:sz="4" w:space="0" w:color="auto"/>
            </w:tcBorders>
            <w:shd w:val="clear" w:color="auto" w:fill="auto"/>
            <w:noWrap/>
            <w:vAlign w:val="bottom"/>
          </w:tcPr>
          <w:p w14:paraId="787F9B85" w14:textId="03D31483"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56.9</w:t>
            </w:r>
          </w:p>
        </w:tc>
        <w:tc>
          <w:tcPr>
            <w:tcW w:w="1278" w:type="dxa"/>
            <w:tcBorders>
              <w:top w:val="nil"/>
              <w:left w:val="nil"/>
              <w:bottom w:val="single" w:sz="4" w:space="0" w:color="auto"/>
              <w:right w:val="single" w:sz="4" w:space="0" w:color="auto"/>
            </w:tcBorders>
            <w:shd w:val="clear" w:color="auto" w:fill="auto"/>
            <w:noWrap/>
            <w:vAlign w:val="bottom"/>
          </w:tcPr>
          <w:p w14:paraId="527E33C7" w14:textId="0421BBE8"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93.9</w:t>
            </w:r>
          </w:p>
        </w:tc>
        <w:tc>
          <w:tcPr>
            <w:tcW w:w="1278" w:type="dxa"/>
            <w:tcBorders>
              <w:top w:val="nil"/>
              <w:left w:val="nil"/>
              <w:bottom w:val="single" w:sz="4" w:space="0" w:color="auto"/>
              <w:right w:val="single" w:sz="4" w:space="0" w:color="auto"/>
            </w:tcBorders>
            <w:shd w:val="clear" w:color="auto" w:fill="auto"/>
            <w:noWrap/>
            <w:vAlign w:val="bottom"/>
          </w:tcPr>
          <w:p w14:paraId="4E9539E0" w14:textId="2EC892BD"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88.4</w:t>
            </w:r>
          </w:p>
        </w:tc>
        <w:tc>
          <w:tcPr>
            <w:tcW w:w="1279" w:type="dxa"/>
            <w:tcBorders>
              <w:top w:val="nil"/>
              <w:left w:val="nil"/>
              <w:bottom w:val="single" w:sz="4" w:space="0" w:color="auto"/>
              <w:right w:val="single" w:sz="4" w:space="0" w:color="auto"/>
            </w:tcBorders>
            <w:shd w:val="clear" w:color="auto" w:fill="auto"/>
            <w:noWrap/>
            <w:vAlign w:val="bottom"/>
          </w:tcPr>
          <w:p w14:paraId="4DDA2562" w14:textId="5337DA4B"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40.8</w:t>
            </w:r>
          </w:p>
        </w:tc>
        <w:tc>
          <w:tcPr>
            <w:tcW w:w="1453" w:type="dxa"/>
            <w:tcBorders>
              <w:top w:val="nil"/>
              <w:left w:val="nil"/>
              <w:bottom w:val="single" w:sz="4" w:space="0" w:color="auto"/>
              <w:right w:val="single" w:sz="4" w:space="0" w:color="auto"/>
            </w:tcBorders>
            <w:shd w:val="clear" w:color="auto" w:fill="auto"/>
            <w:noWrap/>
            <w:vAlign w:val="bottom"/>
          </w:tcPr>
          <w:p w14:paraId="44D906BB" w14:textId="3DADB22F"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6.3</w:t>
            </w:r>
          </w:p>
        </w:tc>
        <w:tc>
          <w:tcPr>
            <w:tcW w:w="1209" w:type="dxa"/>
            <w:tcBorders>
              <w:top w:val="nil"/>
              <w:left w:val="nil"/>
              <w:bottom w:val="single" w:sz="4" w:space="0" w:color="auto"/>
              <w:right w:val="single" w:sz="4" w:space="0" w:color="auto"/>
            </w:tcBorders>
            <w:shd w:val="clear" w:color="auto" w:fill="auto"/>
            <w:noWrap/>
            <w:vAlign w:val="bottom"/>
          </w:tcPr>
          <w:p w14:paraId="54E3FD83" w14:textId="5C5A40B2"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15.4</w:t>
            </w:r>
          </w:p>
        </w:tc>
        <w:tc>
          <w:tcPr>
            <w:tcW w:w="1177" w:type="dxa"/>
            <w:tcBorders>
              <w:top w:val="nil"/>
              <w:left w:val="nil"/>
              <w:bottom w:val="single" w:sz="4" w:space="0" w:color="auto"/>
              <w:right w:val="single" w:sz="4" w:space="0" w:color="auto"/>
            </w:tcBorders>
            <w:shd w:val="clear" w:color="auto" w:fill="auto"/>
            <w:noWrap/>
            <w:vAlign w:val="bottom"/>
          </w:tcPr>
          <w:p w14:paraId="498172AA" w14:textId="3E366999"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2.9</w:t>
            </w:r>
          </w:p>
        </w:tc>
      </w:tr>
      <w:tr w:rsidR="0071412B" w:rsidRPr="00ED5D46" w14:paraId="4E68D560" w14:textId="77777777" w:rsidTr="006303B1">
        <w:trPr>
          <w:trHeight w:val="204"/>
          <w:jc w:val="center"/>
        </w:trPr>
        <w:tc>
          <w:tcPr>
            <w:tcW w:w="1168" w:type="dxa"/>
            <w:tcBorders>
              <w:top w:val="nil"/>
              <w:left w:val="single" w:sz="4" w:space="0" w:color="auto"/>
              <w:bottom w:val="single" w:sz="4" w:space="0" w:color="auto"/>
              <w:right w:val="single" w:sz="4" w:space="0" w:color="auto"/>
            </w:tcBorders>
            <w:shd w:val="clear" w:color="auto" w:fill="E7E6E6" w:themeFill="background2"/>
            <w:noWrap/>
            <w:vAlign w:val="bottom"/>
          </w:tcPr>
          <w:p w14:paraId="7FE63477" w14:textId="23C0E771"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2016</w:t>
            </w:r>
          </w:p>
        </w:tc>
        <w:tc>
          <w:tcPr>
            <w:tcW w:w="852" w:type="dxa"/>
            <w:tcBorders>
              <w:top w:val="nil"/>
              <w:left w:val="nil"/>
              <w:bottom w:val="single" w:sz="4" w:space="0" w:color="auto"/>
              <w:right w:val="single" w:sz="4" w:space="0" w:color="auto"/>
            </w:tcBorders>
            <w:shd w:val="clear" w:color="auto" w:fill="E7E6E6" w:themeFill="background2"/>
            <w:noWrap/>
            <w:vAlign w:val="bottom"/>
          </w:tcPr>
          <w:p w14:paraId="3D77A846" w14:textId="31D73B5F"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160</w:t>
            </w:r>
          </w:p>
        </w:tc>
        <w:tc>
          <w:tcPr>
            <w:tcW w:w="852" w:type="dxa"/>
            <w:tcBorders>
              <w:top w:val="nil"/>
              <w:left w:val="nil"/>
              <w:bottom w:val="single" w:sz="4" w:space="0" w:color="auto"/>
              <w:right w:val="single" w:sz="4" w:space="0" w:color="auto"/>
            </w:tcBorders>
            <w:shd w:val="clear" w:color="auto" w:fill="E7E6E6" w:themeFill="background2"/>
            <w:noWrap/>
            <w:vAlign w:val="bottom"/>
          </w:tcPr>
          <w:p w14:paraId="327F66C3" w14:textId="03468776"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59.6</w:t>
            </w:r>
          </w:p>
        </w:tc>
        <w:tc>
          <w:tcPr>
            <w:tcW w:w="1278" w:type="dxa"/>
            <w:tcBorders>
              <w:top w:val="nil"/>
              <w:left w:val="nil"/>
              <w:bottom w:val="single" w:sz="4" w:space="0" w:color="auto"/>
              <w:right w:val="single" w:sz="4" w:space="0" w:color="auto"/>
            </w:tcBorders>
            <w:shd w:val="clear" w:color="auto" w:fill="E7E6E6" w:themeFill="background2"/>
            <w:noWrap/>
            <w:vAlign w:val="bottom"/>
          </w:tcPr>
          <w:p w14:paraId="5C961ECE" w14:textId="56640780"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95.9</w:t>
            </w:r>
          </w:p>
        </w:tc>
        <w:tc>
          <w:tcPr>
            <w:tcW w:w="1278" w:type="dxa"/>
            <w:tcBorders>
              <w:top w:val="nil"/>
              <w:left w:val="nil"/>
              <w:bottom w:val="single" w:sz="4" w:space="0" w:color="auto"/>
              <w:right w:val="single" w:sz="4" w:space="0" w:color="auto"/>
            </w:tcBorders>
            <w:shd w:val="clear" w:color="auto" w:fill="E7E6E6" w:themeFill="background2"/>
            <w:noWrap/>
            <w:vAlign w:val="bottom"/>
          </w:tcPr>
          <w:p w14:paraId="0628A81F" w14:textId="2197F4A1"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92.5</w:t>
            </w:r>
          </w:p>
        </w:tc>
        <w:tc>
          <w:tcPr>
            <w:tcW w:w="1279" w:type="dxa"/>
            <w:tcBorders>
              <w:top w:val="nil"/>
              <w:left w:val="nil"/>
              <w:bottom w:val="single" w:sz="4" w:space="0" w:color="auto"/>
              <w:right w:val="single" w:sz="4" w:space="0" w:color="auto"/>
            </w:tcBorders>
            <w:shd w:val="clear" w:color="auto" w:fill="E7E6E6" w:themeFill="background2"/>
            <w:noWrap/>
            <w:vAlign w:val="bottom"/>
          </w:tcPr>
          <w:p w14:paraId="60C65439" w14:textId="0ABBABE1"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49.4</w:t>
            </w:r>
          </w:p>
        </w:tc>
        <w:tc>
          <w:tcPr>
            <w:tcW w:w="1453" w:type="dxa"/>
            <w:tcBorders>
              <w:top w:val="nil"/>
              <w:left w:val="nil"/>
              <w:bottom w:val="single" w:sz="4" w:space="0" w:color="auto"/>
              <w:right w:val="single" w:sz="4" w:space="0" w:color="auto"/>
            </w:tcBorders>
            <w:shd w:val="clear" w:color="auto" w:fill="E7E6E6" w:themeFill="background2"/>
            <w:noWrap/>
            <w:vAlign w:val="bottom"/>
          </w:tcPr>
          <w:p w14:paraId="3399F9EE" w14:textId="6FBC8285"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5.3</w:t>
            </w:r>
          </w:p>
        </w:tc>
        <w:tc>
          <w:tcPr>
            <w:tcW w:w="1209" w:type="dxa"/>
            <w:tcBorders>
              <w:top w:val="nil"/>
              <w:left w:val="nil"/>
              <w:bottom w:val="single" w:sz="4" w:space="0" w:color="auto"/>
              <w:right w:val="single" w:sz="4" w:space="0" w:color="auto"/>
            </w:tcBorders>
            <w:shd w:val="clear" w:color="auto" w:fill="E7E6E6" w:themeFill="background2"/>
            <w:noWrap/>
            <w:vAlign w:val="bottom"/>
          </w:tcPr>
          <w:p w14:paraId="3515F687" w14:textId="3B118E8C"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14.7</w:t>
            </w:r>
          </w:p>
        </w:tc>
        <w:tc>
          <w:tcPr>
            <w:tcW w:w="1177" w:type="dxa"/>
            <w:tcBorders>
              <w:top w:val="nil"/>
              <w:left w:val="nil"/>
              <w:bottom w:val="single" w:sz="4" w:space="0" w:color="auto"/>
              <w:right w:val="single" w:sz="4" w:space="0" w:color="auto"/>
            </w:tcBorders>
            <w:shd w:val="clear" w:color="auto" w:fill="E7E6E6" w:themeFill="background2"/>
            <w:noWrap/>
            <w:vAlign w:val="bottom"/>
          </w:tcPr>
          <w:p w14:paraId="269F756E" w14:textId="4600B5C2"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3.6</w:t>
            </w:r>
          </w:p>
        </w:tc>
      </w:tr>
      <w:tr w:rsidR="0071412B" w:rsidRPr="00ED5D46" w14:paraId="357060CE" w14:textId="77777777" w:rsidTr="006303B1">
        <w:trPr>
          <w:trHeight w:val="204"/>
          <w:jc w:val="center"/>
        </w:trPr>
        <w:tc>
          <w:tcPr>
            <w:tcW w:w="1168" w:type="dxa"/>
            <w:tcBorders>
              <w:top w:val="nil"/>
              <w:left w:val="single" w:sz="4" w:space="0" w:color="auto"/>
              <w:bottom w:val="single" w:sz="4" w:space="0" w:color="auto"/>
              <w:right w:val="single" w:sz="4" w:space="0" w:color="auto"/>
            </w:tcBorders>
            <w:shd w:val="clear" w:color="auto" w:fill="auto"/>
            <w:noWrap/>
            <w:vAlign w:val="bottom"/>
          </w:tcPr>
          <w:p w14:paraId="26CEAA9B" w14:textId="390F33A9"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2017</w:t>
            </w:r>
          </w:p>
        </w:tc>
        <w:tc>
          <w:tcPr>
            <w:tcW w:w="852" w:type="dxa"/>
            <w:tcBorders>
              <w:top w:val="nil"/>
              <w:left w:val="nil"/>
              <w:bottom w:val="single" w:sz="4" w:space="0" w:color="auto"/>
              <w:right w:val="single" w:sz="4" w:space="0" w:color="auto"/>
            </w:tcBorders>
            <w:shd w:val="clear" w:color="auto" w:fill="auto"/>
            <w:noWrap/>
            <w:vAlign w:val="bottom"/>
          </w:tcPr>
          <w:p w14:paraId="6173B0E8" w14:textId="32F66D77"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128</w:t>
            </w:r>
          </w:p>
        </w:tc>
        <w:tc>
          <w:tcPr>
            <w:tcW w:w="852" w:type="dxa"/>
            <w:tcBorders>
              <w:top w:val="nil"/>
              <w:left w:val="nil"/>
              <w:bottom w:val="single" w:sz="4" w:space="0" w:color="auto"/>
              <w:right w:val="single" w:sz="4" w:space="0" w:color="auto"/>
            </w:tcBorders>
            <w:shd w:val="clear" w:color="auto" w:fill="auto"/>
            <w:noWrap/>
            <w:vAlign w:val="bottom"/>
          </w:tcPr>
          <w:p w14:paraId="2E56A1C1" w14:textId="45B9A804"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58.3</w:t>
            </w:r>
          </w:p>
        </w:tc>
        <w:tc>
          <w:tcPr>
            <w:tcW w:w="1278" w:type="dxa"/>
            <w:tcBorders>
              <w:top w:val="nil"/>
              <w:left w:val="nil"/>
              <w:bottom w:val="single" w:sz="4" w:space="0" w:color="auto"/>
              <w:right w:val="single" w:sz="4" w:space="0" w:color="auto"/>
            </w:tcBorders>
            <w:shd w:val="clear" w:color="auto" w:fill="auto"/>
            <w:noWrap/>
            <w:vAlign w:val="bottom"/>
          </w:tcPr>
          <w:p w14:paraId="4C882B0D" w14:textId="1655585C"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94.3</w:t>
            </w:r>
          </w:p>
        </w:tc>
        <w:tc>
          <w:tcPr>
            <w:tcW w:w="1278" w:type="dxa"/>
            <w:tcBorders>
              <w:top w:val="nil"/>
              <w:left w:val="nil"/>
              <w:bottom w:val="single" w:sz="4" w:space="0" w:color="auto"/>
              <w:right w:val="single" w:sz="4" w:space="0" w:color="auto"/>
            </w:tcBorders>
            <w:shd w:val="clear" w:color="auto" w:fill="auto"/>
            <w:noWrap/>
            <w:vAlign w:val="bottom"/>
          </w:tcPr>
          <w:p w14:paraId="1EE86592" w14:textId="175294A8"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92.3</w:t>
            </w:r>
          </w:p>
        </w:tc>
        <w:tc>
          <w:tcPr>
            <w:tcW w:w="1279" w:type="dxa"/>
            <w:tcBorders>
              <w:top w:val="nil"/>
              <w:left w:val="nil"/>
              <w:bottom w:val="single" w:sz="4" w:space="0" w:color="auto"/>
              <w:right w:val="single" w:sz="4" w:space="0" w:color="auto"/>
            </w:tcBorders>
            <w:shd w:val="clear" w:color="auto" w:fill="auto"/>
            <w:noWrap/>
            <w:vAlign w:val="bottom"/>
          </w:tcPr>
          <w:p w14:paraId="548D4F54" w14:textId="4D8FBA9E"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49.6</w:t>
            </w:r>
          </w:p>
        </w:tc>
        <w:tc>
          <w:tcPr>
            <w:tcW w:w="1453" w:type="dxa"/>
            <w:tcBorders>
              <w:top w:val="nil"/>
              <w:left w:val="nil"/>
              <w:bottom w:val="single" w:sz="4" w:space="0" w:color="auto"/>
              <w:right w:val="single" w:sz="4" w:space="0" w:color="auto"/>
            </w:tcBorders>
            <w:shd w:val="clear" w:color="auto" w:fill="auto"/>
            <w:noWrap/>
            <w:vAlign w:val="bottom"/>
          </w:tcPr>
          <w:p w14:paraId="4C2939AF" w14:textId="2CA9BE29" w:rsidR="0071412B" w:rsidRPr="00ED5D46" w:rsidRDefault="0071412B" w:rsidP="0071412B">
            <w:pPr>
              <w:tabs>
                <w:tab w:val="left" w:pos="494"/>
                <w:tab w:val="center" w:pos="656"/>
              </w:tabs>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4</w:t>
            </w:r>
          </w:p>
        </w:tc>
        <w:tc>
          <w:tcPr>
            <w:tcW w:w="1209" w:type="dxa"/>
            <w:tcBorders>
              <w:top w:val="nil"/>
              <w:left w:val="nil"/>
              <w:bottom w:val="single" w:sz="4" w:space="0" w:color="auto"/>
              <w:right w:val="single" w:sz="4" w:space="0" w:color="auto"/>
            </w:tcBorders>
            <w:shd w:val="clear" w:color="auto" w:fill="auto"/>
            <w:noWrap/>
            <w:vAlign w:val="bottom"/>
          </w:tcPr>
          <w:p w14:paraId="6496C530" w14:textId="643615A9"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11.7</w:t>
            </w:r>
          </w:p>
        </w:tc>
        <w:tc>
          <w:tcPr>
            <w:tcW w:w="1177" w:type="dxa"/>
            <w:tcBorders>
              <w:top w:val="nil"/>
              <w:left w:val="nil"/>
              <w:bottom w:val="single" w:sz="4" w:space="0" w:color="auto"/>
              <w:right w:val="single" w:sz="4" w:space="0" w:color="auto"/>
            </w:tcBorders>
            <w:shd w:val="clear" w:color="auto" w:fill="auto"/>
            <w:noWrap/>
            <w:vAlign w:val="bottom"/>
          </w:tcPr>
          <w:p w14:paraId="0717C1BF" w14:textId="6D42BB4E" w:rsidR="0071412B" w:rsidRPr="00ED5D46" w:rsidRDefault="0071412B" w:rsidP="0071412B">
            <w:pPr>
              <w:spacing w:after="0" w:line="240" w:lineRule="auto"/>
              <w:jc w:val="center"/>
              <w:rPr>
                <w:rFonts w:eastAsia="Times New Roman" w:cs="Times New Roman"/>
                <w:color w:val="000000"/>
                <w:sz w:val="18"/>
                <w:szCs w:val="18"/>
                <w:lang w:eastAsia="es-MX"/>
              </w:rPr>
            </w:pPr>
            <w:r w:rsidRPr="00ED5D46">
              <w:rPr>
                <w:rFonts w:ascii="Calibri" w:hAnsi="Calibri" w:cs="Calibri"/>
                <w:color w:val="000000"/>
                <w:sz w:val="18"/>
                <w:szCs w:val="18"/>
              </w:rPr>
              <w:t>2.7</w:t>
            </w:r>
          </w:p>
        </w:tc>
      </w:tr>
      <w:tr w:rsidR="0071412B" w:rsidRPr="00ED5D46" w14:paraId="55E09D8A" w14:textId="77777777" w:rsidTr="006303B1">
        <w:trPr>
          <w:trHeight w:val="204"/>
          <w:jc w:val="center"/>
        </w:trPr>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C5613B2" w14:textId="2F7F44F3"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2018</w:t>
            </w:r>
          </w:p>
        </w:tc>
        <w:tc>
          <w:tcPr>
            <w:tcW w:w="852" w:type="dxa"/>
            <w:tcBorders>
              <w:top w:val="single" w:sz="4" w:space="0" w:color="auto"/>
              <w:left w:val="nil"/>
              <w:bottom w:val="single" w:sz="4" w:space="0" w:color="auto"/>
              <w:right w:val="single" w:sz="4" w:space="0" w:color="auto"/>
            </w:tcBorders>
            <w:shd w:val="clear" w:color="auto" w:fill="E7E6E6" w:themeFill="background2"/>
            <w:noWrap/>
            <w:vAlign w:val="bottom"/>
          </w:tcPr>
          <w:p w14:paraId="6D3E82A1" w14:textId="478B8FF1"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122</w:t>
            </w:r>
          </w:p>
        </w:tc>
        <w:tc>
          <w:tcPr>
            <w:tcW w:w="852" w:type="dxa"/>
            <w:tcBorders>
              <w:top w:val="single" w:sz="4" w:space="0" w:color="auto"/>
              <w:left w:val="nil"/>
              <w:bottom w:val="single" w:sz="4" w:space="0" w:color="auto"/>
              <w:right w:val="single" w:sz="4" w:space="0" w:color="auto"/>
            </w:tcBorders>
            <w:shd w:val="clear" w:color="auto" w:fill="E7E6E6" w:themeFill="background2"/>
            <w:noWrap/>
            <w:vAlign w:val="bottom"/>
          </w:tcPr>
          <w:p w14:paraId="12265B11" w14:textId="2759A8A1"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59</w:t>
            </w:r>
          </w:p>
        </w:tc>
        <w:tc>
          <w:tcPr>
            <w:tcW w:w="1278" w:type="dxa"/>
            <w:tcBorders>
              <w:top w:val="single" w:sz="4" w:space="0" w:color="auto"/>
              <w:left w:val="nil"/>
              <w:bottom w:val="single" w:sz="4" w:space="0" w:color="auto"/>
              <w:right w:val="single" w:sz="4" w:space="0" w:color="auto"/>
            </w:tcBorders>
            <w:shd w:val="clear" w:color="auto" w:fill="E7E6E6" w:themeFill="background2"/>
            <w:noWrap/>
            <w:vAlign w:val="bottom"/>
          </w:tcPr>
          <w:p w14:paraId="64806953" w14:textId="624ACB1C"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95.8</w:t>
            </w:r>
          </w:p>
        </w:tc>
        <w:tc>
          <w:tcPr>
            <w:tcW w:w="1278" w:type="dxa"/>
            <w:tcBorders>
              <w:top w:val="single" w:sz="4" w:space="0" w:color="auto"/>
              <w:left w:val="nil"/>
              <w:bottom w:val="single" w:sz="4" w:space="0" w:color="auto"/>
              <w:right w:val="single" w:sz="4" w:space="0" w:color="auto"/>
            </w:tcBorders>
            <w:shd w:val="clear" w:color="auto" w:fill="E7E6E6" w:themeFill="background2"/>
            <w:noWrap/>
            <w:vAlign w:val="bottom"/>
          </w:tcPr>
          <w:p w14:paraId="2D55804D" w14:textId="53EC4940"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89.6</w:t>
            </w:r>
          </w:p>
        </w:tc>
        <w:tc>
          <w:tcPr>
            <w:tcW w:w="1279" w:type="dxa"/>
            <w:tcBorders>
              <w:top w:val="single" w:sz="4" w:space="0" w:color="auto"/>
              <w:left w:val="nil"/>
              <w:bottom w:val="single" w:sz="4" w:space="0" w:color="auto"/>
              <w:right w:val="single" w:sz="4" w:space="0" w:color="auto"/>
            </w:tcBorders>
            <w:shd w:val="clear" w:color="auto" w:fill="E7E6E6" w:themeFill="background2"/>
            <w:noWrap/>
            <w:vAlign w:val="bottom"/>
          </w:tcPr>
          <w:p w14:paraId="4427DA12" w14:textId="1436C43B"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50.9</w:t>
            </w:r>
          </w:p>
        </w:tc>
        <w:tc>
          <w:tcPr>
            <w:tcW w:w="1453" w:type="dxa"/>
            <w:tcBorders>
              <w:top w:val="single" w:sz="4" w:space="0" w:color="auto"/>
              <w:left w:val="nil"/>
              <w:bottom w:val="single" w:sz="4" w:space="0" w:color="auto"/>
              <w:right w:val="single" w:sz="4" w:space="0" w:color="auto"/>
            </w:tcBorders>
            <w:shd w:val="clear" w:color="auto" w:fill="E7E6E6" w:themeFill="background2"/>
            <w:noWrap/>
            <w:vAlign w:val="bottom"/>
          </w:tcPr>
          <w:p w14:paraId="47E5C50C" w14:textId="2D21AE9B"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3.8</w:t>
            </w:r>
          </w:p>
        </w:tc>
        <w:tc>
          <w:tcPr>
            <w:tcW w:w="1209" w:type="dxa"/>
            <w:tcBorders>
              <w:top w:val="single" w:sz="4" w:space="0" w:color="auto"/>
              <w:left w:val="nil"/>
              <w:bottom w:val="single" w:sz="4" w:space="0" w:color="auto"/>
              <w:right w:val="single" w:sz="4" w:space="0" w:color="auto"/>
            </w:tcBorders>
            <w:shd w:val="clear" w:color="auto" w:fill="E7E6E6" w:themeFill="background2"/>
            <w:noWrap/>
            <w:vAlign w:val="bottom"/>
          </w:tcPr>
          <w:p w14:paraId="54C53566" w14:textId="6C6A3AE3"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11</w:t>
            </w:r>
          </w:p>
        </w:tc>
        <w:tc>
          <w:tcPr>
            <w:tcW w:w="1177" w:type="dxa"/>
            <w:tcBorders>
              <w:top w:val="single" w:sz="4" w:space="0" w:color="auto"/>
              <w:left w:val="nil"/>
              <w:bottom w:val="single" w:sz="4" w:space="0" w:color="auto"/>
              <w:right w:val="single" w:sz="4" w:space="0" w:color="auto"/>
            </w:tcBorders>
            <w:shd w:val="clear" w:color="auto" w:fill="E7E6E6" w:themeFill="background2"/>
            <w:noWrap/>
            <w:vAlign w:val="bottom"/>
          </w:tcPr>
          <w:p w14:paraId="2C9E744E" w14:textId="445508FC"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2.6</w:t>
            </w:r>
          </w:p>
        </w:tc>
      </w:tr>
      <w:tr w:rsidR="0071412B" w:rsidRPr="00ED5D46" w14:paraId="4047D4F8" w14:textId="77777777" w:rsidTr="0071412B">
        <w:trPr>
          <w:trHeight w:val="204"/>
          <w:jc w:val="center"/>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7E865" w14:textId="0D469580" w:rsidR="0071412B" w:rsidRPr="00ED5D46" w:rsidRDefault="0071412B" w:rsidP="0071412B">
            <w:pPr>
              <w:spacing w:after="0" w:line="240" w:lineRule="auto"/>
              <w:jc w:val="center"/>
              <w:rPr>
                <w:rFonts w:ascii="Calibri" w:hAnsi="Calibri" w:cs="Calibri"/>
                <w:color w:val="000000"/>
                <w:sz w:val="18"/>
                <w:szCs w:val="18"/>
              </w:rPr>
            </w:pPr>
            <w:r w:rsidRPr="00ED5D46">
              <w:rPr>
                <w:rFonts w:ascii="Calibri" w:hAnsi="Calibri" w:cs="Calibri"/>
                <w:color w:val="000000"/>
                <w:sz w:val="18"/>
                <w:szCs w:val="18"/>
              </w:rPr>
              <w:t>2019</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132B5013" w14:textId="67E1FCD4" w:rsidR="0071412B" w:rsidRPr="00ED5D46" w:rsidRDefault="0071412B" w:rsidP="0071412B">
            <w:pPr>
              <w:spacing w:after="0" w:line="240" w:lineRule="auto"/>
              <w:jc w:val="center"/>
              <w:rPr>
                <w:rFonts w:ascii="Calibri" w:hAnsi="Calibri" w:cs="Calibri"/>
                <w:color w:val="000000"/>
                <w:sz w:val="18"/>
                <w:szCs w:val="18"/>
              </w:rPr>
            </w:pPr>
            <w:r w:rsidRPr="00ED5D46">
              <w:rPr>
                <w:rFonts w:ascii="Calibri" w:hAnsi="Calibri" w:cs="Calibri"/>
                <w:color w:val="000000"/>
                <w:sz w:val="18"/>
                <w:szCs w:val="18"/>
              </w:rPr>
              <w:t>113</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7FAB9329" w14:textId="63AD4D18" w:rsidR="0071412B" w:rsidRPr="00ED5D46" w:rsidRDefault="0071412B" w:rsidP="0071412B">
            <w:pPr>
              <w:spacing w:after="0" w:line="240" w:lineRule="auto"/>
              <w:jc w:val="center"/>
              <w:rPr>
                <w:rFonts w:ascii="Calibri" w:hAnsi="Calibri" w:cs="Calibri"/>
                <w:color w:val="000000"/>
                <w:sz w:val="18"/>
                <w:szCs w:val="18"/>
              </w:rPr>
            </w:pPr>
            <w:r w:rsidRPr="00ED5D46">
              <w:rPr>
                <w:rFonts w:ascii="Calibri" w:hAnsi="Calibri" w:cs="Calibri"/>
                <w:color w:val="000000"/>
                <w:sz w:val="18"/>
                <w:szCs w:val="18"/>
              </w:rPr>
              <w:t>56.8</w:t>
            </w:r>
          </w:p>
        </w:tc>
        <w:tc>
          <w:tcPr>
            <w:tcW w:w="1278" w:type="dxa"/>
            <w:tcBorders>
              <w:top w:val="single" w:sz="4" w:space="0" w:color="auto"/>
              <w:left w:val="nil"/>
              <w:bottom w:val="single" w:sz="4" w:space="0" w:color="auto"/>
              <w:right w:val="single" w:sz="4" w:space="0" w:color="auto"/>
            </w:tcBorders>
            <w:shd w:val="clear" w:color="auto" w:fill="auto"/>
            <w:noWrap/>
            <w:vAlign w:val="bottom"/>
          </w:tcPr>
          <w:p w14:paraId="743976D0" w14:textId="0A738A22" w:rsidR="0071412B" w:rsidRPr="00ED5D46" w:rsidRDefault="0071412B" w:rsidP="0071412B">
            <w:pPr>
              <w:spacing w:after="0" w:line="240" w:lineRule="auto"/>
              <w:jc w:val="center"/>
              <w:rPr>
                <w:rFonts w:ascii="Calibri" w:hAnsi="Calibri" w:cs="Calibri"/>
                <w:color w:val="000000"/>
                <w:sz w:val="18"/>
                <w:szCs w:val="18"/>
              </w:rPr>
            </w:pPr>
            <w:r w:rsidRPr="00ED5D46">
              <w:rPr>
                <w:rFonts w:ascii="Calibri" w:hAnsi="Calibri" w:cs="Calibri"/>
                <w:color w:val="000000"/>
                <w:sz w:val="18"/>
                <w:szCs w:val="18"/>
              </w:rPr>
              <w:t>89.3</w:t>
            </w:r>
          </w:p>
        </w:tc>
        <w:tc>
          <w:tcPr>
            <w:tcW w:w="1278" w:type="dxa"/>
            <w:tcBorders>
              <w:top w:val="single" w:sz="4" w:space="0" w:color="auto"/>
              <w:left w:val="nil"/>
              <w:bottom w:val="single" w:sz="4" w:space="0" w:color="auto"/>
              <w:right w:val="single" w:sz="4" w:space="0" w:color="auto"/>
            </w:tcBorders>
            <w:shd w:val="clear" w:color="auto" w:fill="auto"/>
            <w:noWrap/>
            <w:vAlign w:val="bottom"/>
          </w:tcPr>
          <w:p w14:paraId="5B90118E" w14:textId="0D86E9DC" w:rsidR="0071412B" w:rsidRPr="00ED5D46" w:rsidRDefault="0071412B" w:rsidP="0071412B">
            <w:pPr>
              <w:spacing w:after="0" w:line="240" w:lineRule="auto"/>
              <w:jc w:val="center"/>
              <w:rPr>
                <w:rFonts w:ascii="Calibri" w:hAnsi="Calibri" w:cs="Calibri"/>
                <w:color w:val="000000"/>
                <w:sz w:val="18"/>
                <w:szCs w:val="18"/>
              </w:rPr>
            </w:pPr>
            <w:r w:rsidRPr="00ED5D46">
              <w:rPr>
                <w:rFonts w:ascii="Calibri" w:hAnsi="Calibri" w:cs="Calibri"/>
                <w:color w:val="000000"/>
                <w:sz w:val="18"/>
                <w:szCs w:val="18"/>
              </w:rPr>
              <w:t>87.1</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40FE6880" w14:textId="0BC6568C" w:rsidR="0071412B" w:rsidRPr="00ED5D46" w:rsidRDefault="0071412B" w:rsidP="0071412B">
            <w:pPr>
              <w:spacing w:after="0" w:line="240" w:lineRule="auto"/>
              <w:jc w:val="center"/>
              <w:rPr>
                <w:rFonts w:ascii="Calibri" w:hAnsi="Calibri" w:cs="Calibri"/>
                <w:color w:val="000000"/>
                <w:sz w:val="18"/>
                <w:szCs w:val="18"/>
              </w:rPr>
            </w:pPr>
            <w:r w:rsidRPr="00ED5D46">
              <w:rPr>
                <w:rFonts w:ascii="Calibri" w:hAnsi="Calibri" w:cs="Calibri"/>
                <w:color w:val="000000"/>
                <w:sz w:val="18"/>
                <w:szCs w:val="18"/>
              </w:rPr>
              <w:t>50.8</w:t>
            </w:r>
          </w:p>
        </w:tc>
        <w:tc>
          <w:tcPr>
            <w:tcW w:w="1453" w:type="dxa"/>
            <w:tcBorders>
              <w:top w:val="single" w:sz="4" w:space="0" w:color="auto"/>
              <w:left w:val="nil"/>
              <w:bottom w:val="single" w:sz="4" w:space="0" w:color="auto"/>
              <w:right w:val="single" w:sz="4" w:space="0" w:color="auto"/>
            </w:tcBorders>
            <w:shd w:val="clear" w:color="auto" w:fill="auto"/>
            <w:noWrap/>
            <w:vAlign w:val="bottom"/>
          </w:tcPr>
          <w:p w14:paraId="7AFBD043" w14:textId="52F2E01F"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4</w:t>
            </w:r>
          </w:p>
        </w:tc>
        <w:tc>
          <w:tcPr>
            <w:tcW w:w="1209" w:type="dxa"/>
            <w:tcBorders>
              <w:top w:val="single" w:sz="4" w:space="0" w:color="auto"/>
              <w:left w:val="nil"/>
              <w:bottom w:val="single" w:sz="4" w:space="0" w:color="auto"/>
              <w:right w:val="single" w:sz="4" w:space="0" w:color="auto"/>
            </w:tcBorders>
            <w:shd w:val="clear" w:color="auto" w:fill="auto"/>
            <w:noWrap/>
            <w:vAlign w:val="bottom"/>
          </w:tcPr>
          <w:p w14:paraId="29718B69" w14:textId="4A8CE5FE"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20.4</w:t>
            </w: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03FDF25F" w14:textId="1A602E39" w:rsidR="0071412B" w:rsidRPr="00ED5D46" w:rsidRDefault="0071412B" w:rsidP="0071412B">
            <w:pPr>
              <w:spacing w:after="0" w:line="240" w:lineRule="auto"/>
              <w:jc w:val="center"/>
              <w:rPr>
                <w:sz w:val="18"/>
                <w:szCs w:val="18"/>
              </w:rPr>
            </w:pPr>
            <w:r w:rsidRPr="00ED5D46">
              <w:rPr>
                <w:rFonts w:ascii="Calibri" w:hAnsi="Calibri" w:cs="Calibri"/>
                <w:color w:val="000000"/>
                <w:sz w:val="18"/>
                <w:szCs w:val="18"/>
              </w:rPr>
              <w:t>3.9</w:t>
            </w:r>
          </w:p>
        </w:tc>
      </w:tr>
      <w:tr w:rsidR="004F1C09" w:rsidRPr="00ED5D46" w14:paraId="74C0DF9E" w14:textId="77777777" w:rsidTr="00976FA2">
        <w:trPr>
          <w:trHeight w:val="204"/>
          <w:jc w:val="center"/>
        </w:trPr>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3BFC095" w14:textId="58F04177" w:rsidR="004F1C09" w:rsidRPr="00ED5D46" w:rsidRDefault="004F1C09" w:rsidP="004F1C09">
            <w:pPr>
              <w:spacing w:after="0" w:line="240" w:lineRule="auto"/>
              <w:jc w:val="center"/>
              <w:rPr>
                <w:sz w:val="18"/>
                <w:szCs w:val="18"/>
              </w:rPr>
            </w:pPr>
            <w:r w:rsidRPr="00ED5D46">
              <w:rPr>
                <w:sz w:val="18"/>
                <w:szCs w:val="18"/>
              </w:rPr>
              <w:t>2020</w:t>
            </w:r>
          </w:p>
        </w:tc>
        <w:tc>
          <w:tcPr>
            <w:tcW w:w="852" w:type="dxa"/>
            <w:tcBorders>
              <w:top w:val="single" w:sz="4" w:space="0" w:color="auto"/>
              <w:left w:val="nil"/>
              <w:bottom w:val="single" w:sz="4" w:space="0" w:color="auto"/>
              <w:right w:val="single" w:sz="4" w:space="0" w:color="auto"/>
            </w:tcBorders>
            <w:shd w:val="clear" w:color="auto" w:fill="E7E6E6" w:themeFill="background2"/>
            <w:noWrap/>
            <w:vAlign w:val="bottom"/>
          </w:tcPr>
          <w:p w14:paraId="4E4C04D2" w14:textId="140C64A6" w:rsidR="004F1C09" w:rsidRPr="00ED5D46" w:rsidRDefault="004F1C09" w:rsidP="004F1C09">
            <w:pPr>
              <w:spacing w:after="0" w:line="240" w:lineRule="auto"/>
              <w:jc w:val="center"/>
              <w:rPr>
                <w:sz w:val="18"/>
                <w:szCs w:val="18"/>
              </w:rPr>
            </w:pPr>
            <w:r w:rsidRPr="00ED5D46">
              <w:rPr>
                <w:sz w:val="18"/>
                <w:szCs w:val="18"/>
              </w:rPr>
              <w:t>103</w:t>
            </w:r>
          </w:p>
        </w:tc>
        <w:tc>
          <w:tcPr>
            <w:tcW w:w="852" w:type="dxa"/>
            <w:tcBorders>
              <w:top w:val="single" w:sz="4" w:space="0" w:color="auto"/>
              <w:left w:val="nil"/>
              <w:bottom w:val="single" w:sz="4" w:space="0" w:color="auto"/>
              <w:right w:val="single" w:sz="4" w:space="0" w:color="auto"/>
            </w:tcBorders>
            <w:shd w:val="clear" w:color="auto" w:fill="E7E6E6" w:themeFill="background2"/>
            <w:noWrap/>
            <w:vAlign w:val="bottom"/>
          </w:tcPr>
          <w:p w14:paraId="5561CD52" w14:textId="2E3F9571" w:rsidR="004F1C09" w:rsidRPr="00ED5D46" w:rsidRDefault="004F1C09" w:rsidP="004F1C09">
            <w:pPr>
              <w:spacing w:after="0" w:line="240" w:lineRule="auto"/>
              <w:jc w:val="center"/>
              <w:rPr>
                <w:sz w:val="18"/>
                <w:szCs w:val="18"/>
              </w:rPr>
            </w:pPr>
            <w:r w:rsidRPr="00ED5D46">
              <w:rPr>
                <w:rFonts w:ascii="Calibri" w:hAnsi="Calibri" w:cs="Calibri"/>
                <w:color w:val="000000"/>
                <w:sz w:val="18"/>
              </w:rPr>
              <w:t>58.8</w:t>
            </w:r>
          </w:p>
        </w:tc>
        <w:tc>
          <w:tcPr>
            <w:tcW w:w="1278" w:type="dxa"/>
            <w:tcBorders>
              <w:top w:val="single" w:sz="4" w:space="0" w:color="auto"/>
              <w:left w:val="nil"/>
              <w:bottom w:val="single" w:sz="4" w:space="0" w:color="auto"/>
              <w:right w:val="single" w:sz="4" w:space="0" w:color="auto"/>
            </w:tcBorders>
            <w:shd w:val="clear" w:color="auto" w:fill="E7E6E6" w:themeFill="background2"/>
            <w:noWrap/>
            <w:vAlign w:val="bottom"/>
          </w:tcPr>
          <w:p w14:paraId="240EA53F" w14:textId="5854D62F" w:rsidR="004F1C09" w:rsidRPr="00ED5D46" w:rsidRDefault="004F1C09" w:rsidP="004F1C09">
            <w:pPr>
              <w:spacing w:after="0" w:line="240" w:lineRule="auto"/>
              <w:jc w:val="center"/>
              <w:rPr>
                <w:sz w:val="18"/>
                <w:szCs w:val="18"/>
              </w:rPr>
            </w:pPr>
            <w:r w:rsidRPr="00ED5D46">
              <w:rPr>
                <w:rFonts w:ascii="Calibri" w:hAnsi="Calibri" w:cs="Calibri"/>
                <w:color w:val="000000"/>
                <w:sz w:val="18"/>
              </w:rPr>
              <w:t>90.9</w:t>
            </w:r>
          </w:p>
        </w:tc>
        <w:tc>
          <w:tcPr>
            <w:tcW w:w="1278" w:type="dxa"/>
            <w:tcBorders>
              <w:top w:val="single" w:sz="4" w:space="0" w:color="auto"/>
              <w:left w:val="nil"/>
              <w:bottom w:val="single" w:sz="4" w:space="0" w:color="auto"/>
              <w:right w:val="single" w:sz="4" w:space="0" w:color="auto"/>
            </w:tcBorders>
            <w:shd w:val="clear" w:color="auto" w:fill="E7E6E6" w:themeFill="background2"/>
            <w:noWrap/>
            <w:vAlign w:val="bottom"/>
          </w:tcPr>
          <w:p w14:paraId="60E62F49" w14:textId="49A9A383" w:rsidR="004F1C09" w:rsidRPr="00ED5D46" w:rsidRDefault="004F1C09" w:rsidP="004F1C09">
            <w:pPr>
              <w:spacing w:after="0" w:line="240" w:lineRule="auto"/>
              <w:jc w:val="center"/>
              <w:rPr>
                <w:sz w:val="18"/>
                <w:szCs w:val="18"/>
              </w:rPr>
            </w:pPr>
            <w:r w:rsidRPr="00ED5D46">
              <w:rPr>
                <w:rFonts w:ascii="Calibri" w:hAnsi="Calibri" w:cs="Calibri"/>
                <w:color w:val="000000"/>
                <w:sz w:val="18"/>
              </w:rPr>
              <w:t>91</w:t>
            </w:r>
          </w:p>
        </w:tc>
        <w:tc>
          <w:tcPr>
            <w:tcW w:w="1279" w:type="dxa"/>
            <w:tcBorders>
              <w:top w:val="single" w:sz="4" w:space="0" w:color="auto"/>
              <w:left w:val="nil"/>
              <w:bottom w:val="single" w:sz="4" w:space="0" w:color="auto"/>
              <w:right w:val="single" w:sz="4" w:space="0" w:color="auto"/>
            </w:tcBorders>
            <w:shd w:val="clear" w:color="auto" w:fill="E7E6E6" w:themeFill="background2"/>
            <w:noWrap/>
            <w:vAlign w:val="bottom"/>
          </w:tcPr>
          <w:p w14:paraId="79B0F5B5" w14:textId="0BF2BBA6" w:rsidR="004F1C09" w:rsidRPr="00ED5D46" w:rsidRDefault="004F1C09" w:rsidP="004F1C09">
            <w:pPr>
              <w:spacing w:after="0" w:line="240" w:lineRule="auto"/>
              <w:jc w:val="center"/>
              <w:rPr>
                <w:sz w:val="18"/>
                <w:szCs w:val="18"/>
              </w:rPr>
            </w:pPr>
            <w:r w:rsidRPr="00ED5D46">
              <w:rPr>
                <w:rFonts w:ascii="Calibri" w:hAnsi="Calibri" w:cs="Calibri"/>
                <w:color w:val="000000"/>
                <w:sz w:val="18"/>
              </w:rPr>
              <w:t>57.6</w:t>
            </w:r>
          </w:p>
        </w:tc>
        <w:tc>
          <w:tcPr>
            <w:tcW w:w="1453" w:type="dxa"/>
            <w:tcBorders>
              <w:top w:val="single" w:sz="4" w:space="0" w:color="auto"/>
              <w:left w:val="nil"/>
              <w:bottom w:val="single" w:sz="4" w:space="0" w:color="auto"/>
              <w:right w:val="single" w:sz="4" w:space="0" w:color="auto"/>
            </w:tcBorders>
            <w:shd w:val="clear" w:color="auto" w:fill="E7E6E6" w:themeFill="background2"/>
            <w:noWrap/>
            <w:vAlign w:val="bottom"/>
          </w:tcPr>
          <w:p w14:paraId="14CF1A11" w14:textId="7A1587B9" w:rsidR="004F1C09" w:rsidRPr="00ED5D46" w:rsidRDefault="004F1C09" w:rsidP="004F1C09">
            <w:pPr>
              <w:spacing w:after="0" w:line="240" w:lineRule="auto"/>
              <w:jc w:val="center"/>
              <w:rPr>
                <w:sz w:val="18"/>
                <w:szCs w:val="18"/>
              </w:rPr>
            </w:pPr>
            <w:r w:rsidRPr="00ED5D46">
              <w:rPr>
                <w:rFonts w:ascii="Calibri" w:hAnsi="Calibri" w:cs="Calibri"/>
                <w:color w:val="000000"/>
                <w:sz w:val="18"/>
              </w:rPr>
              <w:t>3.8</w:t>
            </w:r>
          </w:p>
        </w:tc>
        <w:tc>
          <w:tcPr>
            <w:tcW w:w="1209" w:type="dxa"/>
            <w:tcBorders>
              <w:top w:val="single" w:sz="4" w:space="0" w:color="auto"/>
              <w:left w:val="nil"/>
              <w:bottom w:val="single" w:sz="4" w:space="0" w:color="auto"/>
              <w:right w:val="single" w:sz="4" w:space="0" w:color="auto"/>
            </w:tcBorders>
            <w:shd w:val="clear" w:color="auto" w:fill="E7E6E6" w:themeFill="background2"/>
            <w:noWrap/>
            <w:vAlign w:val="bottom"/>
          </w:tcPr>
          <w:p w14:paraId="6827B4A6" w14:textId="2704BBCB" w:rsidR="004F1C09" w:rsidRPr="00ED5D46" w:rsidRDefault="004F1C09" w:rsidP="004F1C09">
            <w:pPr>
              <w:spacing w:after="0" w:line="240" w:lineRule="auto"/>
              <w:jc w:val="center"/>
              <w:rPr>
                <w:sz w:val="18"/>
                <w:szCs w:val="18"/>
              </w:rPr>
            </w:pPr>
            <w:r w:rsidRPr="00ED5D46">
              <w:rPr>
                <w:rFonts w:ascii="Calibri" w:hAnsi="Calibri" w:cs="Calibri"/>
                <w:color w:val="000000"/>
                <w:sz w:val="18"/>
              </w:rPr>
              <w:t>13.8</w:t>
            </w:r>
          </w:p>
        </w:tc>
        <w:tc>
          <w:tcPr>
            <w:tcW w:w="1177" w:type="dxa"/>
            <w:tcBorders>
              <w:top w:val="single" w:sz="4" w:space="0" w:color="auto"/>
              <w:left w:val="nil"/>
              <w:bottom w:val="single" w:sz="4" w:space="0" w:color="auto"/>
              <w:right w:val="single" w:sz="4" w:space="0" w:color="auto"/>
            </w:tcBorders>
            <w:shd w:val="clear" w:color="auto" w:fill="E7E6E6" w:themeFill="background2"/>
            <w:noWrap/>
            <w:vAlign w:val="bottom"/>
          </w:tcPr>
          <w:p w14:paraId="564A202A" w14:textId="7BA530AF" w:rsidR="004F1C09" w:rsidRPr="00ED5D46" w:rsidRDefault="004F1C09" w:rsidP="004F1C09">
            <w:pPr>
              <w:spacing w:after="0" w:line="240" w:lineRule="auto"/>
              <w:jc w:val="center"/>
              <w:rPr>
                <w:sz w:val="18"/>
                <w:szCs w:val="18"/>
              </w:rPr>
            </w:pPr>
            <w:r w:rsidRPr="00ED5D46">
              <w:rPr>
                <w:rFonts w:ascii="Calibri" w:hAnsi="Calibri" w:cs="Calibri"/>
                <w:color w:val="000000"/>
                <w:sz w:val="18"/>
              </w:rPr>
              <w:t>4.3</w:t>
            </w:r>
          </w:p>
        </w:tc>
      </w:tr>
      <w:tr w:rsidR="009D015F" w:rsidRPr="00ED5D46" w14:paraId="1E0626C2" w14:textId="77777777" w:rsidTr="00596822">
        <w:trPr>
          <w:trHeight w:val="204"/>
          <w:jc w:val="center"/>
        </w:trPr>
        <w:tc>
          <w:tcPr>
            <w:tcW w:w="10546" w:type="dxa"/>
            <w:gridSpan w:val="9"/>
            <w:tcBorders>
              <w:top w:val="single" w:sz="4" w:space="0" w:color="auto"/>
            </w:tcBorders>
            <w:shd w:val="clear" w:color="auto" w:fill="auto"/>
            <w:noWrap/>
          </w:tcPr>
          <w:p w14:paraId="76D9F83A" w14:textId="0E358CFF" w:rsidR="009D015F" w:rsidRPr="00ED5D46" w:rsidRDefault="009D015F" w:rsidP="00CD645D">
            <w:pPr>
              <w:spacing w:after="0" w:line="240" w:lineRule="auto"/>
              <w:rPr>
                <w:rFonts w:ascii="Calibri" w:eastAsia="Times New Roman" w:hAnsi="Calibri" w:cs="Calibri"/>
                <w:color w:val="000000"/>
                <w:sz w:val="14"/>
                <w:szCs w:val="14"/>
                <w:lang w:eastAsia="es-MX"/>
              </w:rPr>
            </w:pPr>
            <w:r w:rsidRPr="00ED5D46">
              <w:rPr>
                <w:rFonts w:ascii="Calibri" w:eastAsia="Times New Roman" w:hAnsi="Calibri" w:cs="Calibri"/>
                <w:b/>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ranking mundial de universidades, 201</w:t>
            </w:r>
            <w:r w:rsidR="008B73D1" w:rsidRPr="00ED5D46">
              <w:rPr>
                <w:rFonts w:ascii="Calibri" w:eastAsia="Times New Roman" w:hAnsi="Calibri" w:cs="Calibri"/>
                <w:color w:val="000000"/>
                <w:sz w:val="14"/>
                <w:szCs w:val="14"/>
                <w:lang w:eastAsia="es-MX"/>
              </w:rPr>
              <w:t>2</w:t>
            </w:r>
            <w:r w:rsidRPr="00ED5D46">
              <w:rPr>
                <w:rFonts w:ascii="Calibri" w:eastAsia="Times New Roman" w:hAnsi="Calibri" w:cs="Calibri"/>
                <w:color w:val="000000"/>
                <w:sz w:val="14"/>
                <w:szCs w:val="14"/>
                <w:lang w:eastAsia="es-MX"/>
              </w:rPr>
              <w:t>-2</w:t>
            </w:r>
            <w:r w:rsidR="00C74A05" w:rsidRPr="00ED5D46">
              <w:rPr>
                <w:rFonts w:ascii="Calibri" w:eastAsia="Times New Roman" w:hAnsi="Calibri" w:cs="Calibri"/>
                <w:color w:val="000000"/>
                <w:sz w:val="14"/>
                <w:szCs w:val="14"/>
                <w:lang w:eastAsia="es-MX"/>
              </w:rPr>
              <w:t>020</w:t>
            </w:r>
            <w:r w:rsidRPr="00ED5D46">
              <w:rPr>
                <w:rFonts w:ascii="Calibri" w:eastAsia="Times New Roman" w:hAnsi="Calibri" w:cs="Calibri"/>
                <w:color w:val="000000"/>
                <w:sz w:val="14"/>
                <w:szCs w:val="14"/>
                <w:lang w:eastAsia="es-MX"/>
              </w:rPr>
              <w:t>.</w:t>
            </w:r>
          </w:p>
          <w:p w14:paraId="6C6FF490" w14:textId="14E144E5" w:rsidR="0071412B" w:rsidRPr="00ED5D46" w:rsidRDefault="0071412B" w:rsidP="0071412B">
            <w:pPr>
              <w:spacing w:after="0" w:line="240" w:lineRule="auto"/>
              <w:rPr>
                <w:rFonts w:eastAsia="Times New Roman" w:cs="Times New Roman"/>
                <w:sz w:val="18"/>
                <w:szCs w:val="16"/>
                <w:lang w:eastAsia="es-MX"/>
              </w:rPr>
            </w:pPr>
            <w:r w:rsidRPr="00ED5D46">
              <w:rPr>
                <w:rFonts w:ascii="Calibri" w:eastAsia="Times New Roman" w:hAnsi="Calibri" w:cs="Calibri"/>
                <w:b/>
                <w:color w:val="000000"/>
                <w:sz w:val="14"/>
                <w:szCs w:val="14"/>
                <w:lang w:eastAsia="es-MX"/>
              </w:rPr>
              <w:t>Nota</w:t>
            </w:r>
            <w:r w:rsidRPr="00ED5D46">
              <w:rPr>
                <w:rFonts w:ascii="Calibri" w:eastAsia="Times New Roman" w:hAnsi="Calibri" w:cs="Calibri"/>
                <w:color w:val="000000"/>
                <w:sz w:val="14"/>
                <w:szCs w:val="14"/>
                <w:lang w:eastAsia="es-MX"/>
              </w:rPr>
              <w:t>: Los años han sido modificados para que concuerden con el renombramiento del ranking, debido a un cambio en la fecha de publicación.</w:t>
            </w:r>
          </w:p>
        </w:tc>
      </w:tr>
    </w:tbl>
    <w:p w14:paraId="178EFFBD" w14:textId="4EC99966" w:rsidR="004F1C09" w:rsidRPr="00ED5D46" w:rsidRDefault="004F1C09" w:rsidP="004F1C09">
      <w:pPr>
        <w:spacing w:after="0" w:line="240" w:lineRule="auto"/>
        <w:rPr>
          <w:sz w:val="20"/>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F1C09" w:rsidRPr="00ED5D46" w14:paraId="0717D432" w14:textId="77777777" w:rsidTr="004F1C09">
        <w:trPr>
          <w:trHeight w:val="321"/>
          <w:jc w:val="center"/>
        </w:trPr>
        <w:tc>
          <w:tcPr>
            <w:tcW w:w="9214" w:type="dxa"/>
            <w:vAlign w:val="center"/>
          </w:tcPr>
          <w:p w14:paraId="78B9B313" w14:textId="0F55D9E6" w:rsidR="004F1C09" w:rsidRPr="00ED5D46" w:rsidRDefault="004F1C09" w:rsidP="004F1C09">
            <w:pPr>
              <w:jc w:val="center"/>
              <w:rPr>
                <w:b/>
                <w:sz w:val="20"/>
              </w:rPr>
            </w:pPr>
            <w:r w:rsidRPr="00ED5D46">
              <w:rPr>
                <w:b/>
                <w:sz w:val="20"/>
              </w:rPr>
              <w:t>Gráfica 5. Puntaje obtenido por la UNAM sobre un total en cada indicador del QS ranking mundial de universidades, 2020.</w:t>
            </w:r>
          </w:p>
        </w:tc>
      </w:tr>
      <w:tr w:rsidR="004F1C09" w:rsidRPr="00ED5D46" w14:paraId="4570AC75" w14:textId="77777777" w:rsidTr="004F1C09">
        <w:tblPrEx>
          <w:tblCellMar>
            <w:left w:w="70" w:type="dxa"/>
            <w:right w:w="70" w:type="dxa"/>
          </w:tblCellMar>
        </w:tblPrEx>
        <w:trPr>
          <w:trHeight w:val="1844"/>
          <w:jc w:val="center"/>
        </w:trPr>
        <w:tc>
          <w:tcPr>
            <w:tcW w:w="9214" w:type="dxa"/>
          </w:tcPr>
          <w:p w14:paraId="3834320B" w14:textId="66E639C4" w:rsidR="004F1C09" w:rsidRPr="00ED5D46" w:rsidRDefault="004F1C09" w:rsidP="00976FA2">
            <w:pPr>
              <w:jc w:val="both"/>
            </w:pPr>
            <w:r w:rsidRPr="00ED5D46">
              <w:rPr>
                <w:noProof/>
                <w:lang w:eastAsia="es-MX"/>
              </w:rPr>
              <w:drawing>
                <wp:inline distT="0" distB="0" distL="0" distR="0" wp14:anchorId="2942F696" wp14:editId="7F8B8D9C">
                  <wp:extent cx="5727700" cy="2794000"/>
                  <wp:effectExtent l="0" t="0" r="6350" b="63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F1C09" w:rsidRPr="00ED5D46" w14:paraId="00F75E13" w14:textId="77777777" w:rsidTr="004F1C09">
        <w:tblPrEx>
          <w:tblCellMar>
            <w:left w:w="70" w:type="dxa"/>
            <w:right w:w="70" w:type="dxa"/>
          </w:tblCellMar>
        </w:tblPrEx>
        <w:trPr>
          <w:trHeight w:val="200"/>
          <w:jc w:val="center"/>
        </w:trPr>
        <w:tc>
          <w:tcPr>
            <w:tcW w:w="9214" w:type="dxa"/>
          </w:tcPr>
          <w:p w14:paraId="0E94E3E4" w14:textId="2444E68E" w:rsidR="004F1C09" w:rsidRPr="00ED5D46" w:rsidRDefault="004F1C09" w:rsidP="004F1C09">
            <w:pPr>
              <w:jc w:val="both"/>
              <w:rPr>
                <w:noProof/>
                <w:lang w:eastAsia="es-MX"/>
              </w:rPr>
            </w:pPr>
            <w:r w:rsidRPr="00ED5D46">
              <w:rPr>
                <w:rFonts w:ascii="Calibri" w:eastAsia="Times New Roman" w:hAnsi="Calibri" w:cs="Calibri"/>
                <w:b/>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ranking mundial de universidades, 2020.</w:t>
            </w:r>
          </w:p>
        </w:tc>
      </w:tr>
    </w:tbl>
    <w:p w14:paraId="0E460F91" w14:textId="77777777" w:rsidR="00DF7B91" w:rsidRPr="00ED5D46" w:rsidRDefault="00DF7B91" w:rsidP="00DF7B91">
      <w:pPr>
        <w:spacing w:after="0" w:line="240" w:lineRule="auto"/>
        <w:rPr>
          <w:sz w:val="20"/>
        </w:rPr>
      </w:pPr>
    </w:p>
    <w:p w14:paraId="545D1BA9" w14:textId="7F1C8490" w:rsidR="00F63C08" w:rsidRPr="00ED5D46" w:rsidRDefault="00D45233" w:rsidP="00F63C08">
      <w:pPr>
        <w:pStyle w:val="Prrafodelista"/>
        <w:numPr>
          <w:ilvl w:val="0"/>
          <w:numId w:val="1"/>
        </w:numPr>
        <w:spacing w:after="0" w:line="240" w:lineRule="auto"/>
        <w:jc w:val="both"/>
        <w:rPr>
          <w:sz w:val="24"/>
        </w:rPr>
      </w:pPr>
      <w:r w:rsidRPr="00ED5D46">
        <w:rPr>
          <w:sz w:val="24"/>
        </w:rPr>
        <w:t xml:space="preserve">La UNAM y el ITESM son las </w:t>
      </w:r>
      <w:r w:rsidR="00F63C08" w:rsidRPr="00ED5D46">
        <w:rPr>
          <w:sz w:val="24"/>
        </w:rPr>
        <w:t xml:space="preserve">universidades </w:t>
      </w:r>
      <w:r w:rsidRPr="00ED5D46">
        <w:rPr>
          <w:sz w:val="24"/>
        </w:rPr>
        <w:t>mexicanas mejor posicionadas en el ranking:</w:t>
      </w:r>
    </w:p>
    <w:p w14:paraId="6D80E7A6" w14:textId="71CBD30E" w:rsidR="00E47F95" w:rsidRPr="00ED5D46" w:rsidRDefault="001A7734" w:rsidP="00CD645D">
      <w:pPr>
        <w:pStyle w:val="Prrafodelista"/>
        <w:numPr>
          <w:ilvl w:val="1"/>
          <w:numId w:val="13"/>
        </w:numPr>
        <w:spacing w:after="0" w:line="240" w:lineRule="auto"/>
        <w:jc w:val="both"/>
        <w:rPr>
          <w:sz w:val="24"/>
        </w:rPr>
      </w:pPr>
      <w:r w:rsidRPr="00ED5D46">
        <w:rPr>
          <w:sz w:val="24"/>
        </w:rPr>
        <w:t xml:space="preserve">La UNAM </w:t>
      </w:r>
      <w:r w:rsidR="00D45233" w:rsidRPr="00ED5D46">
        <w:rPr>
          <w:sz w:val="24"/>
        </w:rPr>
        <w:t xml:space="preserve">fue clasificada en el lugar </w:t>
      </w:r>
      <w:r w:rsidR="005C1662" w:rsidRPr="00ED5D46">
        <w:rPr>
          <w:sz w:val="24"/>
        </w:rPr>
        <w:t>1</w:t>
      </w:r>
      <w:r w:rsidR="00D45233" w:rsidRPr="00ED5D46">
        <w:rPr>
          <w:sz w:val="24"/>
        </w:rPr>
        <w:t>0</w:t>
      </w:r>
      <w:r w:rsidR="00F63C08" w:rsidRPr="00ED5D46">
        <w:rPr>
          <w:sz w:val="24"/>
        </w:rPr>
        <w:t>3</w:t>
      </w:r>
      <w:r w:rsidR="005C1662" w:rsidRPr="00ED5D46">
        <w:rPr>
          <w:sz w:val="24"/>
        </w:rPr>
        <w:t xml:space="preserve"> y el </w:t>
      </w:r>
      <w:r w:rsidR="00E47F95" w:rsidRPr="00ED5D46">
        <w:rPr>
          <w:sz w:val="24"/>
        </w:rPr>
        <w:t xml:space="preserve">ITESM en </w:t>
      </w:r>
      <w:r w:rsidR="00D45233" w:rsidRPr="00ED5D46">
        <w:rPr>
          <w:sz w:val="24"/>
        </w:rPr>
        <w:t xml:space="preserve">la posición </w:t>
      </w:r>
      <w:r w:rsidRPr="00ED5D46">
        <w:rPr>
          <w:sz w:val="24"/>
        </w:rPr>
        <w:t>1</w:t>
      </w:r>
      <w:r w:rsidR="00D45233" w:rsidRPr="00ED5D46">
        <w:rPr>
          <w:sz w:val="24"/>
        </w:rPr>
        <w:t>5</w:t>
      </w:r>
      <w:r w:rsidR="00F63C08" w:rsidRPr="00ED5D46">
        <w:rPr>
          <w:sz w:val="24"/>
        </w:rPr>
        <w:t>8</w:t>
      </w:r>
      <w:r w:rsidR="005C1662" w:rsidRPr="00ED5D46">
        <w:rPr>
          <w:sz w:val="24"/>
        </w:rPr>
        <w:t>;</w:t>
      </w:r>
    </w:p>
    <w:p w14:paraId="5A300CFF" w14:textId="335F7B65" w:rsidR="0085719C" w:rsidRPr="00ED5D46" w:rsidRDefault="0085719C" w:rsidP="00CD645D">
      <w:pPr>
        <w:pStyle w:val="Prrafodelista"/>
        <w:numPr>
          <w:ilvl w:val="1"/>
          <w:numId w:val="13"/>
        </w:numPr>
        <w:spacing w:after="0" w:line="240" w:lineRule="auto"/>
        <w:jc w:val="both"/>
        <w:rPr>
          <w:sz w:val="24"/>
        </w:rPr>
      </w:pPr>
      <w:r w:rsidRPr="00ED5D46">
        <w:rPr>
          <w:sz w:val="24"/>
        </w:rPr>
        <w:t>En el puntaje general, la UNAM supero en 10.3 puntos al ITESM, al haber obtenido un total de 58.8 puntos sobre un total posible de 100, mientras que el ITESM obtuvo únicamente 48.5 puntos</w:t>
      </w:r>
      <w:r w:rsidR="00093E66" w:rsidRPr="00ED5D46">
        <w:rPr>
          <w:sz w:val="24"/>
        </w:rPr>
        <w:t xml:space="preserve"> (Ver gráfica </w:t>
      </w:r>
      <w:r w:rsidR="004F1C09" w:rsidRPr="00ED5D46">
        <w:rPr>
          <w:sz w:val="24"/>
        </w:rPr>
        <w:t>6</w:t>
      </w:r>
      <w:r w:rsidR="00093E66" w:rsidRPr="00ED5D46">
        <w:rPr>
          <w:sz w:val="24"/>
        </w:rPr>
        <w:t>)</w:t>
      </w:r>
      <w:r w:rsidRPr="00ED5D46">
        <w:rPr>
          <w:sz w:val="24"/>
        </w:rPr>
        <w:t>;</w:t>
      </w:r>
    </w:p>
    <w:p w14:paraId="0FFDC45D" w14:textId="357746B3" w:rsidR="00E47F95" w:rsidRPr="00ED5D46" w:rsidRDefault="0077440F" w:rsidP="0057650E">
      <w:pPr>
        <w:pStyle w:val="Prrafodelista"/>
        <w:numPr>
          <w:ilvl w:val="1"/>
          <w:numId w:val="13"/>
        </w:numPr>
        <w:spacing w:after="0" w:line="240" w:lineRule="auto"/>
        <w:jc w:val="both"/>
        <w:rPr>
          <w:sz w:val="24"/>
        </w:rPr>
      </w:pPr>
      <w:r w:rsidRPr="00ED5D46">
        <w:rPr>
          <w:sz w:val="24"/>
        </w:rPr>
        <w:t xml:space="preserve">Respecto a la comparativa de los indicadores, la </w:t>
      </w:r>
      <w:r w:rsidR="006318D8" w:rsidRPr="00ED5D46">
        <w:rPr>
          <w:sz w:val="24"/>
        </w:rPr>
        <w:t xml:space="preserve">UNAM </w:t>
      </w:r>
      <w:r w:rsidR="00D029F3" w:rsidRPr="00ED5D46">
        <w:rPr>
          <w:sz w:val="24"/>
        </w:rPr>
        <w:t xml:space="preserve">supero al ITESM en los </w:t>
      </w:r>
      <w:r w:rsidRPr="00ED5D46">
        <w:rPr>
          <w:sz w:val="24"/>
        </w:rPr>
        <w:t xml:space="preserve">rubros </w:t>
      </w:r>
      <w:r w:rsidR="00D029F3" w:rsidRPr="00ED5D46">
        <w:rPr>
          <w:sz w:val="24"/>
        </w:rPr>
        <w:t xml:space="preserve">de </w:t>
      </w:r>
      <w:r w:rsidR="006318D8" w:rsidRPr="00ED5D46">
        <w:rPr>
          <w:sz w:val="24"/>
        </w:rPr>
        <w:t>“</w:t>
      </w:r>
      <w:r w:rsidR="00436361" w:rsidRPr="00ED5D46">
        <w:rPr>
          <w:sz w:val="24"/>
        </w:rPr>
        <w:t>Reputación según académicos</w:t>
      </w:r>
      <w:r w:rsidR="006318D8" w:rsidRPr="00ED5D46">
        <w:rPr>
          <w:sz w:val="24"/>
        </w:rPr>
        <w:t>”</w:t>
      </w:r>
      <w:r w:rsidR="00D029F3" w:rsidRPr="00ED5D46">
        <w:rPr>
          <w:sz w:val="24"/>
        </w:rPr>
        <w:t xml:space="preserve"> </w:t>
      </w:r>
      <w:r w:rsidRPr="00ED5D46">
        <w:rPr>
          <w:sz w:val="24"/>
        </w:rPr>
        <w:t xml:space="preserve">y </w:t>
      </w:r>
      <w:r w:rsidR="006318D8" w:rsidRPr="00ED5D46">
        <w:rPr>
          <w:sz w:val="24"/>
        </w:rPr>
        <w:t>“</w:t>
      </w:r>
      <w:r w:rsidR="00436361" w:rsidRPr="00ED5D46">
        <w:rPr>
          <w:sz w:val="24"/>
        </w:rPr>
        <w:t>Reputación según empleadores</w:t>
      </w:r>
      <w:r w:rsidR="006318D8" w:rsidRPr="00ED5D46">
        <w:rPr>
          <w:sz w:val="24"/>
        </w:rPr>
        <w:t xml:space="preserve">” </w:t>
      </w:r>
      <w:r w:rsidRPr="00ED5D46">
        <w:rPr>
          <w:sz w:val="24"/>
        </w:rPr>
        <w:t>con una diferencia de 54 y 2.1 puntos</w:t>
      </w:r>
      <w:r w:rsidR="00D029F3" w:rsidRPr="00ED5D46">
        <w:rPr>
          <w:sz w:val="24"/>
        </w:rPr>
        <w:t>.</w:t>
      </w:r>
      <w:r w:rsidR="0057650E" w:rsidRPr="00ED5D46">
        <w:rPr>
          <w:sz w:val="24"/>
        </w:rPr>
        <w:t xml:space="preserve"> </w:t>
      </w:r>
      <w:r w:rsidRPr="00ED5D46">
        <w:rPr>
          <w:sz w:val="24"/>
        </w:rPr>
        <w:t>Estos dos indicadores representan el 50% del QS ranking mundial</w:t>
      </w:r>
      <w:r w:rsidR="00093E66" w:rsidRPr="00ED5D46">
        <w:rPr>
          <w:sz w:val="24"/>
        </w:rPr>
        <w:t xml:space="preserve"> (Ver tabla </w:t>
      </w:r>
      <w:r w:rsidR="004F1C09" w:rsidRPr="00ED5D46">
        <w:rPr>
          <w:sz w:val="24"/>
        </w:rPr>
        <w:t>7</w:t>
      </w:r>
      <w:r w:rsidR="00093E66" w:rsidRPr="00ED5D46">
        <w:rPr>
          <w:sz w:val="24"/>
        </w:rPr>
        <w:t>)</w:t>
      </w:r>
      <w:r w:rsidR="00C34789" w:rsidRPr="00ED5D46">
        <w:rPr>
          <w:sz w:val="24"/>
        </w:rPr>
        <w:t>;</w:t>
      </w:r>
    </w:p>
    <w:p w14:paraId="2A0EC055" w14:textId="21241188" w:rsidR="00FE4F15" w:rsidRPr="00ED5D46" w:rsidRDefault="00C34789" w:rsidP="00FE4F15">
      <w:pPr>
        <w:pStyle w:val="Prrafodelista"/>
        <w:numPr>
          <w:ilvl w:val="1"/>
          <w:numId w:val="13"/>
        </w:numPr>
        <w:spacing w:after="0" w:line="240" w:lineRule="auto"/>
        <w:jc w:val="both"/>
        <w:rPr>
          <w:sz w:val="24"/>
        </w:rPr>
      </w:pPr>
      <w:r w:rsidRPr="00ED5D46">
        <w:rPr>
          <w:sz w:val="24"/>
        </w:rPr>
        <w:lastRenderedPageBreak/>
        <w:t xml:space="preserve">Finalmente, la </w:t>
      </w:r>
      <w:r w:rsidR="00FE4F15" w:rsidRPr="00ED5D46">
        <w:rPr>
          <w:sz w:val="24"/>
        </w:rPr>
        <w:t xml:space="preserve">UNAM </w:t>
      </w:r>
      <w:r w:rsidRPr="00ED5D46">
        <w:rPr>
          <w:sz w:val="24"/>
        </w:rPr>
        <w:t>f</w:t>
      </w:r>
      <w:r w:rsidR="00E47F95" w:rsidRPr="00ED5D46">
        <w:rPr>
          <w:sz w:val="24"/>
        </w:rPr>
        <w:t>ue superada por el ITESM en los rubros de</w:t>
      </w:r>
      <w:r w:rsidR="00503BA2" w:rsidRPr="00ED5D46">
        <w:rPr>
          <w:sz w:val="24"/>
        </w:rPr>
        <w:t xml:space="preserve"> </w:t>
      </w:r>
      <w:r w:rsidR="00FE4F15" w:rsidRPr="00ED5D46">
        <w:rPr>
          <w:sz w:val="24"/>
        </w:rPr>
        <w:t>“Proporción de académicos extranjeros,” “Relación entre estudiantes y profesores”, “Proporción de estudiantes extranjeros”, y “Citas académicas por artículo entre planta académica”.</w:t>
      </w:r>
    </w:p>
    <w:p w14:paraId="29E11815" w14:textId="77777777" w:rsidR="00436361" w:rsidRPr="00ED5D46" w:rsidRDefault="00436361" w:rsidP="00CD645D">
      <w:pPr>
        <w:pStyle w:val="Prrafodelista"/>
        <w:spacing w:after="0" w:line="240" w:lineRule="auto"/>
        <w:ind w:left="1440"/>
        <w:jc w:val="both"/>
      </w:pPr>
    </w:p>
    <w:tbl>
      <w:tblPr>
        <w:tblStyle w:val="Tablaconcuadrcula"/>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5"/>
      </w:tblGrid>
      <w:tr w:rsidR="009808C3" w:rsidRPr="00ED5D46" w14:paraId="208BF6AF" w14:textId="77777777" w:rsidTr="00CC4A69">
        <w:trPr>
          <w:trHeight w:val="321"/>
          <w:jc w:val="center"/>
        </w:trPr>
        <w:tc>
          <w:tcPr>
            <w:tcW w:w="10310" w:type="dxa"/>
            <w:vAlign w:val="center"/>
          </w:tcPr>
          <w:p w14:paraId="56D0BA67" w14:textId="5CC7852B" w:rsidR="005D07B4" w:rsidRPr="00ED5D46" w:rsidRDefault="005D07B4" w:rsidP="004F1C09">
            <w:pPr>
              <w:jc w:val="center"/>
              <w:rPr>
                <w:b/>
                <w:sz w:val="20"/>
              </w:rPr>
            </w:pPr>
            <w:r w:rsidRPr="00ED5D46">
              <w:rPr>
                <w:b/>
                <w:sz w:val="20"/>
              </w:rPr>
              <w:t xml:space="preserve">Gráfica </w:t>
            </w:r>
            <w:r w:rsidR="004F1C09" w:rsidRPr="00ED5D46">
              <w:rPr>
                <w:b/>
                <w:sz w:val="20"/>
              </w:rPr>
              <w:t>6</w:t>
            </w:r>
            <w:r w:rsidRPr="00ED5D46">
              <w:rPr>
                <w:b/>
                <w:sz w:val="20"/>
              </w:rPr>
              <w:t xml:space="preserve">. </w:t>
            </w:r>
            <w:r w:rsidR="005C1662" w:rsidRPr="00ED5D46">
              <w:rPr>
                <w:b/>
                <w:sz w:val="20"/>
              </w:rPr>
              <w:t xml:space="preserve">Comparativo de la UNAM y el </w:t>
            </w:r>
            <w:r w:rsidR="008B70DB" w:rsidRPr="00ED5D46">
              <w:rPr>
                <w:b/>
                <w:sz w:val="20"/>
              </w:rPr>
              <w:t xml:space="preserve">ITESM </w:t>
            </w:r>
            <w:r w:rsidR="005C1662" w:rsidRPr="00ED5D46">
              <w:rPr>
                <w:b/>
                <w:sz w:val="20"/>
              </w:rPr>
              <w:t xml:space="preserve">en </w:t>
            </w:r>
            <w:r w:rsidR="008B70DB" w:rsidRPr="00ED5D46">
              <w:rPr>
                <w:b/>
                <w:sz w:val="20"/>
              </w:rPr>
              <w:t>las posiciones d</w:t>
            </w:r>
            <w:r w:rsidRPr="00ED5D46">
              <w:rPr>
                <w:b/>
                <w:sz w:val="20"/>
              </w:rPr>
              <w:t>el QS ranking mundial de universidades, 201</w:t>
            </w:r>
            <w:r w:rsidR="008B73D1" w:rsidRPr="00ED5D46">
              <w:rPr>
                <w:b/>
                <w:sz w:val="20"/>
              </w:rPr>
              <w:t>2</w:t>
            </w:r>
            <w:r w:rsidRPr="00ED5D46">
              <w:rPr>
                <w:b/>
                <w:sz w:val="20"/>
              </w:rPr>
              <w:t xml:space="preserve"> </w:t>
            </w:r>
            <w:r w:rsidR="006D051D" w:rsidRPr="00ED5D46">
              <w:rPr>
                <w:b/>
                <w:sz w:val="20"/>
              </w:rPr>
              <w:t xml:space="preserve">- </w:t>
            </w:r>
            <w:r w:rsidR="00093E66" w:rsidRPr="00ED5D46">
              <w:rPr>
                <w:b/>
                <w:sz w:val="20"/>
              </w:rPr>
              <w:t>2020</w:t>
            </w:r>
            <w:r w:rsidR="008B70DB" w:rsidRPr="00ED5D46">
              <w:rPr>
                <w:b/>
                <w:sz w:val="20"/>
              </w:rPr>
              <w:t>.</w:t>
            </w:r>
          </w:p>
        </w:tc>
      </w:tr>
      <w:tr w:rsidR="009808C3" w:rsidRPr="00ED5D46" w14:paraId="2D6CD1AE" w14:textId="77777777" w:rsidTr="00093E66">
        <w:tblPrEx>
          <w:tblCellMar>
            <w:left w:w="70" w:type="dxa"/>
            <w:right w:w="70" w:type="dxa"/>
          </w:tblCellMar>
        </w:tblPrEx>
        <w:trPr>
          <w:trHeight w:val="1844"/>
          <w:jc w:val="center"/>
        </w:trPr>
        <w:tc>
          <w:tcPr>
            <w:tcW w:w="10310" w:type="dxa"/>
          </w:tcPr>
          <w:p w14:paraId="34835551" w14:textId="7F25E13D" w:rsidR="005D07B4" w:rsidRPr="00ED5D46" w:rsidRDefault="00093E66" w:rsidP="00CD645D">
            <w:pPr>
              <w:jc w:val="both"/>
            </w:pPr>
            <w:r w:rsidRPr="00ED5D46">
              <w:rPr>
                <w:noProof/>
                <w:lang w:eastAsia="es-MX"/>
              </w:rPr>
              <w:drawing>
                <wp:inline distT="0" distB="0" distL="0" distR="0" wp14:anchorId="6B3EE21C" wp14:editId="282CED35">
                  <wp:extent cx="6505575"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C4A69" w:rsidRPr="00ED5D46" w14:paraId="068A7877" w14:textId="77777777" w:rsidTr="00CC4A69">
        <w:tblPrEx>
          <w:tblCellMar>
            <w:left w:w="70" w:type="dxa"/>
            <w:right w:w="70" w:type="dxa"/>
          </w:tblCellMar>
        </w:tblPrEx>
        <w:trPr>
          <w:trHeight w:val="200"/>
          <w:jc w:val="center"/>
        </w:trPr>
        <w:tc>
          <w:tcPr>
            <w:tcW w:w="10310" w:type="dxa"/>
          </w:tcPr>
          <w:p w14:paraId="05D2E43C" w14:textId="5006D996" w:rsidR="00CC4A69" w:rsidRPr="00ED5D46" w:rsidRDefault="00CC4A69" w:rsidP="008B73D1">
            <w:pPr>
              <w:jc w:val="both"/>
              <w:rPr>
                <w:noProof/>
                <w:lang w:eastAsia="es-MX"/>
              </w:rPr>
            </w:pPr>
            <w:r w:rsidRPr="00ED5D46">
              <w:rPr>
                <w:rFonts w:ascii="Calibri" w:eastAsia="Times New Roman" w:hAnsi="Calibri" w:cs="Calibri"/>
                <w:b/>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ranking mundial de universidades, 201</w:t>
            </w:r>
            <w:r w:rsidR="00093E66" w:rsidRPr="00ED5D46">
              <w:rPr>
                <w:rFonts w:ascii="Calibri" w:eastAsia="Times New Roman" w:hAnsi="Calibri" w:cs="Calibri"/>
                <w:color w:val="000000"/>
                <w:sz w:val="14"/>
                <w:szCs w:val="14"/>
                <w:lang w:eastAsia="es-MX"/>
              </w:rPr>
              <w:t>2-2020</w:t>
            </w:r>
            <w:r w:rsidRPr="00ED5D46">
              <w:rPr>
                <w:rFonts w:ascii="Calibri" w:eastAsia="Times New Roman" w:hAnsi="Calibri" w:cs="Calibri"/>
                <w:color w:val="000000"/>
                <w:sz w:val="14"/>
                <w:szCs w:val="14"/>
                <w:lang w:eastAsia="es-MX"/>
              </w:rPr>
              <w:t>.</w:t>
            </w:r>
          </w:p>
        </w:tc>
      </w:tr>
    </w:tbl>
    <w:p w14:paraId="351AB8BF" w14:textId="77777777" w:rsidR="007A309D" w:rsidRPr="00ED5D46" w:rsidRDefault="007A309D" w:rsidP="00CD645D">
      <w:pPr>
        <w:spacing w:after="0" w:line="240" w:lineRule="auto"/>
        <w:rPr>
          <w:sz w:val="20"/>
        </w:rPr>
      </w:pPr>
    </w:p>
    <w:tbl>
      <w:tblPr>
        <w:tblW w:w="10707" w:type="dxa"/>
        <w:jc w:val="center"/>
        <w:tblLayout w:type="fixed"/>
        <w:tblCellMar>
          <w:left w:w="70" w:type="dxa"/>
          <w:right w:w="70" w:type="dxa"/>
        </w:tblCellMar>
        <w:tblLook w:val="04A0" w:firstRow="1" w:lastRow="0" w:firstColumn="1" w:lastColumn="0" w:noHBand="0" w:noVBand="1"/>
      </w:tblPr>
      <w:tblGrid>
        <w:gridCol w:w="1185"/>
        <w:gridCol w:w="864"/>
        <w:gridCol w:w="864"/>
        <w:gridCol w:w="1297"/>
        <w:gridCol w:w="1297"/>
        <w:gridCol w:w="1298"/>
        <w:gridCol w:w="1475"/>
        <w:gridCol w:w="1227"/>
        <w:gridCol w:w="1200"/>
      </w:tblGrid>
      <w:tr w:rsidR="008B70DB" w:rsidRPr="00ED5D46" w14:paraId="5F63638D" w14:textId="77777777" w:rsidTr="00BC49A1">
        <w:trPr>
          <w:trHeight w:val="320"/>
          <w:jc w:val="center"/>
        </w:trPr>
        <w:tc>
          <w:tcPr>
            <w:tcW w:w="10707" w:type="dxa"/>
            <w:gridSpan w:val="9"/>
            <w:tcBorders>
              <w:bottom w:val="single" w:sz="4" w:space="0" w:color="auto"/>
            </w:tcBorders>
            <w:shd w:val="clear" w:color="auto" w:fill="auto"/>
            <w:noWrap/>
            <w:vAlign w:val="center"/>
          </w:tcPr>
          <w:p w14:paraId="454E1408" w14:textId="1CCD26D8" w:rsidR="008B70DB" w:rsidRPr="00ED5D46" w:rsidRDefault="008B70DB" w:rsidP="008B73D1">
            <w:pPr>
              <w:spacing w:after="0" w:line="240" w:lineRule="auto"/>
              <w:jc w:val="center"/>
              <w:rPr>
                <w:rFonts w:ascii="Calibri" w:eastAsia="Times New Roman" w:hAnsi="Calibri" w:cs="Times New Roman"/>
                <w:b/>
                <w:bCs/>
                <w:color w:val="000000"/>
                <w:sz w:val="20"/>
                <w:szCs w:val="18"/>
                <w:lang w:eastAsia="es-MX"/>
              </w:rPr>
            </w:pPr>
            <w:r w:rsidRPr="00ED5D46">
              <w:rPr>
                <w:b/>
                <w:sz w:val="20"/>
                <w:szCs w:val="18"/>
              </w:rPr>
              <w:t xml:space="preserve">Tabla </w:t>
            </w:r>
            <w:r w:rsidR="004F1C09" w:rsidRPr="00ED5D46">
              <w:rPr>
                <w:b/>
                <w:sz w:val="20"/>
                <w:szCs w:val="18"/>
              </w:rPr>
              <w:t>7</w:t>
            </w:r>
            <w:r w:rsidRPr="00ED5D46">
              <w:rPr>
                <w:b/>
                <w:sz w:val="20"/>
                <w:szCs w:val="18"/>
              </w:rPr>
              <w:t xml:space="preserve">. Comparación entre la UNAM y el ITESM en los diferentes indicadores del QS </w:t>
            </w:r>
            <w:r w:rsidR="00BC49A1" w:rsidRPr="00ED5D46">
              <w:rPr>
                <w:b/>
                <w:sz w:val="20"/>
                <w:szCs w:val="18"/>
              </w:rPr>
              <w:t xml:space="preserve">ranking mundial de universidades, </w:t>
            </w:r>
            <w:r w:rsidRPr="00ED5D46">
              <w:rPr>
                <w:b/>
                <w:sz w:val="20"/>
                <w:szCs w:val="18"/>
              </w:rPr>
              <w:t>20</w:t>
            </w:r>
            <w:r w:rsidR="00093E66" w:rsidRPr="00ED5D46">
              <w:rPr>
                <w:b/>
                <w:sz w:val="20"/>
                <w:szCs w:val="18"/>
              </w:rPr>
              <w:t>20</w:t>
            </w:r>
            <w:r w:rsidRPr="00ED5D46">
              <w:rPr>
                <w:b/>
                <w:sz w:val="20"/>
                <w:szCs w:val="18"/>
              </w:rPr>
              <w:t>.</w:t>
            </w:r>
          </w:p>
        </w:tc>
      </w:tr>
      <w:tr w:rsidR="008B70DB" w:rsidRPr="00ED5D46" w14:paraId="48F3BA57" w14:textId="77777777" w:rsidTr="00BC49A1">
        <w:trPr>
          <w:trHeight w:val="764"/>
          <w:jc w:val="center"/>
        </w:trPr>
        <w:tc>
          <w:tcPr>
            <w:tcW w:w="11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2EF009A" w14:textId="605E4DCC" w:rsidR="008B70DB" w:rsidRPr="00ED5D46" w:rsidRDefault="008B70DB" w:rsidP="00CD645D">
            <w:pPr>
              <w:spacing w:after="0" w:line="240" w:lineRule="auto"/>
              <w:jc w:val="center"/>
              <w:rPr>
                <w:rFonts w:ascii="Calibri" w:eastAsia="Times New Roman" w:hAnsi="Calibri" w:cs="Times New Roman"/>
                <w:b/>
                <w:bCs/>
                <w:color w:val="000000"/>
                <w:sz w:val="18"/>
                <w:szCs w:val="18"/>
                <w:lang w:eastAsia="es-MX"/>
              </w:rPr>
            </w:pPr>
            <w:r w:rsidRPr="00ED5D46">
              <w:rPr>
                <w:b/>
                <w:sz w:val="18"/>
              </w:rPr>
              <w:t>Universidad</w:t>
            </w:r>
          </w:p>
        </w:tc>
        <w:tc>
          <w:tcPr>
            <w:tcW w:w="8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F6C866" w14:textId="77777777" w:rsidR="008B70DB" w:rsidRPr="00ED5D46" w:rsidRDefault="008B70DB" w:rsidP="00CD645D">
            <w:pPr>
              <w:spacing w:after="0" w:line="240" w:lineRule="auto"/>
              <w:jc w:val="center"/>
              <w:rPr>
                <w:rFonts w:ascii="Calibri" w:eastAsia="Times New Roman" w:hAnsi="Calibri" w:cs="Times New Roman"/>
                <w:b/>
                <w:bCs/>
                <w:color w:val="000000"/>
                <w:sz w:val="18"/>
                <w:szCs w:val="18"/>
                <w:lang w:eastAsia="es-MX"/>
              </w:rPr>
            </w:pPr>
            <w:r w:rsidRPr="00ED5D46">
              <w:rPr>
                <w:b/>
                <w:sz w:val="18"/>
              </w:rPr>
              <w:t>Posición</w:t>
            </w:r>
          </w:p>
        </w:tc>
        <w:tc>
          <w:tcPr>
            <w:tcW w:w="8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72AA3B" w14:textId="77777777" w:rsidR="008B70DB" w:rsidRPr="00ED5D46" w:rsidRDefault="008B70DB" w:rsidP="00CD645D">
            <w:pPr>
              <w:spacing w:after="0" w:line="240" w:lineRule="auto"/>
              <w:jc w:val="center"/>
              <w:rPr>
                <w:b/>
                <w:sz w:val="18"/>
              </w:rPr>
            </w:pPr>
            <w:r w:rsidRPr="00ED5D46">
              <w:rPr>
                <w:b/>
                <w:sz w:val="18"/>
              </w:rPr>
              <w:t>Puntaje Gral.</w:t>
            </w:r>
          </w:p>
        </w:tc>
        <w:tc>
          <w:tcPr>
            <w:tcW w:w="12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4F95440" w14:textId="77777777" w:rsidR="008B70DB" w:rsidRPr="00ED5D46" w:rsidRDefault="008B70DB" w:rsidP="00CD645D">
            <w:pPr>
              <w:spacing w:after="0" w:line="240" w:lineRule="auto"/>
              <w:jc w:val="center"/>
              <w:rPr>
                <w:b/>
                <w:sz w:val="18"/>
              </w:rPr>
            </w:pPr>
            <w:r w:rsidRPr="00ED5D46">
              <w:rPr>
                <w:b/>
                <w:sz w:val="18"/>
              </w:rPr>
              <w:t>Reputación según académicos</w:t>
            </w:r>
          </w:p>
        </w:tc>
        <w:tc>
          <w:tcPr>
            <w:tcW w:w="129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C220BA4" w14:textId="77777777" w:rsidR="008B70DB" w:rsidRPr="00ED5D46" w:rsidRDefault="008B70DB" w:rsidP="00CD645D">
            <w:pPr>
              <w:spacing w:after="0" w:line="240" w:lineRule="auto"/>
              <w:jc w:val="center"/>
              <w:rPr>
                <w:b/>
                <w:sz w:val="18"/>
              </w:rPr>
            </w:pPr>
            <w:r w:rsidRPr="00ED5D46">
              <w:rPr>
                <w:b/>
                <w:sz w:val="18"/>
              </w:rPr>
              <w:t>Reputación según empleadores</w:t>
            </w:r>
          </w:p>
        </w:tc>
        <w:tc>
          <w:tcPr>
            <w:tcW w:w="129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1257E1A" w14:textId="77777777" w:rsidR="008B70DB" w:rsidRPr="00ED5D46" w:rsidRDefault="008B70DB" w:rsidP="00CD645D">
            <w:pPr>
              <w:spacing w:after="0" w:line="240" w:lineRule="auto"/>
              <w:jc w:val="center"/>
              <w:rPr>
                <w:b/>
                <w:sz w:val="18"/>
              </w:rPr>
            </w:pPr>
            <w:r w:rsidRPr="00ED5D46">
              <w:rPr>
                <w:b/>
                <w:sz w:val="18"/>
              </w:rPr>
              <w:t>Relación entre estudiantes y profesores</w:t>
            </w:r>
          </w:p>
        </w:tc>
        <w:tc>
          <w:tcPr>
            <w:tcW w:w="147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6637819" w14:textId="77777777" w:rsidR="008B70DB" w:rsidRPr="00ED5D46" w:rsidRDefault="008B70DB" w:rsidP="00CD645D">
            <w:pPr>
              <w:spacing w:after="0" w:line="240" w:lineRule="auto"/>
              <w:jc w:val="center"/>
              <w:rPr>
                <w:b/>
                <w:sz w:val="18"/>
              </w:rPr>
            </w:pPr>
            <w:r w:rsidRPr="00ED5D46">
              <w:rPr>
                <w:b/>
                <w:sz w:val="18"/>
              </w:rPr>
              <w:t>Citas académicas por artículo entre planta académica</w:t>
            </w:r>
          </w:p>
        </w:tc>
        <w:tc>
          <w:tcPr>
            <w:tcW w:w="122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10329F4" w14:textId="77777777" w:rsidR="008B70DB" w:rsidRPr="00ED5D46" w:rsidRDefault="008B70DB" w:rsidP="00CD645D">
            <w:pPr>
              <w:spacing w:after="0" w:line="240" w:lineRule="auto"/>
              <w:jc w:val="center"/>
              <w:rPr>
                <w:b/>
                <w:sz w:val="18"/>
              </w:rPr>
            </w:pPr>
            <w:r w:rsidRPr="00ED5D46">
              <w:rPr>
                <w:b/>
                <w:sz w:val="18"/>
              </w:rPr>
              <w:t>Proporción de académicos extranjeros</w:t>
            </w:r>
          </w:p>
        </w:tc>
        <w:tc>
          <w:tcPr>
            <w:tcW w:w="120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16D4B6F" w14:textId="77777777" w:rsidR="008B70DB" w:rsidRPr="00ED5D46" w:rsidRDefault="008B70DB" w:rsidP="00CD645D">
            <w:pPr>
              <w:spacing w:after="0" w:line="240" w:lineRule="auto"/>
              <w:jc w:val="center"/>
              <w:rPr>
                <w:b/>
                <w:sz w:val="18"/>
              </w:rPr>
            </w:pPr>
            <w:r w:rsidRPr="00ED5D46">
              <w:rPr>
                <w:b/>
                <w:sz w:val="18"/>
              </w:rPr>
              <w:t>Proporción de estudiantes extranjeros</w:t>
            </w:r>
          </w:p>
        </w:tc>
      </w:tr>
      <w:tr w:rsidR="008B73D1" w:rsidRPr="00ED5D46" w14:paraId="1AFF1A00" w14:textId="77777777" w:rsidTr="008B73D1">
        <w:trPr>
          <w:trHeight w:val="217"/>
          <w:jc w:val="center"/>
        </w:trPr>
        <w:tc>
          <w:tcPr>
            <w:tcW w:w="1185" w:type="dxa"/>
            <w:tcBorders>
              <w:top w:val="nil"/>
              <w:left w:val="single" w:sz="4" w:space="0" w:color="auto"/>
              <w:bottom w:val="single" w:sz="4" w:space="0" w:color="auto"/>
              <w:right w:val="single" w:sz="4" w:space="0" w:color="auto"/>
            </w:tcBorders>
            <w:shd w:val="clear" w:color="auto" w:fill="E7E6E6" w:themeFill="background2"/>
            <w:noWrap/>
          </w:tcPr>
          <w:p w14:paraId="49406D5A" w14:textId="4BED61FA" w:rsidR="008B73D1" w:rsidRPr="00ED5D46" w:rsidRDefault="008B73D1"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UNAM</w:t>
            </w:r>
          </w:p>
        </w:tc>
        <w:tc>
          <w:tcPr>
            <w:tcW w:w="864" w:type="dxa"/>
            <w:tcBorders>
              <w:top w:val="nil"/>
              <w:left w:val="nil"/>
              <w:bottom w:val="single" w:sz="4" w:space="0" w:color="auto"/>
              <w:right w:val="single" w:sz="4" w:space="0" w:color="auto"/>
            </w:tcBorders>
            <w:shd w:val="clear" w:color="auto" w:fill="E7E6E6" w:themeFill="background2"/>
            <w:noWrap/>
          </w:tcPr>
          <w:p w14:paraId="47AFF60E" w14:textId="3517A915"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103</w:t>
            </w:r>
          </w:p>
        </w:tc>
        <w:tc>
          <w:tcPr>
            <w:tcW w:w="864" w:type="dxa"/>
            <w:tcBorders>
              <w:top w:val="nil"/>
              <w:left w:val="nil"/>
              <w:bottom w:val="single" w:sz="4" w:space="0" w:color="auto"/>
              <w:right w:val="single" w:sz="4" w:space="0" w:color="auto"/>
            </w:tcBorders>
            <w:shd w:val="clear" w:color="auto" w:fill="E7E6E6" w:themeFill="background2"/>
            <w:noWrap/>
            <w:vAlign w:val="center"/>
          </w:tcPr>
          <w:p w14:paraId="447F4131" w14:textId="67BE4BF7"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58.8</w:t>
            </w:r>
          </w:p>
        </w:tc>
        <w:tc>
          <w:tcPr>
            <w:tcW w:w="1297" w:type="dxa"/>
            <w:tcBorders>
              <w:top w:val="nil"/>
              <w:left w:val="nil"/>
              <w:bottom w:val="single" w:sz="4" w:space="0" w:color="auto"/>
              <w:right w:val="single" w:sz="4" w:space="0" w:color="auto"/>
            </w:tcBorders>
            <w:shd w:val="clear" w:color="auto" w:fill="E7E6E6" w:themeFill="background2"/>
            <w:noWrap/>
            <w:vAlign w:val="center"/>
          </w:tcPr>
          <w:p w14:paraId="60F4C0ED" w14:textId="0A752B8F"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90.9</w:t>
            </w:r>
          </w:p>
        </w:tc>
        <w:tc>
          <w:tcPr>
            <w:tcW w:w="1297" w:type="dxa"/>
            <w:tcBorders>
              <w:top w:val="nil"/>
              <w:left w:val="nil"/>
              <w:bottom w:val="single" w:sz="4" w:space="0" w:color="auto"/>
              <w:right w:val="single" w:sz="4" w:space="0" w:color="auto"/>
            </w:tcBorders>
            <w:shd w:val="clear" w:color="auto" w:fill="E7E6E6" w:themeFill="background2"/>
            <w:noWrap/>
            <w:vAlign w:val="center"/>
          </w:tcPr>
          <w:p w14:paraId="289A32EB" w14:textId="53D07FA3"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91</w:t>
            </w:r>
          </w:p>
        </w:tc>
        <w:tc>
          <w:tcPr>
            <w:tcW w:w="1298" w:type="dxa"/>
            <w:tcBorders>
              <w:top w:val="nil"/>
              <w:left w:val="nil"/>
              <w:bottom w:val="single" w:sz="4" w:space="0" w:color="auto"/>
              <w:right w:val="single" w:sz="4" w:space="0" w:color="auto"/>
            </w:tcBorders>
            <w:shd w:val="clear" w:color="auto" w:fill="E7E6E6" w:themeFill="background2"/>
            <w:noWrap/>
            <w:vAlign w:val="center"/>
          </w:tcPr>
          <w:p w14:paraId="3EA02DA6" w14:textId="00BD8302"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57.6</w:t>
            </w:r>
          </w:p>
        </w:tc>
        <w:tc>
          <w:tcPr>
            <w:tcW w:w="1475" w:type="dxa"/>
            <w:tcBorders>
              <w:top w:val="nil"/>
              <w:left w:val="nil"/>
              <w:bottom w:val="single" w:sz="4" w:space="0" w:color="auto"/>
              <w:right w:val="single" w:sz="4" w:space="0" w:color="auto"/>
            </w:tcBorders>
            <w:shd w:val="clear" w:color="auto" w:fill="E7E6E6" w:themeFill="background2"/>
            <w:noWrap/>
            <w:vAlign w:val="center"/>
          </w:tcPr>
          <w:p w14:paraId="22040FB3" w14:textId="0157A1B2"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3.8</w:t>
            </w:r>
          </w:p>
        </w:tc>
        <w:tc>
          <w:tcPr>
            <w:tcW w:w="1227" w:type="dxa"/>
            <w:tcBorders>
              <w:top w:val="nil"/>
              <w:left w:val="nil"/>
              <w:bottom w:val="single" w:sz="4" w:space="0" w:color="auto"/>
              <w:right w:val="single" w:sz="4" w:space="0" w:color="auto"/>
            </w:tcBorders>
            <w:shd w:val="clear" w:color="auto" w:fill="E7E6E6" w:themeFill="background2"/>
            <w:noWrap/>
            <w:vAlign w:val="center"/>
          </w:tcPr>
          <w:p w14:paraId="10DB0A11" w14:textId="30899CE5"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13.8</w:t>
            </w:r>
          </w:p>
        </w:tc>
        <w:tc>
          <w:tcPr>
            <w:tcW w:w="1200" w:type="dxa"/>
            <w:tcBorders>
              <w:top w:val="nil"/>
              <w:left w:val="nil"/>
              <w:bottom w:val="single" w:sz="4" w:space="0" w:color="auto"/>
              <w:right w:val="single" w:sz="4" w:space="0" w:color="auto"/>
            </w:tcBorders>
            <w:shd w:val="clear" w:color="auto" w:fill="E7E6E6" w:themeFill="background2"/>
            <w:noWrap/>
            <w:vAlign w:val="center"/>
          </w:tcPr>
          <w:p w14:paraId="3E1DDEF4" w14:textId="2A54D126"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4.3</w:t>
            </w:r>
          </w:p>
        </w:tc>
      </w:tr>
      <w:tr w:rsidR="008B73D1" w:rsidRPr="00ED5D46" w14:paraId="346CB5CF" w14:textId="77777777" w:rsidTr="008B73D1">
        <w:trPr>
          <w:trHeight w:val="217"/>
          <w:jc w:val="center"/>
        </w:trPr>
        <w:tc>
          <w:tcPr>
            <w:tcW w:w="1185" w:type="dxa"/>
            <w:tcBorders>
              <w:top w:val="nil"/>
              <w:left w:val="single" w:sz="4" w:space="0" w:color="auto"/>
              <w:bottom w:val="single" w:sz="4" w:space="0" w:color="auto"/>
              <w:right w:val="single" w:sz="4" w:space="0" w:color="auto"/>
            </w:tcBorders>
            <w:shd w:val="clear" w:color="auto" w:fill="auto"/>
            <w:noWrap/>
          </w:tcPr>
          <w:p w14:paraId="47951FEE" w14:textId="6CD4A33C" w:rsidR="008B73D1" w:rsidRPr="00ED5D46" w:rsidRDefault="008B73D1"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ITESM</w:t>
            </w:r>
          </w:p>
        </w:tc>
        <w:tc>
          <w:tcPr>
            <w:tcW w:w="864" w:type="dxa"/>
            <w:tcBorders>
              <w:top w:val="nil"/>
              <w:left w:val="nil"/>
              <w:bottom w:val="single" w:sz="4" w:space="0" w:color="auto"/>
              <w:right w:val="single" w:sz="4" w:space="0" w:color="auto"/>
            </w:tcBorders>
            <w:shd w:val="clear" w:color="auto" w:fill="auto"/>
            <w:noWrap/>
          </w:tcPr>
          <w:p w14:paraId="3EF6D490" w14:textId="12E879BC"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158</w:t>
            </w:r>
          </w:p>
        </w:tc>
        <w:tc>
          <w:tcPr>
            <w:tcW w:w="864" w:type="dxa"/>
            <w:tcBorders>
              <w:top w:val="nil"/>
              <w:left w:val="nil"/>
              <w:bottom w:val="single" w:sz="4" w:space="0" w:color="auto"/>
              <w:right w:val="single" w:sz="4" w:space="0" w:color="auto"/>
            </w:tcBorders>
            <w:shd w:val="clear" w:color="auto" w:fill="auto"/>
            <w:noWrap/>
            <w:vAlign w:val="center"/>
          </w:tcPr>
          <w:p w14:paraId="1E456FC2" w14:textId="4A8516D7"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48.5</w:t>
            </w:r>
          </w:p>
        </w:tc>
        <w:tc>
          <w:tcPr>
            <w:tcW w:w="1297" w:type="dxa"/>
            <w:tcBorders>
              <w:top w:val="nil"/>
              <w:left w:val="nil"/>
              <w:bottom w:val="single" w:sz="4" w:space="0" w:color="auto"/>
              <w:right w:val="single" w:sz="4" w:space="0" w:color="auto"/>
            </w:tcBorders>
            <w:shd w:val="clear" w:color="auto" w:fill="auto"/>
            <w:noWrap/>
            <w:vAlign w:val="center"/>
          </w:tcPr>
          <w:p w14:paraId="68DD17FA" w14:textId="6ECA09CC"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36.9</w:t>
            </w:r>
          </w:p>
        </w:tc>
        <w:tc>
          <w:tcPr>
            <w:tcW w:w="1297" w:type="dxa"/>
            <w:tcBorders>
              <w:top w:val="nil"/>
              <w:left w:val="nil"/>
              <w:bottom w:val="single" w:sz="4" w:space="0" w:color="auto"/>
              <w:right w:val="single" w:sz="4" w:space="0" w:color="auto"/>
            </w:tcBorders>
            <w:shd w:val="clear" w:color="auto" w:fill="auto"/>
            <w:noWrap/>
            <w:vAlign w:val="center"/>
          </w:tcPr>
          <w:p w14:paraId="04EDBBFF" w14:textId="57E6D331"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88.9</w:t>
            </w:r>
          </w:p>
        </w:tc>
        <w:tc>
          <w:tcPr>
            <w:tcW w:w="1298" w:type="dxa"/>
            <w:tcBorders>
              <w:top w:val="nil"/>
              <w:left w:val="nil"/>
              <w:bottom w:val="single" w:sz="4" w:space="0" w:color="auto"/>
              <w:right w:val="single" w:sz="4" w:space="0" w:color="auto"/>
            </w:tcBorders>
            <w:shd w:val="clear" w:color="auto" w:fill="auto"/>
            <w:noWrap/>
            <w:vAlign w:val="center"/>
          </w:tcPr>
          <w:p w14:paraId="2F51E7E0" w14:textId="4D40D0D9"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89.5</w:t>
            </w:r>
          </w:p>
        </w:tc>
        <w:tc>
          <w:tcPr>
            <w:tcW w:w="1475" w:type="dxa"/>
            <w:tcBorders>
              <w:top w:val="nil"/>
              <w:left w:val="nil"/>
              <w:bottom w:val="single" w:sz="4" w:space="0" w:color="auto"/>
              <w:right w:val="single" w:sz="4" w:space="0" w:color="auto"/>
            </w:tcBorders>
            <w:shd w:val="clear" w:color="auto" w:fill="auto"/>
            <w:noWrap/>
            <w:vAlign w:val="center"/>
          </w:tcPr>
          <w:p w14:paraId="743945BA" w14:textId="4A98EAB3"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4.6</w:t>
            </w:r>
          </w:p>
        </w:tc>
        <w:tc>
          <w:tcPr>
            <w:tcW w:w="1227" w:type="dxa"/>
            <w:tcBorders>
              <w:top w:val="nil"/>
              <w:left w:val="nil"/>
              <w:bottom w:val="single" w:sz="4" w:space="0" w:color="auto"/>
              <w:right w:val="single" w:sz="4" w:space="0" w:color="auto"/>
            </w:tcBorders>
            <w:shd w:val="clear" w:color="auto" w:fill="auto"/>
            <w:noWrap/>
            <w:vAlign w:val="center"/>
          </w:tcPr>
          <w:p w14:paraId="5434EA1A" w14:textId="6770B502"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98.2</w:t>
            </w:r>
          </w:p>
        </w:tc>
        <w:tc>
          <w:tcPr>
            <w:tcW w:w="1200" w:type="dxa"/>
            <w:tcBorders>
              <w:top w:val="nil"/>
              <w:left w:val="nil"/>
              <w:bottom w:val="single" w:sz="4" w:space="0" w:color="auto"/>
              <w:right w:val="single" w:sz="4" w:space="0" w:color="auto"/>
            </w:tcBorders>
            <w:shd w:val="clear" w:color="auto" w:fill="auto"/>
            <w:noWrap/>
            <w:vAlign w:val="center"/>
          </w:tcPr>
          <w:p w14:paraId="0D05D944" w14:textId="69DD01B7" w:rsidR="008B73D1" w:rsidRPr="00ED5D46" w:rsidRDefault="00093E66" w:rsidP="008B73D1">
            <w:pPr>
              <w:spacing w:after="0" w:line="240" w:lineRule="auto"/>
              <w:jc w:val="center"/>
              <w:rPr>
                <w:rFonts w:eastAsia="Times New Roman" w:cs="Times New Roman"/>
                <w:color w:val="000000"/>
                <w:sz w:val="16"/>
                <w:szCs w:val="16"/>
                <w:lang w:eastAsia="es-MX"/>
              </w:rPr>
            </w:pPr>
            <w:r w:rsidRPr="00ED5D46">
              <w:rPr>
                <w:rFonts w:eastAsia="Times New Roman" w:cs="Times New Roman"/>
                <w:color w:val="000000"/>
                <w:sz w:val="16"/>
                <w:szCs w:val="16"/>
                <w:lang w:eastAsia="es-MX"/>
              </w:rPr>
              <w:t>18.4</w:t>
            </w:r>
          </w:p>
        </w:tc>
      </w:tr>
      <w:tr w:rsidR="00BC49A1" w:rsidRPr="00B460BD" w14:paraId="4C6121B5" w14:textId="77777777" w:rsidTr="00BC49A1">
        <w:trPr>
          <w:trHeight w:val="217"/>
          <w:jc w:val="center"/>
        </w:trPr>
        <w:tc>
          <w:tcPr>
            <w:tcW w:w="10707" w:type="dxa"/>
            <w:gridSpan w:val="9"/>
            <w:tcBorders>
              <w:top w:val="single" w:sz="4" w:space="0" w:color="auto"/>
            </w:tcBorders>
            <w:shd w:val="clear" w:color="auto" w:fill="auto"/>
            <w:noWrap/>
          </w:tcPr>
          <w:p w14:paraId="1352039C" w14:textId="59099806" w:rsidR="00BC49A1" w:rsidRPr="00B460BD" w:rsidRDefault="00BC49A1" w:rsidP="00093E66">
            <w:pPr>
              <w:spacing w:after="0" w:line="240" w:lineRule="auto"/>
              <w:rPr>
                <w:sz w:val="16"/>
                <w:szCs w:val="16"/>
              </w:rPr>
            </w:pPr>
            <w:r w:rsidRPr="00ED5D46">
              <w:rPr>
                <w:rFonts w:ascii="Calibri" w:eastAsia="Times New Roman" w:hAnsi="Calibri" w:cs="Calibri"/>
                <w:b/>
                <w:color w:val="000000"/>
                <w:sz w:val="14"/>
                <w:szCs w:val="14"/>
                <w:lang w:eastAsia="es-MX"/>
              </w:rPr>
              <w:t>Fuente:</w:t>
            </w:r>
            <w:r w:rsidRPr="00ED5D46">
              <w:rPr>
                <w:rFonts w:ascii="Calibri" w:eastAsia="Times New Roman" w:hAnsi="Calibri" w:cs="Calibri"/>
                <w:color w:val="000000"/>
                <w:sz w:val="14"/>
                <w:szCs w:val="14"/>
                <w:lang w:eastAsia="es-MX"/>
              </w:rPr>
              <w:t xml:space="preserve"> Elaboración propia con datos publicados del QS rankin</w:t>
            </w:r>
            <w:r w:rsidR="00093E66" w:rsidRPr="00ED5D46">
              <w:rPr>
                <w:rFonts w:ascii="Calibri" w:eastAsia="Times New Roman" w:hAnsi="Calibri" w:cs="Calibri"/>
                <w:color w:val="000000"/>
                <w:sz w:val="14"/>
                <w:szCs w:val="14"/>
                <w:lang w:eastAsia="es-MX"/>
              </w:rPr>
              <w:t>g mundial de universidades, 2020</w:t>
            </w:r>
            <w:r w:rsidRPr="00ED5D46">
              <w:rPr>
                <w:rFonts w:ascii="Calibri" w:eastAsia="Times New Roman" w:hAnsi="Calibri" w:cs="Calibri"/>
                <w:color w:val="000000"/>
                <w:sz w:val="14"/>
                <w:szCs w:val="14"/>
                <w:lang w:eastAsia="es-MX"/>
              </w:rPr>
              <w:t>.</w:t>
            </w:r>
          </w:p>
        </w:tc>
      </w:tr>
    </w:tbl>
    <w:p w14:paraId="3AB4CDF5" w14:textId="77777777" w:rsidR="008B70DB" w:rsidRDefault="008B70DB" w:rsidP="00CD645D">
      <w:pPr>
        <w:spacing w:after="0" w:line="240" w:lineRule="auto"/>
        <w:rPr>
          <w:sz w:val="2"/>
        </w:rPr>
      </w:pPr>
    </w:p>
    <w:p w14:paraId="4FD1CE8E" w14:textId="77777777" w:rsidR="00EB282F" w:rsidRDefault="00EB282F" w:rsidP="00CD645D">
      <w:pPr>
        <w:spacing w:after="0" w:line="240" w:lineRule="auto"/>
        <w:rPr>
          <w:sz w:val="2"/>
        </w:rPr>
      </w:pPr>
    </w:p>
    <w:p w14:paraId="3EEE02BD" w14:textId="77777777" w:rsidR="00EB282F" w:rsidRDefault="00EB282F" w:rsidP="00CD645D">
      <w:pPr>
        <w:spacing w:after="0" w:line="240" w:lineRule="auto"/>
        <w:rPr>
          <w:sz w:val="2"/>
        </w:rPr>
      </w:pPr>
    </w:p>
    <w:p w14:paraId="4BEBEEBE" w14:textId="77777777" w:rsidR="00EB282F" w:rsidRDefault="00EB282F" w:rsidP="00CD645D">
      <w:pPr>
        <w:spacing w:after="0" w:line="240" w:lineRule="auto"/>
        <w:rPr>
          <w:sz w:val="2"/>
        </w:rPr>
      </w:pPr>
    </w:p>
    <w:p w14:paraId="3532BFF2" w14:textId="77777777" w:rsidR="00EB282F" w:rsidRPr="006C15EC" w:rsidRDefault="00EB282F" w:rsidP="00CD645D">
      <w:pPr>
        <w:spacing w:after="0" w:line="240" w:lineRule="auto"/>
        <w:rPr>
          <w:sz w:val="2"/>
        </w:rPr>
      </w:pPr>
    </w:p>
    <w:sectPr w:rsidR="00EB282F" w:rsidRPr="006C15EC" w:rsidSect="00CB1770">
      <w:pgSz w:w="12240" w:h="15840"/>
      <w:pgMar w:top="111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147F" w14:textId="77777777" w:rsidR="00B337F3" w:rsidRDefault="00B337F3" w:rsidP="00C41170">
      <w:pPr>
        <w:spacing w:after="0" w:line="240" w:lineRule="auto"/>
      </w:pPr>
      <w:r>
        <w:separator/>
      </w:r>
    </w:p>
  </w:endnote>
  <w:endnote w:type="continuationSeparator" w:id="0">
    <w:p w14:paraId="75994775" w14:textId="77777777" w:rsidR="00B337F3" w:rsidRDefault="00B337F3"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867C2" w14:textId="77777777" w:rsidR="00B337F3" w:rsidRDefault="00B337F3" w:rsidP="00C41170">
      <w:pPr>
        <w:spacing w:after="0" w:line="240" w:lineRule="auto"/>
      </w:pPr>
      <w:r>
        <w:separator/>
      </w:r>
    </w:p>
  </w:footnote>
  <w:footnote w:type="continuationSeparator" w:id="0">
    <w:p w14:paraId="39A5A6DC" w14:textId="77777777" w:rsidR="00B337F3" w:rsidRDefault="00B337F3" w:rsidP="00C41170">
      <w:pPr>
        <w:spacing w:after="0" w:line="240" w:lineRule="auto"/>
      </w:pPr>
      <w:r>
        <w:continuationSeparator/>
      </w:r>
    </w:p>
  </w:footnote>
  <w:footnote w:id="1">
    <w:p w14:paraId="68485429" w14:textId="1C3C5BD6" w:rsidR="00976FA2" w:rsidRDefault="00976FA2" w:rsidP="00AD7D66">
      <w:pPr>
        <w:pStyle w:val="Textonotapie"/>
        <w:jc w:val="both"/>
      </w:pPr>
      <w:r>
        <w:rPr>
          <w:rStyle w:val="Refdenotaalpie"/>
        </w:rPr>
        <w:footnoteRef/>
      </w:r>
      <w:r>
        <w:t xml:space="preserve"> </w:t>
      </w:r>
      <w:r w:rsidRPr="008C4EFF">
        <w:rPr>
          <w:sz w:val="16"/>
        </w:rPr>
        <w:t xml:space="preserve">La Metodología </w:t>
      </w:r>
      <w:r w:rsidR="00B320AF">
        <w:rPr>
          <w:sz w:val="16"/>
        </w:rPr>
        <w:t>“</w:t>
      </w:r>
      <w:r w:rsidRPr="008C4EFF">
        <w:rPr>
          <w:sz w:val="16"/>
        </w:rPr>
        <w:t>QS Star</w:t>
      </w:r>
      <w:r w:rsidR="00B320AF">
        <w:rPr>
          <w:sz w:val="16"/>
        </w:rPr>
        <w:t>”</w:t>
      </w:r>
      <w:r w:rsidRPr="008C4EFF">
        <w:rPr>
          <w:sz w:val="16"/>
        </w:rPr>
        <w:t xml:space="preserve"> considera 12 categorías: Enseñanza, Empleabilidad, Investigación, Internacionalización, Instalaciones, Educación a distancia, Ranking temático, Fortaleza del programa, Artes y Cultura, Innovación, Responsabilidad Social, e Inclusión. Disponible en </w:t>
      </w:r>
      <w:hyperlink r:id="rId1" w:history="1">
        <w:r w:rsidRPr="008C4EFF">
          <w:rPr>
            <w:rStyle w:val="Hipervnculo"/>
            <w:sz w:val="16"/>
          </w:rPr>
          <w:t>http://productionfiles.qs.s3.amazonaws.com/25830/proof_v2_25830.pdf</w:t>
        </w:r>
      </w:hyperlink>
      <w:r w:rsidRPr="008C4EFF">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4249"/>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7E42"/>
    <w:multiLevelType w:val="hybridMultilevel"/>
    <w:tmpl w:val="4F4CA0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F129DF"/>
    <w:multiLevelType w:val="hybridMultilevel"/>
    <w:tmpl w:val="DD72F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29F7345D"/>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FF033E2"/>
    <w:multiLevelType w:val="hybridMultilevel"/>
    <w:tmpl w:val="65201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8145A29"/>
    <w:multiLevelType w:val="hybridMultilevel"/>
    <w:tmpl w:val="C33EBC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2F3909"/>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D71206"/>
    <w:multiLevelType w:val="hybridMultilevel"/>
    <w:tmpl w:val="36E2E1AE"/>
    <w:lvl w:ilvl="0" w:tplc="080A0011">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7A124999"/>
    <w:multiLevelType w:val="hybridMultilevel"/>
    <w:tmpl w:val="6F0EE7CC"/>
    <w:lvl w:ilvl="0" w:tplc="06BCD2CE">
      <w:start w:val="1"/>
      <w:numFmt w:val="decimal"/>
      <w:lvlText w:val="%1."/>
      <w:lvlJc w:val="left"/>
      <w:pPr>
        <w:ind w:left="720" w:hanging="360"/>
      </w:pPr>
      <w:rPr>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8"/>
  </w:num>
  <w:num w:numId="5">
    <w:abstractNumId w:val="7"/>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5"/>
  </w:num>
  <w:num w:numId="11">
    <w:abstractNumId w:val="1"/>
  </w:num>
  <w:num w:numId="12">
    <w:abstractNumId w:val="6"/>
  </w:num>
  <w:num w:numId="13">
    <w:abstractNumId w:val="11"/>
  </w:num>
  <w:num w:numId="14">
    <w:abstractNumId w:val="10"/>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87"/>
    <w:rsid w:val="0000652E"/>
    <w:rsid w:val="00020E31"/>
    <w:rsid w:val="0002187F"/>
    <w:rsid w:val="00021F28"/>
    <w:rsid w:val="00026805"/>
    <w:rsid w:val="0003232C"/>
    <w:rsid w:val="00035884"/>
    <w:rsid w:val="0004030C"/>
    <w:rsid w:val="0004343F"/>
    <w:rsid w:val="0004580D"/>
    <w:rsid w:val="00055632"/>
    <w:rsid w:val="00062B9F"/>
    <w:rsid w:val="00072ABC"/>
    <w:rsid w:val="00093E66"/>
    <w:rsid w:val="00095E29"/>
    <w:rsid w:val="000A16FB"/>
    <w:rsid w:val="000A62C9"/>
    <w:rsid w:val="000B2479"/>
    <w:rsid w:val="000B3CEF"/>
    <w:rsid w:val="000C31EF"/>
    <w:rsid w:val="000C3D13"/>
    <w:rsid w:val="000C6A1B"/>
    <w:rsid w:val="000D0015"/>
    <w:rsid w:val="000D06A3"/>
    <w:rsid w:val="000E06F7"/>
    <w:rsid w:val="000E3D1A"/>
    <w:rsid w:val="000E4209"/>
    <w:rsid w:val="000E5282"/>
    <w:rsid w:val="000F3986"/>
    <w:rsid w:val="000F3B73"/>
    <w:rsid w:val="00113D12"/>
    <w:rsid w:val="00115A9D"/>
    <w:rsid w:val="001217F8"/>
    <w:rsid w:val="00121ECB"/>
    <w:rsid w:val="001329FA"/>
    <w:rsid w:val="00133440"/>
    <w:rsid w:val="00135B1D"/>
    <w:rsid w:val="00145378"/>
    <w:rsid w:val="001468ED"/>
    <w:rsid w:val="001511A2"/>
    <w:rsid w:val="00162FFD"/>
    <w:rsid w:val="0017723B"/>
    <w:rsid w:val="0019282A"/>
    <w:rsid w:val="001A286B"/>
    <w:rsid w:val="001A3875"/>
    <w:rsid w:val="001A470B"/>
    <w:rsid w:val="001A6B42"/>
    <w:rsid w:val="001A7734"/>
    <w:rsid w:val="001B70F9"/>
    <w:rsid w:val="001C74C7"/>
    <w:rsid w:val="001D0B61"/>
    <w:rsid w:val="001D1F74"/>
    <w:rsid w:val="001D4C47"/>
    <w:rsid w:val="001D5EBD"/>
    <w:rsid w:val="001F34B2"/>
    <w:rsid w:val="001F507B"/>
    <w:rsid w:val="00200345"/>
    <w:rsid w:val="00200691"/>
    <w:rsid w:val="00202ADD"/>
    <w:rsid w:val="00212D61"/>
    <w:rsid w:val="0023309E"/>
    <w:rsid w:val="0023315E"/>
    <w:rsid w:val="00233530"/>
    <w:rsid w:val="00234D0C"/>
    <w:rsid w:val="00245DE0"/>
    <w:rsid w:val="00250246"/>
    <w:rsid w:val="0025102A"/>
    <w:rsid w:val="00257B74"/>
    <w:rsid w:val="00260339"/>
    <w:rsid w:val="00263F3E"/>
    <w:rsid w:val="00281678"/>
    <w:rsid w:val="00286835"/>
    <w:rsid w:val="00286FEF"/>
    <w:rsid w:val="00287D4C"/>
    <w:rsid w:val="00290141"/>
    <w:rsid w:val="00291132"/>
    <w:rsid w:val="002938AF"/>
    <w:rsid w:val="002A7AD8"/>
    <w:rsid w:val="002B25F8"/>
    <w:rsid w:val="002B705F"/>
    <w:rsid w:val="002C2928"/>
    <w:rsid w:val="002D1CCB"/>
    <w:rsid w:val="002D2258"/>
    <w:rsid w:val="002E342B"/>
    <w:rsid w:val="002E496D"/>
    <w:rsid w:val="002F62AE"/>
    <w:rsid w:val="00301FFD"/>
    <w:rsid w:val="003043A7"/>
    <w:rsid w:val="00306D1A"/>
    <w:rsid w:val="00306D26"/>
    <w:rsid w:val="0031474A"/>
    <w:rsid w:val="003201C2"/>
    <w:rsid w:val="00320A0B"/>
    <w:rsid w:val="00324AC0"/>
    <w:rsid w:val="0032598E"/>
    <w:rsid w:val="003345DC"/>
    <w:rsid w:val="00334D96"/>
    <w:rsid w:val="00344794"/>
    <w:rsid w:val="003549CE"/>
    <w:rsid w:val="00354E9F"/>
    <w:rsid w:val="003805B5"/>
    <w:rsid w:val="00381CD9"/>
    <w:rsid w:val="00392FEF"/>
    <w:rsid w:val="003B2D5D"/>
    <w:rsid w:val="003B42BE"/>
    <w:rsid w:val="003B74C3"/>
    <w:rsid w:val="003C078B"/>
    <w:rsid w:val="003C102E"/>
    <w:rsid w:val="003C5310"/>
    <w:rsid w:val="003C71DE"/>
    <w:rsid w:val="003D634C"/>
    <w:rsid w:val="003E16DB"/>
    <w:rsid w:val="003E1861"/>
    <w:rsid w:val="003E2616"/>
    <w:rsid w:val="003E3CE4"/>
    <w:rsid w:val="003E470C"/>
    <w:rsid w:val="003F49B2"/>
    <w:rsid w:val="003F4E52"/>
    <w:rsid w:val="003F525C"/>
    <w:rsid w:val="003F6DF0"/>
    <w:rsid w:val="003F7797"/>
    <w:rsid w:val="00400C3E"/>
    <w:rsid w:val="00403CA1"/>
    <w:rsid w:val="004052AE"/>
    <w:rsid w:val="00405DF0"/>
    <w:rsid w:val="00406263"/>
    <w:rsid w:val="00407940"/>
    <w:rsid w:val="00415164"/>
    <w:rsid w:val="00415337"/>
    <w:rsid w:val="00421BC8"/>
    <w:rsid w:val="00427088"/>
    <w:rsid w:val="00431299"/>
    <w:rsid w:val="004333C9"/>
    <w:rsid w:val="00436361"/>
    <w:rsid w:val="004428C5"/>
    <w:rsid w:val="00450CB1"/>
    <w:rsid w:val="0045138C"/>
    <w:rsid w:val="0045419E"/>
    <w:rsid w:val="00470000"/>
    <w:rsid w:val="00470121"/>
    <w:rsid w:val="0047047E"/>
    <w:rsid w:val="00472C94"/>
    <w:rsid w:val="00473561"/>
    <w:rsid w:val="00477856"/>
    <w:rsid w:val="00483093"/>
    <w:rsid w:val="00493403"/>
    <w:rsid w:val="004A0BCC"/>
    <w:rsid w:val="004A5CDA"/>
    <w:rsid w:val="004B11C6"/>
    <w:rsid w:val="004B4A0F"/>
    <w:rsid w:val="004C4F5D"/>
    <w:rsid w:val="004C5FAD"/>
    <w:rsid w:val="004C7A6A"/>
    <w:rsid w:val="004D5A3B"/>
    <w:rsid w:val="004D7EF7"/>
    <w:rsid w:val="004E0C72"/>
    <w:rsid w:val="004E45FF"/>
    <w:rsid w:val="004F04CC"/>
    <w:rsid w:val="004F1B6E"/>
    <w:rsid w:val="004F1C09"/>
    <w:rsid w:val="004F61D3"/>
    <w:rsid w:val="005001B4"/>
    <w:rsid w:val="00501E62"/>
    <w:rsid w:val="00503BA2"/>
    <w:rsid w:val="0050401D"/>
    <w:rsid w:val="005057D1"/>
    <w:rsid w:val="00513426"/>
    <w:rsid w:val="00516B87"/>
    <w:rsid w:val="0052065E"/>
    <w:rsid w:val="00521789"/>
    <w:rsid w:val="005427A3"/>
    <w:rsid w:val="0054305B"/>
    <w:rsid w:val="0054331B"/>
    <w:rsid w:val="00555A42"/>
    <w:rsid w:val="00561292"/>
    <w:rsid w:val="005612C8"/>
    <w:rsid w:val="00565CFB"/>
    <w:rsid w:val="00573E61"/>
    <w:rsid w:val="00575789"/>
    <w:rsid w:val="0057650E"/>
    <w:rsid w:val="00577CEB"/>
    <w:rsid w:val="00581873"/>
    <w:rsid w:val="00596822"/>
    <w:rsid w:val="005A0D1F"/>
    <w:rsid w:val="005A4AEB"/>
    <w:rsid w:val="005A663A"/>
    <w:rsid w:val="005A6FC1"/>
    <w:rsid w:val="005B1ECF"/>
    <w:rsid w:val="005B79EA"/>
    <w:rsid w:val="005C1662"/>
    <w:rsid w:val="005C563E"/>
    <w:rsid w:val="005C66F9"/>
    <w:rsid w:val="005D07B4"/>
    <w:rsid w:val="005D55AC"/>
    <w:rsid w:val="005E02C6"/>
    <w:rsid w:val="005E49CA"/>
    <w:rsid w:val="0060365B"/>
    <w:rsid w:val="00621566"/>
    <w:rsid w:val="0062254D"/>
    <w:rsid w:val="006303B1"/>
    <w:rsid w:val="006318D8"/>
    <w:rsid w:val="00631D10"/>
    <w:rsid w:val="006355D9"/>
    <w:rsid w:val="00641AA1"/>
    <w:rsid w:val="00651F04"/>
    <w:rsid w:val="00652FD6"/>
    <w:rsid w:val="00662201"/>
    <w:rsid w:val="00667AE4"/>
    <w:rsid w:val="00670550"/>
    <w:rsid w:val="006736A3"/>
    <w:rsid w:val="0067403C"/>
    <w:rsid w:val="00675AA8"/>
    <w:rsid w:val="00676787"/>
    <w:rsid w:val="00676B85"/>
    <w:rsid w:val="006A21AB"/>
    <w:rsid w:val="006A60F4"/>
    <w:rsid w:val="006B05EF"/>
    <w:rsid w:val="006B3FF3"/>
    <w:rsid w:val="006B69CA"/>
    <w:rsid w:val="006C06E9"/>
    <w:rsid w:val="006C15EC"/>
    <w:rsid w:val="006C24B6"/>
    <w:rsid w:val="006C7BE7"/>
    <w:rsid w:val="006D051D"/>
    <w:rsid w:val="006F279A"/>
    <w:rsid w:val="006F4917"/>
    <w:rsid w:val="007018B4"/>
    <w:rsid w:val="0071412B"/>
    <w:rsid w:val="00722D0E"/>
    <w:rsid w:val="00724EFA"/>
    <w:rsid w:val="00741146"/>
    <w:rsid w:val="00744819"/>
    <w:rsid w:val="00744964"/>
    <w:rsid w:val="00754BE1"/>
    <w:rsid w:val="00760949"/>
    <w:rsid w:val="00770185"/>
    <w:rsid w:val="00774187"/>
    <w:rsid w:val="0077440F"/>
    <w:rsid w:val="00776C1B"/>
    <w:rsid w:val="00785E55"/>
    <w:rsid w:val="00790351"/>
    <w:rsid w:val="0079092E"/>
    <w:rsid w:val="0079176B"/>
    <w:rsid w:val="00795016"/>
    <w:rsid w:val="00796B30"/>
    <w:rsid w:val="007A309D"/>
    <w:rsid w:val="007B2B33"/>
    <w:rsid w:val="007B452F"/>
    <w:rsid w:val="007B4D15"/>
    <w:rsid w:val="007B5DBB"/>
    <w:rsid w:val="007D0730"/>
    <w:rsid w:val="007D1993"/>
    <w:rsid w:val="007D2AF4"/>
    <w:rsid w:val="007D5D89"/>
    <w:rsid w:val="007E580C"/>
    <w:rsid w:val="007F3955"/>
    <w:rsid w:val="007F72AE"/>
    <w:rsid w:val="007F746F"/>
    <w:rsid w:val="008005A1"/>
    <w:rsid w:val="0080125E"/>
    <w:rsid w:val="0080512B"/>
    <w:rsid w:val="00810B69"/>
    <w:rsid w:val="00813422"/>
    <w:rsid w:val="00835B0A"/>
    <w:rsid w:val="0083640D"/>
    <w:rsid w:val="008467AC"/>
    <w:rsid w:val="00847AF9"/>
    <w:rsid w:val="0085352B"/>
    <w:rsid w:val="0085719C"/>
    <w:rsid w:val="008626E8"/>
    <w:rsid w:val="0086322B"/>
    <w:rsid w:val="008704FC"/>
    <w:rsid w:val="00875C5A"/>
    <w:rsid w:val="00876A66"/>
    <w:rsid w:val="0088069D"/>
    <w:rsid w:val="008854CD"/>
    <w:rsid w:val="008866FB"/>
    <w:rsid w:val="0089373F"/>
    <w:rsid w:val="00894FE3"/>
    <w:rsid w:val="008B3929"/>
    <w:rsid w:val="008B6B90"/>
    <w:rsid w:val="008B70DB"/>
    <w:rsid w:val="008B73D1"/>
    <w:rsid w:val="008C176E"/>
    <w:rsid w:val="008C4EFF"/>
    <w:rsid w:val="008E0D67"/>
    <w:rsid w:val="008F2D1A"/>
    <w:rsid w:val="00903EBE"/>
    <w:rsid w:val="0090653A"/>
    <w:rsid w:val="009066FE"/>
    <w:rsid w:val="00910E42"/>
    <w:rsid w:val="0091324E"/>
    <w:rsid w:val="0092070D"/>
    <w:rsid w:val="009265F9"/>
    <w:rsid w:val="00927179"/>
    <w:rsid w:val="00932183"/>
    <w:rsid w:val="00932412"/>
    <w:rsid w:val="00940CA3"/>
    <w:rsid w:val="00945346"/>
    <w:rsid w:val="00947DCF"/>
    <w:rsid w:val="00950D2D"/>
    <w:rsid w:val="00954CDE"/>
    <w:rsid w:val="00955161"/>
    <w:rsid w:val="0096160B"/>
    <w:rsid w:val="009636DB"/>
    <w:rsid w:val="0097047B"/>
    <w:rsid w:val="0097677E"/>
    <w:rsid w:val="00976FA2"/>
    <w:rsid w:val="0097714D"/>
    <w:rsid w:val="0097768D"/>
    <w:rsid w:val="009808C3"/>
    <w:rsid w:val="00981BE7"/>
    <w:rsid w:val="00981CD5"/>
    <w:rsid w:val="009857C4"/>
    <w:rsid w:val="009862C8"/>
    <w:rsid w:val="00987969"/>
    <w:rsid w:val="00987CEA"/>
    <w:rsid w:val="0099194A"/>
    <w:rsid w:val="00995A41"/>
    <w:rsid w:val="00995E30"/>
    <w:rsid w:val="009B2E46"/>
    <w:rsid w:val="009B4626"/>
    <w:rsid w:val="009B7E5A"/>
    <w:rsid w:val="009D015F"/>
    <w:rsid w:val="009D0F5E"/>
    <w:rsid w:val="009D416B"/>
    <w:rsid w:val="009F4A57"/>
    <w:rsid w:val="00A13917"/>
    <w:rsid w:val="00A301BB"/>
    <w:rsid w:val="00A320B9"/>
    <w:rsid w:val="00A378D5"/>
    <w:rsid w:val="00A41A11"/>
    <w:rsid w:val="00A44795"/>
    <w:rsid w:val="00A5000B"/>
    <w:rsid w:val="00A52257"/>
    <w:rsid w:val="00A5715F"/>
    <w:rsid w:val="00A63125"/>
    <w:rsid w:val="00A648F2"/>
    <w:rsid w:val="00A66A80"/>
    <w:rsid w:val="00A7189F"/>
    <w:rsid w:val="00A71A4C"/>
    <w:rsid w:val="00A91947"/>
    <w:rsid w:val="00A952B2"/>
    <w:rsid w:val="00AA1552"/>
    <w:rsid w:val="00AA3C84"/>
    <w:rsid w:val="00AB0508"/>
    <w:rsid w:val="00AB1258"/>
    <w:rsid w:val="00AB5481"/>
    <w:rsid w:val="00AB6C90"/>
    <w:rsid w:val="00AB7217"/>
    <w:rsid w:val="00AC3FEF"/>
    <w:rsid w:val="00AC6036"/>
    <w:rsid w:val="00AD2B48"/>
    <w:rsid w:val="00AD7D66"/>
    <w:rsid w:val="00AE5228"/>
    <w:rsid w:val="00AE5856"/>
    <w:rsid w:val="00AE7143"/>
    <w:rsid w:val="00AF050E"/>
    <w:rsid w:val="00AF10A3"/>
    <w:rsid w:val="00AF1313"/>
    <w:rsid w:val="00AF1F7D"/>
    <w:rsid w:val="00AF3EB1"/>
    <w:rsid w:val="00AF7885"/>
    <w:rsid w:val="00B00D95"/>
    <w:rsid w:val="00B016CB"/>
    <w:rsid w:val="00B03CA8"/>
    <w:rsid w:val="00B05689"/>
    <w:rsid w:val="00B1058D"/>
    <w:rsid w:val="00B167FE"/>
    <w:rsid w:val="00B17EEF"/>
    <w:rsid w:val="00B21449"/>
    <w:rsid w:val="00B266B6"/>
    <w:rsid w:val="00B2718E"/>
    <w:rsid w:val="00B320AF"/>
    <w:rsid w:val="00B337F3"/>
    <w:rsid w:val="00B33DF2"/>
    <w:rsid w:val="00B36FBB"/>
    <w:rsid w:val="00B42CB1"/>
    <w:rsid w:val="00B460BD"/>
    <w:rsid w:val="00B57999"/>
    <w:rsid w:val="00B60353"/>
    <w:rsid w:val="00B74898"/>
    <w:rsid w:val="00B77DA8"/>
    <w:rsid w:val="00B80F2A"/>
    <w:rsid w:val="00B85F4B"/>
    <w:rsid w:val="00BA483A"/>
    <w:rsid w:val="00BA65A1"/>
    <w:rsid w:val="00BB1ED0"/>
    <w:rsid w:val="00BB33B5"/>
    <w:rsid w:val="00BB3985"/>
    <w:rsid w:val="00BC49A1"/>
    <w:rsid w:val="00BC5A1E"/>
    <w:rsid w:val="00BC64E4"/>
    <w:rsid w:val="00BD7B77"/>
    <w:rsid w:val="00BE3F9E"/>
    <w:rsid w:val="00BE7F7A"/>
    <w:rsid w:val="00BF4156"/>
    <w:rsid w:val="00BF77DE"/>
    <w:rsid w:val="00C01650"/>
    <w:rsid w:val="00C019D1"/>
    <w:rsid w:val="00C0735B"/>
    <w:rsid w:val="00C1696D"/>
    <w:rsid w:val="00C2775E"/>
    <w:rsid w:val="00C34551"/>
    <w:rsid w:val="00C34789"/>
    <w:rsid w:val="00C35845"/>
    <w:rsid w:val="00C41170"/>
    <w:rsid w:val="00C45D7A"/>
    <w:rsid w:val="00C53381"/>
    <w:rsid w:val="00C568D8"/>
    <w:rsid w:val="00C625AC"/>
    <w:rsid w:val="00C67398"/>
    <w:rsid w:val="00C74A05"/>
    <w:rsid w:val="00C74F61"/>
    <w:rsid w:val="00C856B6"/>
    <w:rsid w:val="00C96CAA"/>
    <w:rsid w:val="00CA04D8"/>
    <w:rsid w:val="00CA0B0D"/>
    <w:rsid w:val="00CA7F40"/>
    <w:rsid w:val="00CB0130"/>
    <w:rsid w:val="00CB1770"/>
    <w:rsid w:val="00CB7710"/>
    <w:rsid w:val="00CC4A69"/>
    <w:rsid w:val="00CC705F"/>
    <w:rsid w:val="00CD645D"/>
    <w:rsid w:val="00CE1B0F"/>
    <w:rsid w:val="00CE29DA"/>
    <w:rsid w:val="00CE644D"/>
    <w:rsid w:val="00CF01EA"/>
    <w:rsid w:val="00CF49CA"/>
    <w:rsid w:val="00CF5D11"/>
    <w:rsid w:val="00D0231C"/>
    <w:rsid w:val="00D029F3"/>
    <w:rsid w:val="00D069A4"/>
    <w:rsid w:val="00D110B7"/>
    <w:rsid w:val="00D12605"/>
    <w:rsid w:val="00D135E6"/>
    <w:rsid w:val="00D246B5"/>
    <w:rsid w:val="00D27DE9"/>
    <w:rsid w:val="00D333FD"/>
    <w:rsid w:val="00D40232"/>
    <w:rsid w:val="00D44972"/>
    <w:rsid w:val="00D45233"/>
    <w:rsid w:val="00D55C1E"/>
    <w:rsid w:val="00D70652"/>
    <w:rsid w:val="00D71753"/>
    <w:rsid w:val="00D738CF"/>
    <w:rsid w:val="00D7465F"/>
    <w:rsid w:val="00D76DF8"/>
    <w:rsid w:val="00D80651"/>
    <w:rsid w:val="00D83316"/>
    <w:rsid w:val="00D8424B"/>
    <w:rsid w:val="00D91A4F"/>
    <w:rsid w:val="00DA49E4"/>
    <w:rsid w:val="00DA70FB"/>
    <w:rsid w:val="00DC4030"/>
    <w:rsid w:val="00DF1EAA"/>
    <w:rsid w:val="00DF38E0"/>
    <w:rsid w:val="00DF7B91"/>
    <w:rsid w:val="00E16DB1"/>
    <w:rsid w:val="00E2676F"/>
    <w:rsid w:val="00E4612D"/>
    <w:rsid w:val="00E47F95"/>
    <w:rsid w:val="00E63344"/>
    <w:rsid w:val="00E64262"/>
    <w:rsid w:val="00E67EA9"/>
    <w:rsid w:val="00E75DE8"/>
    <w:rsid w:val="00E7695E"/>
    <w:rsid w:val="00E84175"/>
    <w:rsid w:val="00E879DC"/>
    <w:rsid w:val="00E93F34"/>
    <w:rsid w:val="00E97A19"/>
    <w:rsid w:val="00EA1C56"/>
    <w:rsid w:val="00EA5009"/>
    <w:rsid w:val="00EB282F"/>
    <w:rsid w:val="00EB4193"/>
    <w:rsid w:val="00EC492E"/>
    <w:rsid w:val="00EC7F43"/>
    <w:rsid w:val="00ED5D46"/>
    <w:rsid w:val="00EE2F6D"/>
    <w:rsid w:val="00EF2EDE"/>
    <w:rsid w:val="00EF4296"/>
    <w:rsid w:val="00EF4BA5"/>
    <w:rsid w:val="00EF4D43"/>
    <w:rsid w:val="00EF6D26"/>
    <w:rsid w:val="00F00441"/>
    <w:rsid w:val="00F0100C"/>
    <w:rsid w:val="00F066F1"/>
    <w:rsid w:val="00F07F38"/>
    <w:rsid w:val="00F22953"/>
    <w:rsid w:val="00F23B8F"/>
    <w:rsid w:val="00F25925"/>
    <w:rsid w:val="00F25F86"/>
    <w:rsid w:val="00F30D00"/>
    <w:rsid w:val="00F3118C"/>
    <w:rsid w:val="00F32C2B"/>
    <w:rsid w:val="00F4398E"/>
    <w:rsid w:val="00F505AC"/>
    <w:rsid w:val="00F50CF2"/>
    <w:rsid w:val="00F53886"/>
    <w:rsid w:val="00F55B98"/>
    <w:rsid w:val="00F63C08"/>
    <w:rsid w:val="00F65136"/>
    <w:rsid w:val="00F66116"/>
    <w:rsid w:val="00F6783A"/>
    <w:rsid w:val="00F72EB8"/>
    <w:rsid w:val="00F76BE7"/>
    <w:rsid w:val="00F81F73"/>
    <w:rsid w:val="00F84119"/>
    <w:rsid w:val="00F86566"/>
    <w:rsid w:val="00FB4024"/>
    <w:rsid w:val="00FC2854"/>
    <w:rsid w:val="00FC29B4"/>
    <w:rsid w:val="00FC5858"/>
    <w:rsid w:val="00FC5DFF"/>
    <w:rsid w:val="00FC7CC1"/>
    <w:rsid w:val="00FD00F1"/>
    <w:rsid w:val="00FD273F"/>
    <w:rsid w:val="00FE4B30"/>
    <w:rsid w:val="00FE4F15"/>
    <w:rsid w:val="00FE62EE"/>
    <w:rsid w:val="00FF06D9"/>
    <w:rsid w:val="00FF0EE1"/>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de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semiHidden/>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Encabezado">
    <w:name w:val="header"/>
    <w:basedOn w:val="Normal"/>
    <w:link w:val="EncabezadoCar"/>
    <w:uiPriority w:val="99"/>
    <w:unhideWhenUsed/>
    <w:rsid w:val="00CB1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70"/>
  </w:style>
  <w:style w:type="paragraph" w:styleId="Piedepgina">
    <w:name w:val="footer"/>
    <w:basedOn w:val="Normal"/>
    <w:link w:val="PiedepginaCar"/>
    <w:uiPriority w:val="99"/>
    <w:unhideWhenUsed/>
    <w:rsid w:val="00CB1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38">
      <w:marLeft w:val="0"/>
      <w:marRight w:val="0"/>
      <w:marTop w:val="0"/>
      <w:marBottom w:val="0"/>
      <w:divBdr>
        <w:top w:val="none" w:sz="0" w:space="0" w:color="auto"/>
        <w:left w:val="none" w:sz="0" w:space="0" w:color="auto"/>
        <w:bottom w:val="none" w:sz="0" w:space="0" w:color="auto"/>
        <w:right w:val="none" w:sz="0" w:space="0" w:color="auto"/>
      </w:divBdr>
    </w:div>
    <w:div w:id="32466094">
      <w:marLeft w:val="0"/>
      <w:marRight w:val="0"/>
      <w:marTop w:val="0"/>
      <w:marBottom w:val="0"/>
      <w:divBdr>
        <w:top w:val="none" w:sz="0" w:space="0" w:color="auto"/>
        <w:left w:val="none" w:sz="0" w:space="0" w:color="auto"/>
        <w:bottom w:val="none" w:sz="0" w:space="0" w:color="auto"/>
        <w:right w:val="none" w:sz="0" w:space="0" w:color="auto"/>
      </w:divBdr>
      <w:divsChild>
        <w:div w:id="132211696">
          <w:marLeft w:val="0"/>
          <w:marRight w:val="0"/>
          <w:marTop w:val="0"/>
          <w:marBottom w:val="0"/>
          <w:divBdr>
            <w:top w:val="none" w:sz="0" w:space="0" w:color="auto"/>
            <w:left w:val="none" w:sz="0" w:space="0" w:color="auto"/>
            <w:bottom w:val="none" w:sz="0" w:space="0" w:color="auto"/>
            <w:right w:val="none" w:sz="0" w:space="0" w:color="auto"/>
          </w:divBdr>
        </w:div>
      </w:divsChild>
    </w:div>
    <w:div w:id="48574534">
      <w:bodyDiv w:val="1"/>
      <w:marLeft w:val="0"/>
      <w:marRight w:val="0"/>
      <w:marTop w:val="0"/>
      <w:marBottom w:val="0"/>
      <w:divBdr>
        <w:top w:val="none" w:sz="0" w:space="0" w:color="auto"/>
        <w:left w:val="none" w:sz="0" w:space="0" w:color="auto"/>
        <w:bottom w:val="none" w:sz="0" w:space="0" w:color="auto"/>
        <w:right w:val="none" w:sz="0" w:space="0" w:color="auto"/>
      </w:divBdr>
    </w:div>
    <w:div w:id="101144537">
      <w:marLeft w:val="0"/>
      <w:marRight w:val="0"/>
      <w:marTop w:val="0"/>
      <w:marBottom w:val="0"/>
      <w:divBdr>
        <w:top w:val="none" w:sz="0" w:space="0" w:color="auto"/>
        <w:left w:val="none" w:sz="0" w:space="0" w:color="auto"/>
        <w:bottom w:val="none" w:sz="0" w:space="0" w:color="auto"/>
        <w:right w:val="none" w:sz="0" w:space="0" w:color="auto"/>
      </w:divBdr>
    </w:div>
    <w:div w:id="125201060">
      <w:marLeft w:val="0"/>
      <w:marRight w:val="0"/>
      <w:marTop w:val="0"/>
      <w:marBottom w:val="0"/>
      <w:divBdr>
        <w:top w:val="none" w:sz="0" w:space="0" w:color="auto"/>
        <w:left w:val="none" w:sz="0" w:space="0" w:color="auto"/>
        <w:bottom w:val="none" w:sz="0" w:space="0" w:color="auto"/>
        <w:right w:val="none" w:sz="0" w:space="0" w:color="auto"/>
      </w:divBdr>
    </w:div>
    <w:div w:id="126247327">
      <w:bodyDiv w:val="1"/>
      <w:marLeft w:val="0"/>
      <w:marRight w:val="0"/>
      <w:marTop w:val="0"/>
      <w:marBottom w:val="0"/>
      <w:divBdr>
        <w:top w:val="none" w:sz="0" w:space="0" w:color="auto"/>
        <w:left w:val="none" w:sz="0" w:space="0" w:color="auto"/>
        <w:bottom w:val="none" w:sz="0" w:space="0" w:color="auto"/>
        <w:right w:val="none" w:sz="0" w:space="0" w:color="auto"/>
      </w:divBdr>
    </w:div>
    <w:div w:id="142310092">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6602194">
      <w:bodyDiv w:val="1"/>
      <w:marLeft w:val="0"/>
      <w:marRight w:val="0"/>
      <w:marTop w:val="0"/>
      <w:marBottom w:val="0"/>
      <w:divBdr>
        <w:top w:val="none" w:sz="0" w:space="0" w:color="auto"/>
        <w:left w:val="none" w:sz="0" w:space="0" w:color="auto"/>
        <w:bottom w:val="none" w:sz="0" w:space="0" w:color="auto"/>
        <w:right w:val="none" w:sz="0" w:space="0" w:color="auto"/>
      </w:divBdr>
    </w:div>
    <w:div w:id="213198021">
      <w:marLeft w:val="0"/>
      <w:marRight w:val="0"/>
      <w:marTop w:val="0"/>
      <w:marBottom w:val="0"/>
      <w:divBdr>
        <w:top w:val="none" w:sz="0" w:space="0" w:color="auto"/>
        <w:left w:val="none" w:sz="0" w:space="0" w:color="auto"/>
        <w:bottom w:val="none" w:sz="0" w:space="0" w:color="auto"/>
        <w:right w:val="none" w:sz="0" w:space="0" w:color="auto"/>
      </w:divBdr>
    </w:div>
    <w:div w:id="221795546">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49700009">
      <w:marLeft w:val="0"/>
      <w:marRight w:val="0"/>
      <w:marTop w:val="0"/>
      <w:marBottom w:val="0"/>
      <w:divBdr>
        <w:top w:val="none" w:sz="0" w:space="0" w:color="auto"/>
        <w:left w:val="none" w:sz="0" w:space="0" w:color="auto"/>
        <w:bottom w:val="none" w:sz="0" w:space="0" w:color="auto"/>
        <w:right w:val="none" w:sz="0" w:space="0" w:color="auto"/>
      </w:divBdr>
      <w:divsChild>
        <w:div w:id="1964192081">
          <w:marLeft w:val="0"/>
          <w:marRight w:val="0"/>
          <w:marTop w:val="0"/>
          <w:marBottom w:val="0"/>
          <w:divBdr>
            <w:top w:val="none" w:sz="0" w:space="0" w:color="auto"/>
            <w:left w:val="none" w:sz="0" w:space="0" w:color="auto"/>
            <w:bottom w:val="none" w:sz="0" w:space="0" w:color="auto"/>
            <w:right w:val="none" w:sz="0" w:space="0" w:color="auto"/>
          </w:divBdr>
        </w:div>
      </w:divsChild>
    </w:div>
    <w:div w:id="250552630">
      <w:marLeft w:val="0"/>
      <w:marRight w:val="0"/>
      <w:marTop w:val="0"/>
      <w:marBottom w:val="0"/>
      <w:divBdr>
        <w:top w:val="none" w:sz="0" w:space="0" w:color="auto"/>
        <w:left w:val="none" w:sz="0" w:space="0" w:color="auto"/>
        <w:bottom w:val="none" w:sz="0" w:space="0" w:color="auto"/>
        <w:right w:val="none" w:sz="0" w:space="0" w:color="auto"/>
      </w:divBdr>
    </w:div>
    <w:div w:id="257056327">
      <w:bodyDiv w:val="1"/>
      <w:marLeft w:val="0"/>
      <w:marRight w:val="0"/>
      <w:marTop w:val="0"/>
      <w:marBottom w:val="0"/>
      <w:divBdr>
        <w:top w:val="none" w:sz="0" w:space="0" w:color="auto"/>
        <w:left w:val="none" w:sz="0" w:space="0" w:color="auto"/>
        <w:bottom w:val="none" w:sz="0" w:space="0" w:color="auto"/>
        <w:right w:val="none" w:sz="0" w:space="0" w:color="auto"/>
      </w:divBdr>
    </w:div>
    <w:div w:id="258374587">
      <w:bodyDiv w:val="1"/>
      <w:marLeft w:val="0"/>
      <w:marRight w:val="0"/>
      <w:marTop w:val="0"/>
      <w:marBottom w:val="0"/>
      <w:divBdr>
        <w:top w:val="none" w:sz="0" w:space="0" w:color="auto"/>
        <w:left w:val="none" w:sz="0" w:space="0" w:color="auto"/>
        <w:bottom w:val="none" w:sz="0" w:space="0" w:color="auto"/>
        <w:right w:val="none" w:sz="0" w:space="0" w:color="auto"/>
      </w:divBdr>
    </w:div>
    <w:div w:id="259920086">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79607261">
      <w:marLeft w:val="0"/>
      <w:marRight w:val="0"/>
      <w:marTop w:val="0"/>
      <w:marBottom w:val="0"/>
      <w:divBdr>
        <w:top w:val="none" w:sz="0" w:space="0" w:color="auto"/>
        <w:left w:val="none" w:sz="0" w:space="0" w:color="auto"/>
        <w:bottom w:val="none" w:sz="0" w:space="0" w:color="auto"/>
        <w:right w:val="none" w:sz="0" w:space="0" w:color="auto"/>
      </w:divBdr>
    </w:div>
    <w:div w:id="301084661">
      <w:marLeft w:val="0"/>
      <w:marRight w:val="0"/>
      <w:marTop w:val="0"/>
      <w:marBottom w:val="0"/>
      <w:divBdr>
        <w:top w:val="none" w:sz="0" w:space="0" w:color="auto"/>
        <w:left w:val="none" w:sz="0" w:space="0" w:color="auto"/>
        <w:bottom w:val="none" w:sz="0" w:space="0" w:color="auto"/>
        <w:right w:val="none" w:sz="0" w:space="0" w:color="auto"/>
      </w:divBdr>
    </w:div>
    <w:div w:id="398554169">
      <w:marLeft w:val="0"/>
      <w:marRight w:val="0"/>
      <w:marTop w:val="0"/>
      <w:marBottom w:val="0"/>
      <w:divBdr>
        <w:top w:val="none" w:sz="0" w:space="0" w:color="auto"/>
        <w:left w:val="none" w:sz="0" w:space="0" w:color="auto"/>
        <w:bottom w:val="none" w:sz="0" w:space="0" w:color="auto"/>
        <w:right w:val="none" w:sz="0" w:space="0" w:color="auto"/>
      </w:divBdr>
      <w:divsChild>
        <w:div w:id="457797163">
          <w:marLeft w:val="0"/>
          <w:marRight w:val="0"/>
          <w:marTop w:val="0"/>
          <w:marBottom w:val="0"/>
          <w:divBdr>
            <w:top w:val="none" w:sz="0" w:space="0" w:color="auto"/>
            <w:left w:val="none" w:sz="0" w:space="0" w:color="auto"/>
            <w:bottom w:val="none" w:sz="0" w:space="0" w:color="auto"/>
            <w:right w:val="none" w:sz="0" w:space="0" w:color="auto"/>
          </w:divBdr>
        </w:div>
      </w:divsChild>
    </w:div>
    <w:div w:id="442848807">
      <w:marLeft w:val="0"/>
      <w:marRight w:val="0"/>
      <w:marTop w:val="0"/>
      <w:marBottom w:val="0"/>
      <w:divBdr>
        <w:top w:val="none" w:sz="0" w:space="0" w:color="auto"/>
        <w:left w:val="none" w:sz="0" w:space="0" w:color="auto"/>
        <w:bottom w:val="none" w:sz="0" w:space="0" w:color="auto"/>
        <w:right w:val="none" w:sz="0" w:space="0" w:color="auto"/>
      </w:divBdr>
      <w:divsChild>
        <w:div w:id="1693216276">
          <w:marLeft w:val="0"/>
          <w:marRight w:val="0"/>
          <w:marTop w:val="0"/>
          <w:marBottom w:val="0"/>
          <w:divBdr>
            <w:top w:val="none" w:sz="0" w:space="0" w:color="auto"/>
            <w:left w:val="none" w:sz="0" w:space="0" w:color="auto"/>
            <w:bottom w:val="none" w:sz="0" w:space="0" w:color="auto"/>
            <w:right w:val="none" w:sz="0" w:space="0" w:color="auto"/>
          </w:divBdr>
        </w:div>
      </w:divsChild>
    </w:div>
    <w:div w:id="479154472">
      <w:bodyDiv w:val="1"/>
      <w:marLeft w:val="0"/>
      <w:marRight w:val="0"/>
      <w:marTop w:val="0"/>
      <w:marBottom w:val="0"/>
      <w:divBdr>
        <w:top w:val="none" w:sz="0" w:space="0" w:color="auto"/>
        <w:left w:val="none" w:sz="0" w:space="0" w:color="auto"/>
        <w:bottom w:val="none" w:sz="0" w:space="0" w:color="auto"/>
        <w:right w:val="none" w:sz="0" w:space="0" w:color="auto"/>
      </w:divBdr>
    </w:div>
    <w:div w:id="497303833">
      <w:bodyDiv w:val="1"/>
      <w:marLeft w:val="0"/>
      <w:marRight w:val="0"/>
      <w:marTop w:val="0"/>
      <w:marBottom w:val="0"/>
      <w:divBdr>
        <w:top w:val="none" w:sz="0" w:space="0" w:color="auto"/>
        <w:left w:val="none" w:sz="0" w:space="0" w:color="auto"/>
        <w:bottom w:val="none" w:sz="0" w:space="0" w:color="auto"/>
        <w:right w:val="none" w:sz="0" w:space="0" w:color="auto"/>
      </w:divBdr>
    </w:div>
    <w:div w:id="517694515">
      <w:marLeft w:val="0"/>
      <w:marRight w:val="0"/>
      <w:marTop w:val="0"/>
      <w:marBottom w:val="0"/>
      <w:divBdr>
        <w:top w:val="none" w:sz="0" w:space="0" w:color="auto"/>
        <w:left w:val="none" w:sz="0" w:space="0" w:color="auto"/>
        <w:bottom w:val="none" w:sz="0" w:space="0" w:color="auto"/>
        <w:right w:val="none" w:sz="0" w:space="0" w:color="auto"/>
      </w:divBdr>
    </w:div>
    <w:div w:id="632640714">
      <w:marLeft w:val="0"/>
      <w:marRight w:val="0"/>
      <w:marTop w:val="0"/>
      <w:marBottom w:val="0"/>
      <w:divBdr>
        <w:top w:val="none" w:sz="0" w:space="0" w:color="auto"/>
        <w:left w:val="none" w:sz="0" w:space="0" w:color="auto"/>
        <w:bottom w:val="none" w:sz="0" w:space="0" w:color="auto"/>
        <w:right w:val="none" w:sz="0" w:space="0" w:color="auto"/>
      </w:divBdr>
    </w:div>
    <w:div w:id="705639056">
      <w:marLeft w:val="0"/>
      <w:marRight w:val="0"/>
      <w:marTop w:val="0"/>
      <w:marBottom w:val="0"/>
      <w:divBdr>
        <w:top w:val="none" w:sz="0" w:space="0" w:color="auto"/>
        <w:left w:val="none" w:sz="0" w:space="0" w:color="auto"/>
        <w:bottom w:val="none" w:sz="0" w:space="0" w:color="auto"/>
        <w:right w:val="none" w:sz="0" w:space="0" w:color="auto"/>
      </w:divBdr>
    </w:div>
    <w:div w:id="742678821">
      <w:marLeft w:val="0"/>
      <w:marRight w:val="0"/>
      <w:marTop w:val="0"/>
      <w:marBottom w:val="0"/>
      <w:divBdr>
        <w:top w:val="none" w:sz="0" w:space="0" w:color="auto"/>
        <w:left w:val="none" w:sz="0" w:space="0" w:color="auto"/>
        <w:bottom w:val="none" w:sz="0" w:space="0" w:color="auto"/>
        <w:right w:val="none" w:sz="0" w:space="0" w:color="auto"/>
      </w:divBdr>
    </w:div>
    <w:div w:id="753473299">
      <w:marLeft w:val="0"/>
      <w:marRight w:val="0"/>
      <w:marTop w:val="0"/>
      <w:marBottom w:val="0"/>
      <w:divBdr>
        <w:top w:val="none" w:sz="0" w:space="0" w:color="auto"/>
        <w:left w:val="none" w:sz="0" w:space="0" w:color="auto"/>
        <w:bottom w:val="none" w:sz="0" w:space="0" w:color="auto"/>
        <w:right w:val="none" w:sz="0" w:space="0" w:color="auto"/>
      </w:divBdr>
    </w:div>
    <w:div w:id="761148957">
      <w:marLeft w:val="0"/>
      <w:marRight w:val="0"/>
      <w:marTop w:val="0"/>
      <w:marBottom w:val="0"/>
      <w:divBdr>
        <w:top w:val="none" w:sz="0" w:space="0" w:color="auto"/>
        <w:left w:val="none" w:sz="0" w:space="0" w:color="auto"/>
        <w:bottom w:val="none" w:sz="0" w:space="0" w:color="auto"/>
        <w:right w:val="none" w:sz="0" w:space="0" w:color="auto"/>
      </w:divBdr>
    </w:div>
    <w:div w:id="766077432">
      <w:marLeft w:val="0"/>
      <w:marRight w:val="0"/>
      <w:marTop w:val="0"/>
      <w:marBottom w:val="0"/>
      <w:divBdr>
        <w:top w:val="none" w:sz="0" w:space="0" w:color="auto"/>
        <w:left w:val="none" w:sz="0" w:space="0" w:color="auto"/>
        <w:bottom w:val="none" w:sz="0" w:space="0" w:color="auto"/>
        <w:right w:val="none" w:sz="0" w:space="0" w:color="auto"/>
      </w:divBdr>
    </w:div>
    <w:div w:id="788668711">
      <w:marLeft w:val="0"/>
      <w:marRight w:val="0"/>
      <w:marTop w:val="0"/>
      <w:marBottom w:val="0"/>
      <w:divBdr>
        <w:top w:val="none" w:sz="0" w:space="0" w:color="auto"/>
        <w:left w:val="none" w:sz="0" w:space="0" w:color="auto"/>
        <w:bottom w:val="none" w:sz="0" w:space="0" w:color="auto"/>
        <w:right w:val="none" w:sz="0" w:space="0" w:color="auto"/>
      </w:divBdr>
    </w:div>
    <w:div w:id="819999050">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56109513">
      <w:marLeft w:val="0"/>
      <w:marRight w:val="0"/>
      <w:marTop w:val="0"/>
      <w:marBottom w:val="0"/>
      <w:divBdr>
        <w:top w:val="none" w:sz="0" w:space="0" w:color="auto"/>
        <w:left w:val="none" w:sz="0" w:space="0" w:color="auto"/>
        <w:bottom w:val="none" w:sz="0" w:space="0" w:color="auto"/>
        <w:right w:val="none" w:sz="0" w:space="0" w:color="auto"/>
      </w:divBdr>
      <w:divsChild>
        <w:div w:id="477839483">
          <w:marLeft w:val="0"/>
          <w:marRight w:val="0"/>
          <w:marTop w:val="0"/>
          <w:marBottom w:val="0"/>
          <w:divBdr>
            <w:top w:val="none" w:sz="0" w:space="0" w:color="auto"/>
            <w:left w:val="none" w:sz="0" w:space="0" w:color="auto"/>
            <w:bottom w:val="none" w:sz="0" w:space="0" w:color="auto"/>
            <w:right w:val="none" w:sz="0" w:space="0" w:color="auto"/>
          </w:divBdr>
        </w:div>
      </w:divsChild>
    </w:div>
    <w:div w:id="959460319">
      <w:bodyDiv w:val="1"/>
      <w:marLeft w:val="0"/>
      <w:marRight w:val="0"/>
      <w:marTop w:val="0"/>
      <w:marBottom w:val="0"/>
      <w:divBdr>
        <w:top w:val="none" w:sz="0" w:space="0" w:color="auto"/>
        <w:left w:val="none" w:sz="0" w:space="0" w:color="auto"/>
        <w:bottom w:val="none" w:sz="0" w:space="0" w:color="auto"/>
        <w:right w:val="none" w:sz="0" w:space="0" w:color="auto"/>
      </w:divBdr>
    </w:div>
    <w:div w:id="992022119">
      <w:marLeft w:val="0"/>
      <w:marRight w:val="0"/>
      <w:marTop w:val="0"/>
      <w:marBottom w:val="0"/>
      <w:divBdr>
        <w:top w:val="none" w:sz="0" w:space="0" w:color="auto"/>
        <w:left w:val="none" w:sz="0" w:space="0" w:color="auto"/>
        <w:bottom w:val="none" w:sz="0" w:space="0" w:color="auto"/>
        <w:right w:val="none" w:sz="0" w:space="0" w:color="auto"/>
      </w:divBdr>
    </w:div>
    <w:div w:id="1022197141">
      <w:bodyDiv w:val="1"/>
      <w:marLeft w:val="0"/>
      <w:marRight w:val="0"/>
      <w:marTop w:val="0"/>
      <w:marBottom w:val="0"/>
      <w:divBdr>
        <w:top w:val="none" w:sz="0" w:space="0" w:color="auto"/>
        <w:left w:val="none" w:sz="0" w:space="0" w:color="auto"/>
        <w:bottom w:val="none" w:sz="0" w:space="0" w:color="auto"/>
        <w:right w:val="none" w:sz="0" w:space="0" w:color="auto"/>
      </w:divBdr>
    </w:div>
    <w:div w:id="1043215588">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24082028">
      <w:bodyDiv w:val="1"/>
      <w:marLeft w:val="0"/>
      <w:marRight w:val="0"/>
      <w:marTop w:val="0"/>
      <w:marBottom w:val="0"/>
      <w:divBdr>
        <w:top w:val="none" w:sz="0" w:space="0" w:color="auto"/>
        <w:left w:val="none" w:sz="0" w:space="0" w:color="auto"/>
        <w:bottom w:val="none" w:sz="0" w:space="0" w:color="auto"/>
        <w:right w:val="none" w:sz="0" w:space="0" w:color="auto"/>
      </w:divBdr>
    </w:div>
    <w:div w:id="1143624087">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1993536">
      <w:marLeft w:val="0"/>
      <w:marRight w:val="0"/>
      <w:marTop w:val="0"/>
      <w:marBottom w:val="0"/>
      <w:divBdr>
        <w:top w:val="none" w:sz="0" w:space="0" w:color="auto"/>
        <w:left w:val="none" w:sz="0" w:space="0" w:color="auto"/>
        <w:bottom w:val="none" w:sz="0" w:space="0" w:color="auto"/>
        <w:right w:val="none" w:sz="0" w:space="0" w:color="auto"/>
      </w:divBdr>
    </w:div>
    <w:div w:id="1209610923">
      <w:marLeft w:val="0"/>
      <w:marRight w:val="0"/>
      <w:marTop w:val="0"/>
      <w:marBottom w:val="0"/>
      <w:divBdr>
        <w:top w:val="none" w:sz="0" w:space="0" w:color="auto"/>
        <w:left w:val="none" w:sz="0" w:space="0" w:color="auto"/>
        <w:bottom w:val="none" w:sz="0" w:space="0" w:color="auto"/>
        <w:right w:val="none" w:sz="0" w:space="0" w:color="auto"/>
      </w:divBdr>
      <w:divsChild>
        <w:div w:id="1749883377">
          <w:marLeft w:val="0"/>
          <w:marRight w:val="0"/>
          <w:marTop w:val="0"/>
          <w:marBottom w:val="0"/>
          <w:divBdr>
            <w:top w:val="none" w:sz="0" w:space="0" w:color="auto"/>
            <w:left w:val="none" w:sz="0" w:space="0" w:color="auto"/>
            <w:bottom w:val="none" w:sz="0" w:space="0" w:color="auto"/>
            <w:right w:val="none" w:sz="0" w:space="0" w:color="auto"/>
          </w:divBdr>
        </w:div>
      </w:divsChild>
    </w:div>
    <w:div w:id="1241911650">
      <w:marLeft w:val="0"/>
      <w:marRight w:val="0"/>
      <w:marTop w:val="0"/>
      <w:marBottom w:val="0"/>
      <w:divBdr>
        <w:top w:val="none" w:sz="0" w:space="0" w:color="auto"/>
        <w:left w:val="none" w:sz="0" w:space="0" w:color="auto"/>
        <w:bottom w:val="none" w:sz="0" w:space="0" w:color="auto"/>
        <w:right w:val="none" w:sz="0" w:space="0" w:color="auto"/>
      </w:divBdr>
      <w:divsChild>
        <w:div w:id="1306230538">
          <w:marLeft w:val="0"/>
          <w:marRight w:val="0"/>
          <w:marTop w:val="0"/>
          <w:marBottom w:val="0"/>
          <w:divBdr>
            <w:top w:val="none" w:sz="0" w:space="0" w:color="auto"/>
            <w:left w:val="none" w:sz="0" w:space="0" w:color="auto"/>
            <w:bottom w:val="none" w:sz="0" w:space="0" w:color="auto"/>
            <w:right w:val="none" w:sz="0" w:space="0" w:color="auto"/>
          </w:divBdr>
        </w:div>
      </w:divsChild>
    </w:div>
    <w:div w:id="1298805360">
      <w:marLeft w:val="0"/>
      <w:marRight w:val="0"/>
      <w:marTop w:val="0"/>
      <w:marBottom w:val="0"/>
      <w:divBdr>
        <w:top w:val="none" w:sz="0" w:space="0" w:color="auto"/>
        <w:left w:val="none" w:sz="0" w:space="0" w:color="auto"/>
        <w:bottom w:val="none" w:sz="0" w:space="0" w:color="auto"/>
        <w:right w:val="none" w:sz="0" w:space="0" w:color="auto"/>
      </w:divBdr>
    </w:div>
    <w:div w:id="1302925124">
      <w:marLeft w:val="0"/>
      <w:marRight w:val="0"/>
      <w:marTop w:val="0"/>
      <w:marBottom w:val="0"/>
      <w:divBdr>
        <w:top w:val="none" w:sz="0" w:space="0" w:color="auto"/>
        <w:left w:val="none" w:sz="0" w:space="0" w:color="auto"/>
        <w:bottom w:val="none" w:sz="0" w:space="0" w:color="auto"/>
        <w:right w:val="none" w:sz="0" w:space="0" w:color="auto"/>
      </w:divBdr>
      <w:divsChild>
        <w:div w:id="1751342652">
          <w:marLeft w:val="0"/>
          <w:marRight w:val="0"/>
          <w:marTop w:val="0"/>
          <w:marBottom w:val="0"/>
          <w:divBdr>
            <w:top w:val="none" w:sz="0" w:space="0" w:color="auto"/>
            <w:left w:val="none" w:sz="0" w:space="0" w:color="auto"/>
            <w:bottom w:val="none" w:sz="0" w:space="0" w:color="auto"/>
            <w:right w:val="none" w:sz="0" w:space="0" w:color="auto"/>
          </w:divBdr>
        </w:div>
      </w:divsChild>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82171790">
      <w:marLeft w:val="0"/>
      <w:marRight w:val="0"/>
      <w:marTop w:val="0"/>
      <w:marBottom w:val="0"/>
      <w:divBdr>
        <w:top w:val="none" w:sz="0" w:space="0" w:color="auto"/>
        <w:left w:val="none" w:sz="0" w:space="0" w:color="auto"/>
        <w:bottom w:val="none" w:sz="0" w:space="0" w:color="auto"/>
        <w:right w:val="none" w:sz="0" w:space="0" w:color="auto"/>
      </w:divBdr>
    </w:div>
    <w:div w:id="1391151475">
      <w:marLeft w:val="0"/>
      <w:marRight w:val="0"/>
      <w:marTop w:val="0"/>
      <w:marBottom w:val="0"/>
      <w:divBdr>
        <w:top w:val="none" w:sz="0" w:space="0" w:color="auto"/>
        <w:left w:val="none" w:sz="0" w:space="0" w:color="auto"/>
        <w:bottom w:val="none" w:sz="0" w:space="0" w:color="auto"/>
        <w:right w:val="none" w:sz="0" w:space="0" w:color="auto"/>
      </w:divBdr>
      <w:divsChild>
        <w:div w:id="1769886748">
          <w:marLeft w:val="0"/>
          <w:marRight w:val="0"/>
          <w:marTop w:val="0"/>
          <w:marBottom w:val="0"/>
          <w:divBdr>
            <w:top w:val="none" w:sz="0" w:space="0" w:color="auto"/>
            <w:left w:val="none" w:sz="0" w:space="0" w:color="auto"/>
            <w:bottom w:val="none" w:sz="0" w:space="0" w:color="auto"/>
            <w:right w:val="none" w:sz="0" w:space="0" w:color="auto"/>
          </w:divBdr>
        </w:div>
      </w:divsChild>
    </w:div>
    <w:div w:id="1397699174">
      <w:bodyDiv w:val="1"/>
      <w:marLeft w:val="0"/>
      <w:marRight w:val="0"/>
      <w:marTop w:val="0"/>
      <w:marBottom w:val="0"/>
      <w:divBdr>
        <w:top w:val="none" w:sz="0" w:space="0" w:color="auto"/>
        <w:left w:val="none" w:sz="0" w:space="0" w:color="auto"/>
        <w:bottom w:val="none" w:sz="0" w:space="0" w:color="auto"/>
        <w:right w:val="none" w:sz="0" w:space="0" w:color="auto"/>
      </w:divBdr>
    </w:div>
    <w:div w:id="140949954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79300595">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43861293">
      <w:marLeft w:val="0"/>
      <w:marRight w:val="0"/>
      <w:marTop w:val="0"/>
      <w:marBottom w:val="0"/>
      <w:divBdr>
        <w:top w:val="none" w:sz="0" w:space="0" w:color="auto"/>
        <w:left w:val="none" w:sz="0" w:space="0" w:color="auto"/>
        <w:bottom w:val="none" w:sz="0" w:space="0" w:color="auto"/>
        <w:right w:val="none" w:sz="0" w:space="0" w:color="auto"/>
      </w:divBdr>
    </w:div>
    <w:div w:id="1565868023">
      <w:bodyDiv w:val="1"/>
      <w:marLeft w:val="0"/>
      <w:marRight w:val="0"/>
      <w:marTop w:val="0"/>
      <w:marBottom w:val="0"/>
      <w:divBdr>
        <w:top w:val="none" w:sz="0" w:space="0" w:color="auto"/>
        <w:left w:val="none" w:sz="0" w:space="0" w:color="auto"/>
        <w:bottom w:val="none" w:sz="0" w:space="0" w:color="auto"/>
        <w:right w:val="none" w:sz="0" w:space="0" w:color="auto"/>
      </w:divBdr>
    </w:div>
    <w:div w:id="1670207048">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34884928">
      <w:marLeft w:val="0"/>
      <w:marRight w:val="0"/>
      <w:marTop w:val="0"/>
      <w:marBottom w:val="0"/>
      <w:divBdr>
        <w:top w:val="none" w:sz="0" w:space="0" w:color="auto"/>
        <w:left w:val="none" w:sz="0" w:space="0" w:color="auto"/>
        <w:bottom w:val="none" w:sz="0" w:space="0" w:color="auto"/>
        <w:right w:val="none" w:sz="0" w:space="0" w:color="auto"/>
      </w:divBdr>
      <w:divsChild>
        <w:div w:id="872613194">
          <w:marLeft w:val="0"/>
          <w:marRight w:val="0"/>
          <w:marTop w:val="0"/>
          <w:marBottom w:val="0"/>
          <w:divBdr>
            <w:top w:val="none" w:sz="0" w:space="0" w:color="auto"/>
            <w:left w:val="none" w:sz="0" w:space="0" w:color="auto"/>
            <w:bottom w:val="none" w:sz="0" w:space="0" w:color="auto"/>
            <w:right w:val="none" w:sz="0" w:space="0" w:color="auto"/>
          </w:divBdr>
        </w:div>
      </w:divsChild>
    </w:div>
    <w:div w:id="1761220792">
      <w:marLeft w:val="0"/>
      <w:marRight w:val="0"/>
      <w:marTop w:val="0"/>
      <w:marBottom w:val="0"/>
      <w:divBdr>
        <w:top w:val="none" w:sz="0" w:space="0" w:color="auto"/>
        <w:left w:val="none" w:sz="0" w:space="0" w:color="auto"/>
        <w:bottom w:val="none" w:sz="0" w:space="0" w:color="auto"/>
        <w:right w:val="none" w:sz="0" w:space="0" w:color="auto"/>
      </w:divBdr>
    </w:div>
    <w:div w:id="1765955164">
      <w:marLeft w:val="0"/>
      <w:marRight w:val="0"/>
      <w:marTop w:val="0"/>
      <w:marBottom w:val="0"/>
      <w:divBdr>
        <w:top w:val="none" w:sz="0" w:space="0" w:color="auto"/>
        <w:left w:val="none" w:sz="0" w:space="0" w:color="auto"/>
        <w:bottom w:val="none" w:sz="0" w:space="0" w:color="auto"/>
        <w:right w:val="none" w:sz="0" w:space="0" w:color="auto"/>
      </w:divBdr>
    </w:div>
    <w:div w:id="1774131909">
      <w:marLeft w:val="0"/>
      <w:marRight w:val="0"/>
      <w:marTop w:val="0"/>
      <w:marBottom w:val="0"/>
      <w:divBdr>
        <w:top w:val="none" w:sz="0" w:space="0" w:color="auto"/>
        <w:left w:val="none" w:sz="0" w:space="0" w:color="auto"/>
        <w:bottom w:val="none" w:sz="0" w:space="0" w:color="auto"/>
        <w:right w:val="none" w:sz="0" w:space="0" w:color="auto"/>
      </w:divBdr>
      <w:divsChild>
        <w:div w:id="1512451081">
          <w:marLeft w:val="0"/>
          <w:marRight w:val="0"/>
          <w:marTop w:val="0"/>
          <w:marBottom w:val="0"/>
          <w:divBdr>
            <w:top w:val="none" w:sz="0" w:space="0" w:color="auto"/>
            <w:left w:val="none" w:sz="0" w:space="0" w:color="auto"/>
            <w:bottom w:val="none" w:sz="0" w:space="0" w:color="auto"/>
            <w:right w:val="none" w:sz="0" w:space="0" w:color="auto"/>
          </w:divBdr>
        </w:div>
      </w:divsChild>
    </w:div>
    <w:div w:id="1786926630">
      <w:marLeft w:val="0"/>
      <w:marRight w:val="0"/>
      <w:marTop w:val="0"/>
      <w:marBottom w:val="0"/>
      <w:divBdr>
        <w:top w:val="none" w:sz="0" w:space="0" w:color="auto"/>
        <w:left w:val="none" w:sz="0" w:space="0" w:color="auto"/>
        <w:bottom w:val="none" w:sz="0" w:space="0" w:color="auto"/>
        <w:right w:val="none" w:sz="0" w:space="0" w:color="auto"/>
      </w:divBdr>
    </w:div>
    <w:div w:id="1836189778">
      <w:marLeft w:val="0"/>
      <w:marRight w:val="0"/>
      <w:marTop w:val="0"/>
      <w:marBottom w:val="0"/>
      <w:divBdr>
        <w:top w:val="none" w:sz="0" w:space="0" w:color="auto"/>
        <w:left w:val="none" w:sz="0" w:space="0" w:color="auto"/>
        <w:bottom w:val="none" w:sz="0" w:space="0" w:color="auto"/>
        <w:right w:val="none" w:sz="0" w:space="0" w:color="auto"/>
      </w:divBdr>
      <w:divsChild>
        <w:div w:id="970785788">
          <w:marLeft w:val="0"/>
          <w:marRight w:val="0"/>
          <w:marTop w:val="0"/>
          <w:marBottom w:val="0"/>
          <w:divBdr>
            <w:top w:val="none" w:sz="0" w:space="0" w:color="auto"/>
            <w:left w:val="none" w:sz="0" w:space="0" w:color="auto"/>
            <w:bottom w:val="none" w:sz="0" w:space="0" w:color="auto"/>
            <w:right w:val="none" w:sz="0" w:space="0" w:color="auto"/>
          </w:divBdr>
        </w:div>
      </w:divsChild>
    </w:div>
    <w:div w:id="1848249329">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
      </w:divsChild>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8919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42284">
          <w:marLeft w:val="0"/>
          <w:marRight w:val="0"/>
          <w:marTop w:val="0"/>
          <w:marBottom w:val="0"/>
          <w:divBdr>
            <w:top w:val="none" w:sz="0" w:space="0" w:color="auto"/>
            <w:left w:val="none" w:sz="0" w:space="0" w:color="auto"/>
            <w:bottom w:val="none" w:sz="0" w:space="0" w:color="auto"/>
            <w:right w:val="none" w:sz="0" w:space="0" w:color="auto"/>
          </w:divBdr>
          <w:divsChild>
            <w:div w:id="205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382">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productionfiles.qs.s3.amazonaws.com/25830/proof_v2_2583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ropbox\DGEI%20-%20UNAM\Reportes%20Rankings\Estadisticas\Ranking%20QS%20World%202020_190620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Ranking%20QS%20World%202020_1906201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Ranking%20QS%20World%202020_1906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Paises!$A$2</c:f>
              <c:strCache>
                <c:ptCount val="1"/>
                <c:pt idx="0">
                  <c:v>España</c:v>
                </c:pt>
              </c:strCache>
            </c:strRef>
          </c:tx>
          <c:invertIfNegative val="0"/>
          <c:dLbls>
            <c:dLbl>
              <c:idx val="0"/>
              <c:layout>
                <c:manualLayout>
                  <c:x val="0"/>
                  <c:y val="1.049868766404199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Paises!$B$2</c:f>
              <c:numCache>
                <c:formatCode>General</c:formatCode>
                <c:ptCount val="1"/>
                <c:pt idx="0">
                  <c:v>27</c:v>
                </c:pt>
              </c:numCache>
            </c:numRef>
          </c:val>
        </c:ser>
        <c:ser>
          <c:idx val="1"/>
          <c:order val="1"/>
          <c:tx>
            <c:strRef>
              <c:f>Paises!$A$3</c:f>
              <c:strCache>
                <c:ptCount val="1"/>
                <c:pt idx="0">
                  <c:v>Brasil</c:v>
                </c:pt>
              </c:strCache>
            </c:strRef>
          </c:tx>
          <c:spPr>
            <a:solidFill>
              <a:srgbClr val="ED7D31"/>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Paises!$B$3</c:f>
              <c:numCache>
                <c:formatCode>General</c:formatCode>
                <c:ptCount val="1"/>
                <c:pt idx="0">
                  <c:v>19</c:v>
                </c:pt>
              </c:numCache>
            </c:numRef>
          </c:val>
        </c:ser>
        <c:ser>
          <c:idx val="2"/>
          <c:order val="2"/>
          <c:tx>
            <c:strRef>
              <c:f>Paises!$A$4</c:f>
              <c:strCache>
                <c:ptCount val="1"/>
                <c:pt idx="0">
                  <c:v>Argentina</c:v>
                </c:pt>
              </c:strCache>
            </c:strRef>
          </c:tx>
          <c:spPr>
            <a:solidFill>
              <a:srgbClr val="4472C4"/>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Paises!$B$4</c:f>
              <c:numCache>
                <c:formatCode>General</c:formatCode>
                <c:ptCount val="1"/>
                <c:pt idx="0">
                  <c:v>13</c:v>
                </c:pt>
              </c:numCache>
            </c:numRef>
          </c:val>
        </c:ser>
        <c:ser>
          <c:idx val="3"/>
          <c:order val="3"/>
          <c:tx>
            <c:strRef>
              <c:f>Paises!$A$5</c:f>
              <c:strCache>
                <c:ptCount val="1"/>
                <c:pt idx="0">
                  <c:v>México</c:v>
                </c:pt>
              </c:strCache>
            </c:strRef>
          </c:tx>
          <c:spPr>
            <a:solidFill>
              <a:srgbClr val="A5A5A5"/>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Paises!$B$5</c:f>
              <c:numCache>
                <c:formatCode>General</c:formatCode>
                <c:ptCount val="1"/>
                <c:pt idx="0">
                  <c:v>13</c:v>
                </c:pt>
              </c:numCache>
            </c:numRef>
          </c:val>
        </c:ser>
        <c:ser>
          <c:idx val="4"/>
          <c:order val="4"/>
          <c:tx>
            <c:strRef>
              <c:f>Paises!$A$6</c:f>
              <c:strCache>
                <c:ptCount val="1"/>
                <c:pt idx="0">
                  <c:v>Colombia</c:v>
                </c:pt>
              </c:strCache>
            </c:strRef>
          </c:tx>
          <c:spPr>
            <a:solidFill>
              <a:srgbClr val="70AD47"/>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Paises!$B$6</c:f>
              <c:numCache>
                <c:formatCode>General</c:formatCode>
                <c:ptCount val="1"/>
                <c:pt idx="0">
                  <c:v>12</c:v>
                </c:pt>
              </c:numCache>
            </c:numRef>
          </c:val>
        </c:ser>
        <c:ser>
          <c:idx val="5"/>
          <c:order val="5"/>
          <c:tx>
            <c:strRef>
              <c:f>Paises!$A$7</c:f>
              <c:strCache>
                <c:ptCount val="1"/>
                <c:pt idx="0">
                  <c:v>Chile</c:v>
                </c:pt>
              </c:strCache>
            </c:strRef>
          </c:tx>
          <c:spPr>
            <a:solidFill>
              <a:srgbClr val="5B9BD5"/>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Paises!$B$7</c:f>
              <c:numCache>
                <c:formatCode>General</c:formatCode>
                <c:ptCount val="1"/>
                <c:pt idx="0">
                  <c:v>11</c:v>
                </c:pt>
              </c:numCache>
            </c:numRef>
          </c:val>
        </c:ser>
        <c:ser>
          <c:idx val="6"/>
          <c:order val="6"/>
          <c:tx>
            <c:strRef>
              <c:f>Paises!$A$8</c:f>
              <c:strCache>
                <c:ptCount val="1"/>
                <c:pt idx="0">
                  <c:v>Portugal</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Paises!$B$8</c:f>
              <c:numCache>
                <c:formatCode>General</c:formatCode>
                <c:ptCount val="1"/>
                <c:pt idx="0">
                  <c:v>7</c:v>
                </c:pt>
              </c:numCache>
            </c:numRef>
          </c:val>
        </c:ser>
        <c:ser>
          <c:idx val="7"/>
          <c:order val="7"/>
          <c:tx>
            <c:strRef>
              <c:f>Paises!$A$9</c:f>
              <c:strCache>
                <c:ptCount val="1"/>
                <c:pt idx="0">
                  <c:v>Venezuela</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Paises!$B$9</c:f>
              <c:numCache>
                <c:formatCode>General</c:formatCode>
                <c:ptCount val="1"/>
                <c:pt idx="0">
                  <c:v>4</c:v>
                </c:pt>
              </c:numCache>
            </c:numRef>
          </c:val>
        </c:ser>
        <c:ser>
          <c:idx val="8"/>
          <c:order val="8"/>
          <c:tx>
            <c:strRef>
              <c:f>Paises!$A$10</c:f>
              <c:strCache>
                <c:ptCount val="1"/>
                <c:pt idx="0">
                  <c:v>Ecuador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Paises!$B$10</c:f>
              <c:numCache>
                <c:formatCode>General</c:formatCode>
                <c:ptCount val="1"/>
                <c:pt idx="0">
                  <c:v>4</c:v>
                </c:pt>
              </c:numCache>
            </c:numRef>
          </c:val>
        </c:ser>
        <c:ser>
          <c:idx val="9"/>
          <c:order val="9"/>
          <c:tx>
            <c:strRef>
              <c:f>Paises!$A$11</c:f>
              <c:strCache>
                <c:ptCount val="1"/>
                <c:pt idx="0">
                  <c:v>Perú</c:v>
                </c:pt>
              </c:strCache>
            </c:strRef>
          </c:tx>
          <c:spPr>
            <a:solidFill>
              <a:srgbClr val="FFC000"/>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Paises!$B$11</c:f>
              <c:numCache>
                <c:formatCode>General</c:formatCode>
                <c:ptCount val="1"/>
                <c:pt idx="0">
                  <c:v>3</c:v>
                </c:pt>
              </c:numCache>
            </c:numRef>
          </c:val>
        </c:ser>
        <c:ser>
          <c:idx val="10"/>
          <c:order val="10"/>
          <c:tx>
            <c:strRef>
              <c:f>Paises!$A$12</c:f>
              <c:strCache>
                <c:ptCount val="1"/>
                <c:pt idx="0">
                  <c:v>Costa Rica</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Paises!$B$12</c:f>
              <c:numCache>
                <c:formatCode>General</c:formatCode>
                <c:ptCount val="1"/>
                <c:pt idx="0">
                  <c:v>3</c:v>
                </c:pt>
              </c:numCache>
            </c:numRef>
          </c:val>
        </c:ser>
        <c:ser>
          <c:idx val="11"/>
          <c:order val="11"/>
          <c:tx>
            <c:strRef>
              <c:f>Paises!$A$13</c:f>
              <c:strCache>
                <c:ptCount val="1"/>
                <c:pt idx="0">
                  <c:v>Uruguay</c:v>
                </c:pt>
              </c:strCache>
            </c:strRef>
          </c:tx>
          <c:spPr>
            <a:solidFill>
              <a:schemeClr val="accent1">
                <a:lumMod val="60000"/>
              </a:schemeClr>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Paises!$B$13</c:f>
              <c:numCache>
                <c:formatCode>General</c:formatCode>
                <c:ptCount val="1"/>
                <c:pt idx="0">
                  <c:v>2</c:v>
                </c:pt>
              </c:numCache>
            </c:numRef>
          </c:val>
        </c:ser>
        <c:ser>
          <c:idx val="12"/>
          <c:order val="12"/>
          <c:tx>
            <c:strRef>
              <c:f>Paises!$A$14</c:f>
              <c:strCache>
                <c:ptCount val="1"/>
                <c:pt idx="0">
                  <c:v>Cuba</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Paises!$B$14</c:f>
              <c:numCache>
                <c:formatCode>General</c:formatCode>
                <c:ptCount val="1"/>
                <c:pt idx="0">
                  <c:v>1</c:v>
                </c:pt>
              </c:numCache>
            </c:numRef>
          </c:val>
        </c:ser>
        <c:ser>
          <c:idx val="13"/>
          <c:order val="13"/>
          <c:tx>
            <c:strRef>
              <c:f>Paises!$A$15</c:f>
              <c:strCache>
                <c:ptCount val="1"/>
                <c:pt idx="0">
                  <c:v>Panama</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Paises!$B$15</c:f>
              <c:numCache>
                <c:formatCode>General</c:formatCode>
                <c:ptCount val="1"/>
                <c:pt idx="0">
                  <c:v>1</c:v>
                </c:pt>
              </c:numCache>
            </c:numRef>
          </c:val>
        </c:ser>
        <c:ser>
          <c:idx val="14"/>
          <c:order val="14"/>
          <c:tx>
            <c:strRef>
              <c:f>Paises!$A$16</c:f>
              <c:strCache>
                <c:ptCount val="1"/>
                <c:pt idx="0">
                  <c:v>Paraguay</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Paises!$B$16</c:f>
              <c:numCache>
                <c:formatCode>General</c:formatCode>
                <c:ptCount val="1"/>
                <c:pt idx="0">
                  <c:v>1</c:v>
                </c:pt>
              </c:numCache>
            </c:numRef>
          </c:val>
        </c:ser>
        <c:dLbls>
          <c:dLblPos val="outEnd"/>
          <c:showLegendKey val="0"/>
          <c:showVal val="1"/>
          <c:showCatName val="0"/>
          <c:showSerName val="0"/>
          <c:showPercent val="0"/>
          <c:showBubbleSize val="0"/>
        </c:dLbls>
        <c:gapWidth val="219"/>
        <c:overlap val="-27"/>
        <c:axId val="346790328"/>
        <c:axId val="346789544"/>
      </c:barChart>
      <c:catAx>
        <c:axId val="346790328"/>
        <c:scaling>
          <c:orientation val="minMax"/>
        </c:scaling>
        <c:delete val="1"/>
        <c:axPos val="b"/>
        <c:majorTickMark val="out"/>
        <c:minorTickMark val="none"/>
        <c:tickLblPos val="nextTo"/>
        <c:crossAx val="346789544"/>
        <c:crosses val="autoZero"/>
        <c:auto val="1"/>
        <c:lblAlgn val="ctr"/>
        <c:lblOffset val="100"/>
        <c:noMultiLvlLbl val="0"/>
      </c:catAx>
      <c:valAx>
        <c:axId val="346789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a:pPr>
            <a:endParaRPr lang="es-MX"/>
          </a:p>
        </c:txPr>
        <c:crossAx val="346790328"/>
        <c:crosses val="autoZero"/>
        <c:crossBetween val="between"/>
      </c:valAx>
      <c:spPr>
        <a:noFill/>
        <a:ln w="25400">
          <a:noFill/>
        </a:ln>
      </c:spPr>
    </c:plotArea>
    <c:legend>
      <c:legendPos val="b"/>
      <c:overlay val="0"/>
      <c:spPr>
        <a:noFill/>
        <a:ln w="25400">
          <a:noFill/>
        </a:ln>
      </c:spPr>
      <c:txPr>
        <a:bodyPr rot="0" vert="horz"/>
        <a:lstStyle/>
        <a:p>
          <a:pPr>
            <a:defRPr sz="900"/>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spPr>
            <a:solidFill>
              <a:schemeClr val="accent1"/>
            </a:solidFill>
            <a:ln>
              <a:solidFill>
                <a:schemeClr val="accent1">
                  <a:lumMod val="75000"/>
                </a:schemeClr>
              </a:solidFill>
            </a:ln>
            <a:effectLst/>
          </c:spPr>
          <c:dLbls>
            <c:dLbl>
              <c:idx val="0"/>
              <c:layout>
                <c:manualLayout>
                  <c:x val="-2.5288953904409925E-2"/>
                  <c:y val="3.92589881444038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41484282968422E-2"/>
                  <c:y val="6.0127415891195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7086614173228349E-2"/>
                  <c:y val="0.1136363636363635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118110236220402E-2"/>
                  <c:y val="0.2636363636363636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3582677165354334"/>
                  <c:y val="0.2136363636363635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437007874015748"/>
                  <c:y val="-0.1045454545454545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'Pnt UNAM 2020'!$G$23:$G$28</c:f>
              <c:strCache>
                <c:ptCount val="6"/>
                <c:pt idx="0">
                  <c:v>Reputación empleadores</c:v>
                </c:pt>
                <c:pt idx="1">
                  <c:v>Reputación académicos</c:v>
                </c:pt>
                <c:pt idx="2">
                  <c:v>Relación estudiantes/profesores</c:v>
                </c:pt>
                <c:pt idx="3">
                  <c:v>Académicos extranjeros</c:v>
                </c:pt>
                <c:pt idx="4">
                  <c:v>Estudiantes extranjeros</c:v>
                </c:pt>
                <c:pt idx="5">
                  <c:v>Citas académicas</c:v>
                </c:pt>
              </c:strCache>
            </c:strRef>
          </c:cat>
          <c:val>
            <c:numRef>
              <c:f>'Pnt UNAM 2020'!$H$23:$H$28</c:f>
              <c:numCache>
                <c:formatCode>General</c:formatCode>
                <c:ptCount val="6"/>
                <c:pt idx="0">
                  <c:v>91</c:v>
                </c:pt>
                <c:pt idx="1">
                  <c:v>90.9</c:v>
                </c:pt>
                <c:pt idx="2">
                  <c:v>57.6</c:v>
                </c:pt>
                <c:pt idx="3">
                  <c:v>13.8</c:v>
                </c:pt>
                <c:pt idx="4">
                  <c:v>4.3</c:v>
                </c:pt>
                <c:pt idx="5">
                  <c:v>3.8</c:v>
                </c:pt>
              </c:numCache>
            </c:numRef>
          </c:val>
        </c:ser>
        <c:dLbls>
          <c:showLegendKey val="0"/>
          <c:showVal val="1"/>
          <c:showCatName val="0"/>
          <c:showSerName val="0"/>
          <c:showPercent val="0"/>
          <c:showBubbleSize val="0"/>
        </c:dLbls>
        <c:axId val="538233608"/>
        <c:axId val="538233216"/>
      </c:radarChart>
      <c:catAx>
        <c:axId val="538233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538233216"/>
        <c:crosses val="autoZero"/>
        <c:auto val="1"/>
        <c:lblAlgn val="ctr"/>
        <c:lblOffset val="100"/>
        <c:noMultiLvlLbl val="0"/>
      </c:catAx>
      <c:valAx>
        <c:axId val="538233216"/>
        <c:scaling>
          <c:orientation val="minMax"/>
          <c:max val="100"/>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38233608"/>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'UNAM-ITESM 2020'!$A$24</c:f>
              <c:strCache>
                <c:ptCount val="1"/>
                <c:pt idx="0">
                  <c:v>UNAM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'UNAM-ITESM 2020'!$B$23:$J$23</c:f>
              <c:numCache>
                <c:formatCode>General</c:formatCode>
                <c:ptCount val="9"/>
                <c:pt idx="0">
                  <c:v>2011</c:v>
                </c:pt>
                <c:pt idx="1">
                  <c:v>2012</c:v>
                </c:pt>
                <c:pt idx="2">
                  <c:v>2013</c:v>
                </c:pt>
                <c:pt idx="3">
                  <c:v>2014</c:v>
                </c:pt>
                <c:pt idx="4">
                  <c:v>2015</c:v>
                </c:pt>
                <c:pt idx="5">
                  <c:v>2016</c:v>
                </c:pt>
                <c:pt idx="6">
                  <c:v>2017</c:v>
                </c:pt>
                <c:pt idx="7">
                  <c:v>2019</c:v>
                </c:pt>
                <c:pt idx="8">
                  <c:v>2020</c:v>
                </c:pt>
              </c:numCache>
            </c:numRef>
          </c:cat>
          <c:val>
            <c:numRef>
              <c:f>'UNAM-ITESM 2020'!$B$24:$J$24</c:f>
              <c:numCache>
                <c:formatCode>General</c:formatCode>
                <c:ptCount val="9"/>
                <c:pt idx="0">
                  <c:v>169</c:v>
                </c:pt>
                <c:pt idx="1">
                  <c:v>146</c:v>
                </c:pt>
                <c:pt idx="2">
                  <c:v>163</c:v>
                </c:pt>
                <c:pt idx="3">
                  <c:v>175</c:v>
                </c:pt>
                <c:pt idx="4">
                  <c:v>160</c:v>
                </c:pt>
                <c:pt idx="5">
                  <c:v>128</c:v>
                </c:pt>
                <c:pt idx="6">
                  <c:v>122</c:v>
                </c:pt>
                <c:pt idx="7">
                  <c:v>113</c:v>
                </c:pt>
                <c:pt idx="8">
                  <c:v>103</c:v>
                </c:pt>
              </c:numCache>
            </c:numRef>
          </c:val>
          <c:smooth val="0"/>
        </c:ser>
        <c:ser>
          <c:idx val="2"/>
          <c:order val="2"/>
          <c:tx>
            <c:strRef>
              <c:f>'UNAM-ITESM 2020'!$A$25</c:f>
              <c:strCache>
                <c:ptCount val="1"/>
                <c:pt idx="0">
                  <c:v>ITESM</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'UNAM-ITESM 2020'!$B$23:$J$23</c:f>
              <c:numCache>
                <c:formatCode>General</c:formatCode>
                <c:ptCount val="9"/>
                <c:pt idx="0">
                  <c:v>2011</c:v>
                </c:pt>
                <c:pt idx="1">
                  <c:v>2012</c:v>
                </c:pt>
                <c:pt idx="2">
                  <c:v>2013</c:v>
                </c:pt>
                <c:pt idx="3">
                  <c:v>2014</c:v>
                </c:pt>
                <c:pt idx="4">
                  <c:v>2015</c:v>
                </c:pt>
                <c:pt idx="5">
                  <c:v>2016</c:v>
                </c:pt>
                <c:pt idx="6">
                  <c:v>2017</c:v>
                </c:pt>
                <c:pt idx="7">
                  <c:v>2019</c:v>
                </c:pt>
                <c:pt idx="8">
                  <c:v>2020</c:v>
                </c:pt>
              </c:numCache>
            </c:numRef>
          </c:cat>
          <c:val>
            <c:numRef>
              <c:f>'UNAM-ITESM 2020'!$B$25:$J$25</c:f>
              <c:numCache>
                <c:formatCode>General</c:formatCode>
                <c:ptCount val="9"/>
                <c:pt idx="0">
                  <c:v>320</c:v>
                </c:pt>
                <c:pt idx="1">
                  <c:v>306</c:v>
                </c:pt>
                <c:pt idx="2">
                  <c:v>279</c:v>
                </c:pt>
                <c:pt idx="3">
                  <c:v>253</c:v>
                </c:pt>
                <c:pt idx="4">
                  <c:v>238</c:v>
                </c:pt>
                <c:pt idx="5">
                  <c:v>206</c:v>
                </c:pt>
                <c:pt idx="6">
                  <c:v>199</c:v>
                </c:pt>
                <c:pt idx="7">
                  <c:v>178</c:v>
                </c:pt>
                <c:pt idx="8">
                  <c:v>158</c:v>
                </c:pt>
              </c:numCache>
            </c:numRef>
          </c:val>
          <c:smooth val="0"/>
        </c:ser>
        <c:dLbls>
          <c:dLblPos val="t"/>
          <c:showLegendKey val="0"/>
          <c:showVal val="1"/>
          <c:showCatName val="0"/>
          <c:showSerName val="0"/>
          <c:showPercent val="0"/>
          <c:showBubbleSize val="0"/>
        </c:dLbls>
        <c:smooth val="0"/>
        <c:axId val="540533712"/>
        <c:axId val="540535280"/>
        <c:extLst>
          <c:ext xmlns:c15="http://schemas.microsoft.com/office/drawing/2012/chart" uri="{02D57815-91ED-43cb-92C2-25804820EDAC}">
            <c15:filteredLineSeries>
              <c15:ser>
                <c:idx val="0"/>
                <c:order val="0"/>
                <c:tx>
                  <c:strRef>
                    <c:extLst>
                      <c:ext uri="{02D57815-91ED-43cb-92C2-25804820EDAC}">
                        <c15:formulaRef>
                          <c15:sqref>'UNAM-ITESM 2020'!$A$23</c15:sqref>
                        </c15:formulaRef>
                      </c:ext>
                    </c:extLst>
                    <c:strCache>
                      <c:ptCount val="1"/>
                      <c:pt idx="0">
                        <c:v>Posiciones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'UNAM-ITESM 2020'!$B$23:$J$23</c15:sqref>
                        </c15:formulaRef>
                      </c:ext>
                    </c:extLst>
                    <c:numCache>
                      <c:formatCode>General</c:formatCode>
                      <c:ptCount val="9"/>
                      <c:pt idx="0">
                        <c:v>2011</c:v>
                      </c:pt>
                      <c:pt idx="1">
                        <c:v>2012</c:v>
                      </c:pt>
                      <c:pt idx="2">
                        <c:v>2013</c:v>
                      </c:pt>
                      <c:pt idx="3">
                        <c:v>2014</c:v>
                      </c:pt>
                      <c:pt idx="4">
                        <c:v>2015</c:v>
                      </c:pt>
                      <c:pt idx="5">
                        <c:v>2016</c:v>
                      </c:pt>
                      <c:pt idx="6">
                        <c:v>2017</c:v>
                      </c:pt>
                      <c:pt idx="7">
                        <c:v>2019</c:v>
                      </c:pt>
                      <c:pt idx="8">
                        <c:v>2020</c:v>
                      </c:pt>
                    </c:numCache>
                  </c:numRef>
                </c:cat>
                <c:val>
                  <c:numRef>
                    <c:extLst>
                      <c:ext uri="{02D57815-91ED-43cb-92C2-25804820EDAC}">
                        <c15:formulaRef>
                          <c15:sqref>'UNAM-ITESM 2020'!$B$23:$H$23</c15:sqref>
                        </c15:formulaRef>
                      </c:ext>
                    </c:extLst>
                    <c:numCache>
                      <c:formatCode>General</c:formatCode>
                      <c:ptCount val="7"/>
                      <c:pt idx="0">
                        <c:v>2011</c:v>
                      </c:pt>
                      <c:pt idx="1">
                        <c:v>2012</c:v>
                      </c:pt>
                      <c:pt idx="2">
                        <c:v>2013</c:v>
                      </c:pt>
                      <c:pt idx="3">
                        <c:v>2014</c:v>
                      </c:pt>
                      <c:pt idx="4">
                        <c:v>2015</c:v>
                      </c:pt>
                      <c:pt idx="5">
                        <c:v>2016</c:v>
                      </c:pt>
                      <c:pt idx="6">
                        <c:v>2017</c:v>
                      </c:pt>
                    </c:numCache>
                  </c:numRef>
                </c:val>
                <c:smooth val="0"/>
              </c15:ser>
            </c15:filteredLineSeries>
          </c:ext>
        </c:extLst>
      </c:lineChart>
      <c:catAx>
        <c:axId val="54053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0535280"/>
        <c:crosses val="max"/>
        <c:auto val="1"/>
        <c:lblAlgn val="ctr"/>
        <c:lblOffset val="100"/>
        <c:noMultiLvlLbl val="0"/>
      </c:catAx>
      <c:valAx>
        <c:axId val="54053528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053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0.86662</cdr:y>
    </cdr:from>
    <cdr:to>
      <cdr:x>0.23811</cdr:x>
      <cdr:y>1</cdr:y>
    </cdr:to>
    <cdr:sp macro="" textlink="">
      <cdr:nvSpPr>
        <cdr:cNvPr id="2" name="CuadroTexto 1"/>
        <cdr:cNvSpPr txBox="1"/>
      </cdr:nvSpPr>
      <cdr:spPr>
        <a:xfrm xmlns:a="http://schemas.openxmlformats.org/drawingml/2006/main">
          <a:off x="0" y="2421331"/>
          <a:ext cx="1536192" cy="372669"/>
        </a:xfrm>
        <a:prstGeom xmlns:a="http://schemas.openxmlformats.org/drawingml/2006/main" prst="rect">
          <a:avLst/>
        </a:prstGeom>
        <a:solidFill xmlns:a="http://schemas.openxmlformats.org/drawingml/2006/main">
          <a:schemeClr val="accent1">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es-MX" sz="900" b="1"/>
            <a:t>Nota: </a:t>
          </a:r>
          <a:r>
            <a:rPr lang="es-MX" sz="700" b="0"/>
            <a:t>Cada indicador puede alcanzar un máximo de 100 puntos. </a:t>
          </a:r>
          <a:endParaRPr lang="es-MX" sz="70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F065-C604-4A5D-9F86-A72E00EA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admin</cp:lastModifiedBy>
  <cp:revision>76</cp:revision>
  <cp:lastPrinted>2017-06-08T18:21:00Z</cp:lastPrinted>
  <dcterms:created xsi:type="dcterms:W3CDTF">2018-06-07T15:56:00Z</dcterms:created>
  <dcterms:modified xsi:type="dcterms:W3CDTF">2019-07-26T17:00:00Z</dcterms:modified>
</cp:coreProperties>
</file>