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D5EB3" w14:textId="77777777" w:rsidR="001511A2" w:rsidRPr="00240E45" w:rsidRDefault="001511A2" w:rsidP="00556FA9">
      <w:pPr>
        <w:spacing w:after="0" w:line="240" w:lineRule="auto"/>
        <w:jc w:val="center"/>
        <w:rPr>
          <w:b/>
          <w:sz w:val="24"/>
        </w:rPr>
      </w:pPr>
      <w:r w:rsidRPr="00240E45">
        <w:rPr>
          <w:b/>
          <w:sz w:val="24"/>
        </w:rPr>
        <w:t>Dirección General de Evaluación Institucional</w:t>
      </w:r>
    </w:p>
    <w:p w14:paraId="6A06AB9A" w14:textId="04B179F7" w:rsidR="001511A2" w:rsidRPr="00240E45" w:rsidRDefault="001511A2" w:rsidP="00556FA9">
      <w:pPr>
        <w:spacing w:after="0" w:line="240" w:lineRule="auto"/>
        <w:jc w:val="center"/>
        <w:rPr>
          <w:b/>
          <w:sz w:val="24"/>
        </w:rPr>
      </w:pPr>
      <w:r w:rsidRPr="00240E45">
        <w:rPr>
          <w:b/>
          <w:sz w:val="24"/>
        </w:rPr>
        <w:t xml:space="preserve">Ciudad Universitaria, DF a </w:t>
      </w:r>
      <w:r w:rsidR="000F1AED" w:rsidRPr="00240E45">
        <w:rPr>
          <w:b/>
          <w:sz w:val="24"/>
        </w:rPr>
        <w:t>1</w:t>
      </w:r>
      <w:r w:rsidR="00565C0C" w:rsidRPr="00240E45">
        <w:rPr>
          <w:b/>
          <w:sz w:val="24"/>
        </w:rPr>
        <w:t>2</w:t>
      </w:r>
      <w:r w:rsidRPr="00240E45">
        <w:rPr>
          <w:b/>
          <w:sz w:val="24"/>
        </w:rPr>
        <w:t xml:space="preserve"> de </w:t>
      </w:r>
      <w:r w:rsidR="00DC4C14" w:rsidRPr="00240E45">
        <w:rPr>
          <w:b/>
          <w:sz w:val="24"/>
        </w:rPr>
        <w:t xml:space="preserve">septiembre </w:t>
      </w:r>
      <w:r w:rsidR="000F1AED" w:rsidRPr="00240E45">
        <w:rPr>
          <w:b/>
          <w:sz w:val="24"/>
        </w:rPr>
        <w:t>de 2019</w:t>
      </w:r>
    </w:p>
    <w:p w14:paraId="1CF22417" w14:textId="77777777" w:rsidR="001511A2" w:rsidRPr="00240E45" w:rsidRDefault="001511A2" w:rsidP="00556FA9">
      <w:pPr>
        <w:spacing w:after="0" w:line="240" w:lineRule="auto"/>
        <w:jc w:val="center"/>
        <w:rPr>
          <w:b/>
          <w:sz w:val="24"/>
        </w:rPr>
      </w:pPr>
    </w:p>
    <w:p w14:paraId="105F4479" w14:textId="193E4647" w:rsidR="001511A2" w:rsidRPr="00240E45" w:rsidRDefault="001511A2" w:rsidP="00556FA9">
      <w:pPr>
        <w:spacing w:after="0" w:line="240" w:lineRule="auto"/>
        <w:jc w:val="center"/>
        <w:rPr>
          <w:b/>
          <w:sz w:val="28"/>
          <w:szCs w:val="28"/>
          <w:lang w:val="en-US"/>
        </w:rPr>
      </w:pPr>
      <w:r w:rsidRPr="00240E45">
        <w:rPr>
          <w:b/>
          <w:sz w:val="28"/>
          <w:szCs w:val="28"/>
          <w:lang w:val="en-US"/>
        </w:rPr>
        <w:t xml:space="preserve">UNAM EN </w:t>
      </w:r>
      <w:r w:rsidR="003215C3" w:rsidRPr="00240E45">
        <w:rPr>
          <w:b/>
          <w:sz w:val="28"/>
          <w:szCs w:val="28"/>
          <w:lang w:val="en-US"/>
        </w:rPr>
        <w:t>TIMES HIGHER EDUCATION</w:t>
      </w:r>
    </w:p>
    <w:p w14:paraId="206DCAFA" w14:textId="77777777" w:rsidR="00EF2EDE" w:rsidRPr="00240E45" w:rsidRDefault="00EF2EDE" w:rsidP="00556FA9">
      <w:pPr>
        <w:spacing w:after="0" w:line="240" w:lineRule="auto"/>
        <w:rPr>
          <w:sz w:val="24"/>
          <w:lang w:val="en-US"/>
        </w:rPr>
      </w:pPr>
    </w:p>
    <w:p w14:paraId="2A7C12A0" w14:textId="5182E13B" w:rsidR="00610EEE" w:rsidRPr="00240E45" w:rsidRDefault="00610EEE" w:rsidP="00610EEE">
      <w:pPr>
        <w:pStyle w:val="Prrafodelista"/>
        <w:numPr>
          <w:ilvl w:val="0"/>
          <w:numId w:val="1"/>
        </w:numPr>
        <w:spacing w:after="0" w:line="240" w:lineRule="auto"/>
        <w:jc w:val="both"/>
        <w:rPr>
          <w:sz w:val="24"/>
        </w:rPr>
      </w:pPr>
      <w:r w:rsidRPr="00240E45">
        <w:rPr>
          <w:sz w:val="24"/>
        </w:rPr>
        <w:t>Times Higher Education (THE) publicó la edición del ranking mundial de universidades 20</w:t>
      </w:r>
      <w:r w:rsidR="000F1AED" w:rsidRPr="00240E45">
        <w:rPr>
          <w:sz w:val="24"/>
        </w:rPr>
        <w:t>20</w:t>
      </w:r>
      <w:r w:rsidRPr="00240E45">
        <w:rPr>
          <w:sz w:val="24"/>
        </w:rPr>
        <w:t xml:space="preserve">. </w:t>
      </w:r>
    </w:p>
    <w:p w14:paraId="1ACF18D8" w14:textId="77777777" w:rsidR="006D2A38" w:rsidRPr="00240E45" w:rsidRDefault="006D2A38" w:rsidP="00556FA9">
      <w:pPr>
        <w:pStyle w:val="Prrafodelista"/>
        <w:spacing w:after="0" w:line="240" w:lineRule="auto"/>
        <w:jc w:val="both"/>
        <w:rPr>
          <w:sz w:val="24"/>
        </w:rPr>
      </w:pPr>
    </w:p>
    <w:p w14:paraId="58F81202" w14:textId="1AE6C85C" w:rsidR="00056BA6" w:rsidRPr="00240E45" w:rsidRDefault="005B3D9A" w:rsidP="00922309">
      <w:pPr>
        <w:pStyle w:val="Prrafodelista"/>
        <w:numPr>
          <w:ilvl w:val="0"/>
          <w:numId w:val="1"/>
        </w:numPr>
        <w:spacing w:after="0" w:line="240" w:lineRule="auto"/>
        <w:jc w:val="both"/>
        <w:rPr>
          <w:sz w:val="24"/>
        </w:rPr>
      </w:pPr>
      <w:r w:rsidRPr="00240E45">
        <w:rPr>
          <w:sz w:val="24"/>
        </w:rPr>
        <w:t xml:space="preserve">El </w:t>
      </w:r>
      <w:r w:rsidR="0069463B" w:rsidRPr="00240E45">
        <w:rPr>
          <w:sz w:val="24"/>
        </w:rPr>
        <w:t xml:space="preserve">THE </w:t>
      </w:r>
      <w:r w:rsidRPr="00240E45">
        <w:rPr>
          <w:sz w:val="24"/>
        </w:rPr>
        <w:t xml:space="preserve">ranking mundial de </w:t>
      </w:r>
      <w:r w:rsidR="0069463B" w:rsidRPr="00240E45">
        <w:rPr>
          <w:sz w:val="24"/>
        </w:rPr>
        <w:t>universidades</w:t>
      </w:r>
      <w:r w:rsidR="00565C0C" w:rsidRPr="00240E45">
        <w:rPr>
          <w:sz w:val="24"/>
        </w:rPr>
        <w:t xml:space="preserve"> clasificó</w:t>
      </w:r>
      <w:r w:rsidR="00565C0C" w:rsidRPr="00240E45">
        <w:rPr>
          <w:rStyle w:val="Refdenotaalpie"/>
          <w:sz w:val="24"/>
        </w:rPr>
        <w:footnoteReference w:id="1"/>
      </w:r>
      <w:r w:rsidR="00565C0C" w:rsidRPr="00240E45">
        <w:rPr>
          <w:sz w:val="24"/>
        </w:rPr>
        <w:t xml:space="preserve"> </w:t>
      </w:r>
      <w:r w:rsidR="0069463B" w:rsidRPr="00240E45">
        <w:rPr>
          <w:sz w:val="24"/>
        </w:rPr>
        <w:t xml:space="preserve">a la </w:t>
      </w:r>
      <w:r w:rsidRPr="00240E45">
        <w:rPr>
          <w:sz w:val="24"/>
        </w:rPr>
        <w:t xml:space="preserve">UNAM </w:t>
      </w:r>
      <w:r w:rsidR="00565C0C" w:rsidRPr="00240E45">
        <w:rPr>
          <w:sz w:val="24"/>
        </w:rPr>
        <w:t xml:space="preserve">en la </w:t>
      </w:r>
      <w:r w:rsidRPr="00240E45">
        <w:rPr>
          <w:sz w:val="24"/>
        </w:rPr>
        <w:t xml:space="preserve">posición </w:t>
      </w:r>
      <w:r w:rsidR="00922309" w:rsidRPr="00240E45">
        <w:rPr>
          <w:sz w:val="24"/>
        </w:rPr>
        <w:t>7</w:t>
      </w:r>
      <w:r w:rsidR="008D2FE9" w:rsidRPr="00240E45">
        <w:rPr>
          <w:sz w:val="24"/>
        </w:rPr>
        <w:t>6</w:t>
      </w:r>
      <w:r w:rsidR="00922309" w:rsidRPr="00240E45">
        <w:rPr>
          <w:sz w:val="24"/>
        </w:rPr>
        <w:t>9</w:t>
      </w:r>
      <w:r w:rsidR="00764699" w:rsidRPr="00240E45">
        <w:rPr>
          <w:sz w:val="24"/>
        </w:rPr>
        <w:t xml:space="preserve"> a nivel mundial, y en </w:t>
      </w:r>
      <w:r w:rsidR="009C487D" w:rsidRPr="00240E45">
        <w:rPr>
          <w:sz w:val="24"/>
        </w:rPr>
        <w:t xml:space="preserve">el lugar </w:t>
      </w:r>
      <w:r w:rsidR="00056BA6" w:rsidRPr="00240E45">
        <w:rPr>
          <w:sz w:val="24"/>
        </w:rPr>
        <w:t>4</w:t>
      </w:r>
      <w:r w:rsidR="007F5BE0">
        <w:rPr>
          <w:sz w:val="24"/>
        </w:rPr>
        <w:t>6</w:t>
      </w:r>
      <w:r w:rsidR="00056BA6" w:rsidRPr="00240E45">
        <w:rPr>
          <w:sz w:val="24"/>
        </w:rPr>
        <w:t xml:space="preserve"> </w:t>
      </w:r>
      <w:r w:rsidR="009C487D" w:rsidRPr="00240E45">
        <w:rPr>
          <w:sz w:val="24"/>
        </w:rPr>
        <w:t xml:space="preserve">en la región de Iberoamérica. </w:t>
      </w:r>
    </w:p>
    <w:p w14:paraId="515E13AF" w14:textId="77777777" w:rsidR="00056BA6" w:rsidRPr="00240E45" w:rsidRDefault="00056BA6" w:rsidP="00056BA6">
      <w:pPr>
        <w:pStyle w:val="Prrafodelista"/>
        <w:rPr>
          <w:sz w:val="24"/>
        </w:rPr>
      </w:pPr>
    </w:p>
    <w:p w14:paraId="4A7126F3" w14:textId="0198F10C" w:rsidR="008565ED" w:rsidRPr="00240E45" w:rsidRDefault="008565ED" w:rsidP="008565ED">
      <w:pPr>
        <w:pStyle w:val="Prrafodelista"/>
        <w:spacing w:after="0" w:line="240" w:lineRule="auto"/>
        <w:jc w:val="both"/>
        <w:rPr>
          <w:sz w:val="24"/>
        </w:rPr>
      </w:pPr>
      <w:r w:rsidRPr="00240E45">
        <w:rPr>
          <w:sz w:val="24"/>
        </w:rPr>
        <w:t xml:space="preserve">La región iberoamericana </w:t>
      </w:r>
      <w:r w:rsidR="009C487D" w:rsidRPr="00240E45">
        <w:rPr>
          <w:sz w:val="24"/>
        </w:rPr>
        <w:t xml:space="preserve">es liderada por </w:t>
      </w:r>
      <w:r w:rsidRPr="00240E45">
        <w:rPr>
          <w:sz w:val="24"/>
        </w:rPr>
        <w:t xml:space="preserve">tres </w:t>
      </w:r>
      <w:r w:rsidR="009C487D" w:rsidRPr="00240E45">
        <w:rPr>
          <w:sz w:val="24"/>
        </w:rPr>
        <w:t>universidades españolas:</w:t>
      </w:r>
      <w:r w:rsidRPr="00240E45">
        <w:rPr>
          <w:sz w:val="24"/>
        </w:rPr>
        <w:t xml:space="preserve"> </w:t>
      </w:r>
      <w:r w:rsidR="008C5182" w:rsidRPr="008C5182">
        <w:rPr>
          <w:sz w:val="24"/>
        </w:rPr>
        <w:t>la Universidad Pompeu Fabra en el lugar 143</w:t>
      </w:r>
      <w:r w:rsidRPr="008C5182">
        <w:rPr>
          <w:sz w:val="24"/>
        </w:rPr>
        <w:t xml:space="preserve">, la Universidad Autónoma de Barcelona en el </w:t>
      </w:r>
      <w:r w:rsidR="008D2FE9" w:rsidRPr="008C5182">
        <w:rPr>
          <w:sz w:val="24"/>
        </w:rPr>
        <w:t xml:space="preserve">158 </w:t>
      </w:r>
      <w:r w:rsidRPr="008C5182">
        <w:rPr>
          <w:sz w:val="24"/>
        </w:rPr>
        <w:t xml:space="preserve">y </w:t>
      </w:r>
      <w:bookmarkStart w:id="0" w:name="_GoBack"/>
      <w:bookmarkEnd w:id="0"/>
      <w:r w:rsidR="008C5182" w:rsidRPr="00240E45">
        <w:rPr>
          <w:sz w:val="24"/>
        </w:rPr>
        <w:t>la Universidad de Barcelona en el lugar 214</w:t>
      </w:r>
      <w:r w:rsidRPr="00240E45">
        <w:rPr>
          <w:sz w:val="24"/>
        </w:rPr>
        <w:t>.</w:t>
      </w:r>
    </w:p>
    <w:p w14:paraId="6075F8DA" w14:textId="21B77F17" w:rsidR="009C487D" w:rsidRPr="00240E45" w:rsidRDefault="009C487D" w:rsidP="00F07646">
      <w:pPr>
        <w:pStyle w:val="Prrafodelista"/>
        <w:spacing w:after="0" w:line="240" w:lineRule="auto"/>
        <w:jc w:val="both"/>
        <w:rPr>
          <w:sz w:val="24"/>
        </w:rPr>
      </w:pPr>
    </w:p>
    <w:p w14:paraId="5C94F4D6" w14:textId="77777777" w:rsidR="00A2224C" w:rsidRPr="00240E45" w:rsidRDefault="00A2224C" w:rsidP="00A2224C">
      <w:pPr>
        <w:pStyle w:val="Prrafodelista"/>
        <w:numPr>
          <w:ilvl w:val="0"/>
          <w:numId w:val="1"/>
        </w:numPr>
        <w:spacing w:after="0" w:line="240" w:lineRule="auto"/>
        <w:jc w:val="both"/>
        <w:rPr>
          <w:b/>
          <w:sz w:val="24"/>
        </w:rPr>
      </w:pPr>
      <w:r w:rsidRPr="00240E45">
        <w:rPr>
          <w:b/>
          <w:sz w:val="24"/>
        </w:rPr>
        <w:t>Metodología e Indicadores</w:t>
      </w:r>
    </w:p>
    <w:p w14:paraId="5D4DF7B1" w14:textId="77777777" w:rsidR="00A2224C" w:rsidRPr="00240E45" w:rsidRDefault="00A2224C" w:rsidP="00A2224C">
      <w:pPr>
        <w:pStyle w:val="Prrafodelista"/>
        <w:spacing w:after="0" w:line="240" w:lineRule="auto"/>
        <w:jc w:val="both"/>
        <w:rPr>
          <w:sz w:val="24"/>
        </w:rPr>
      </w:pPr>
    </w:p>
    <w:tbl>
      <w:tblPr>
        <w:tblW w:w="9268" w:type="dxa"/>
        <w:jc w:val="center"/>
        <w:tblCellMar>
          <w:left w:w="70" w:type="dxa"/>
          <w:right w:w="70" w:type="dxa"/>
        </w:tblCellMar>
        <w:tblLook w:val="04A0" w:firstRow="1" w:lastRow="0" w:firstColumn="1" w:lastColumn="0" w:noHBand="0" w:noVBand="1"/>
      </w:tblPr>
      <w:tblGrid>
        <w:gridCol w:w="1481"/>
        <w:gridCol w:w="6755"/>
        <w:gridCol w:w="1032"/>
      </w:tblGrid>
      <w:tr w:rsidR="00575FB7" w:rsidRPr="00240E45" w14:paraId="6E0C6674" w14:textId="77777777" w:rsidTr="00D81AEE">
        <w:trPr>
          <w:trHeight w:val="141"/>
          <w:jc w:val="center"/>
        </w:trPr>
        <w:tc>
          <w:tcPr>
            <w:tcW w:w="1481" w:type="dxa"/>
            <w:tcBorders>
              <w:top w:val="single" w:sz="4" w:space="0" w:color="000000"/>
              <w:left w:val="single" w:sz="4" w:space="0" w:color="000000"/>
              <w:bottom w:val="single" w:sz="4" w:space="0" w:color="auto"/>
              <w:right w:val="single" w:sz="4" w:space="0" w:color="000000"/>
            </w:tcBorders>
            <w:shd w:val="clear" w:color="auto" w:fill="BDD6EE" w:themeFill="accent1" w:themeFillTint="66"/>
            <w:noWrap/>
            <w:vAlign w:val="center"/>
            <w:hideMark/>
          </w:tcPr>
          <w:p w14:paraId="456CA973" w14:textId="77777777" w:rsidR="00575FB7" w:rsidRPr="00240E45" w:rsidRDefault="00575FB7" w:rsidP="00575FB7">
            <w:pPr>
              <w:spacing w:after="0" w:line="240" w:lineRule="auto"/>
              <w:jc w:val="center"/>
              <w:rPr>
                <w:b/>
                <w:sz w:val="18"/>
                <w:szCs w:val="20"/>
              </w:rPr>
            </w:pPr>
            <w:r w:rsidRPr="00240E45">
              <w:rPr>
                <w:b/>
                <w:sz w:val="18"/>
                <w:szCs w:val="20"/>
              </w:rPr>
              <w:t>Indicador</w:t>
            </w:r>
          </w:p>
        </w:tc>
        <w:tc>
          <w:tcPr>
            <w:tcW w:w="6755" w:type="dxa"/>
            <w:tcBorders>
              <w:top w:val="single" w:sz="4" w:space="0" w:color="000000"/>
              <w:left w:val="nil"/>
              <w:bottom w:val="single" w:sz="4" w:space="0" w:color="auto"/>
              <w:right w:val="single" w:sz="4" w:space="0" w:color="000000"/>
            </w:tcBorders>
            <w:shd w:val="clear" w:color="auto" w:fill="BDD6EE" w:themeFill="accent1" w:themeFillTint="66"/>
            <w:noWrap/>
            <w:vAlign w:val="center"/>
            <w:hideMark/>
          </w:tcPr>
          <w:p w14:paraId="74AD7C69" w14:textId="77777777" w:rsidR="00575FB7" w:rsidRPr="00240E45" w:rsidRDefault="00575FB7" w:rsidP="00575FB7">
            <w:pPr>
              <w:spacing w:after="0" w:line="240" w:lineRule="auto"/>
              <w:jc w:val="center"/>
              <w:rPr>
                <w:b/>
                <w:sz w:val="18"/>
                <w:szCs w:val="20"/>
              </w:rPr>
            </w:pPr>
            <w:r w:rsidRPr="00240E45">
              <w:rPr>
                <w:b/>
                <w:sz w:val="18"/>
                <w:szCs w:val="20"/>
              </w:rPr>
              <w:t>Descripción</w:t>
            </w:r>
          </w:p>
        </w:tc>
        <w:tc>
          <w:tcPr>
            <w:tcW w:w="1031" w:type="dxa"/>
            <w:tcBorders>
              <w:top w:val="single" w:sz="4" w:space="0" w:color="000000"/>
              <w:left w:val="nil"/>
              <w:bottom w:val="single" w:sz="4" w:space="0" w:color="auto"/>
              <w:right w:val="single" w:sz="4" w:space="0" w:color="000000"/>
            </w:tcBorders>
            <w:shd w:val="clear" w:color="auto" w:fill="BDD6EE" w:themeFill="accent1" w:themeFillTint="66"/>
            <w:noWrap/>
            <w:vAlign w:val="center"/>
            <w:hideMark/>
          </w:tcPr>
          <w:p w14:paraId="3E8ACDF8" w14:textId="77777777" w:rsidR="00575FB7" w:rsidRPr="00240E45" w:rsidRDefault="00575FB7" w:rsidP="00575FB7">
            <w:pPr>
              <w:spacing w:after="0" w:line="240" w:lineRule="auto"/>
              <w:jc w:val="center"/>
              <w:rPr>
                <w:b/>
                <w:sz w:val="18"/>
                <w:szCs w:val="20"/>
              </w:rPr>
            </w:pPr>
            <w:r w:rsidRPr="00240E45">
              <w:rPr>
                <w:b/>
                <w:sz w:val="18"/>
                <w:szCs w:val="20"/>
              </w:rPr>
              <w:t>Ponderador</w:t>
            </w:r>
          </w:p>
        </w:tc>
      </w:tr>
      <w:tr w:rsidR="00E21969" w:rsidRPr="00240E45" w14:paraId="143DC7C6" w14:textId="77777777" w:rsidTr="00D81AEE">
        <w:trPr>
          <w:trHeight w:val="277"/>
          <w:jc w:val="center"/>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6CC3554B" w14:textId="249D8699" w:rsidR="00E21969" w:rsidRPr="00240E45" w:rsidRDefault="00E21969" w:rsidP="00E21969">
            <w:pPr>
              <w:spacing w:after="0" w:line="240" w:lineRule="auto"/>
              <w:jc w:val="center"/>
              <w:rPr>
                <w:sz w:val="18"/>
                <w:szCs w:val="20"/>
              </w:rPr>
            </w:pPr>
            <w:r w:rsidRPr="00240E45">
              <w:rPr>
                <w:rFonts w:ascii="Calibri" w:hAnsi="Calibri" w:cs="Calibri"/>
                <w:b/>
                <w:bCs/>
                <w:color w:val="000000"/>
                <w:sz w:val="18"/>
                <w:szCs w:val="20"/>
              </w:rPr>
              <w:t xml:space="preserve">Citas </w:t>
            </w:r>
            <w:r w:rsidRPr="00240E45">
              <w:rPr>
                <w:rFonts w:ascii="Calibri" w:hAnsi="Calibri" w:cs="Calibri"/>
                <w:b/>
                <w:bCs/>
                <w:color w:val="000000"/>
                <w:sz w:val="18"/>
                <w:szCs w:val="20"/>
              </w:rPr>
              <w:br/>
            </w:r>
            <w:r w:rsidRPr="00240E45">
              <w:rPr>
                <w:rFonts w:ascii="Calibri" w:hAnsi="Calibri" w:cs="Calibri"/>
                <w:color w:val="000000"/>
                <w:sz w:val="18"/>
                <w:szCs w:val="18"/>
              </w:rPr>
              <w:t>(30%)</w:t>
            </w:r>
          </w:p>
        </w:tc>
        <w:tc>
          <w:tcPr>
            <w:tcW w:w="6755" w:type="dxa"/>
            <w:tcBorders>
              <w:top w:val="single" w:sz="4" w:space="0" w:color="auto"/>
              <w:left w:val="single" w:sz="4" w:space="0" w:color="auto"/>
              <w:bottom w:val="single" w:sz="4" w:space="0" w:color="auto"/>
              <w:right w:val="single" w:sz="4" w:space="0" w:color="auto"/>
            </w:tcBorders>
            <w:shd w:val="clear" w:color="auto" w:fill="auto"/>
            <w:vAlign w:val="center"/>
          </w:tcPr>
          <w:p w14:paraId="1CAC007B" w14:textId="1B161EAE" w:rsidR="00E21969" w:rsidRPr="00240E45" w:rsidRDefault="00E21969" w:rsidP="00E21969">
            <w:pPr>
              <w:spacing w:after="0" w:line="240" w:lineRule="auto"/>
              <w:rPr>
                <w:sz w:val="18"/>
                <w:szCs w:val="20"/>
              </w:rPr>
            </w:pPr>
            <w:r w:rsidRPr="00240E45">
              <w:rPr>
                <w:rFonts w:ascii="Calibri" w:hAnsi="Calibri" w:cs="Calibri"/>
                <w:color w:val="000000"/>
                <w:sz w:val="18"/>
                <w:szCs w:val="20"/>
              </w:rPr>
              <w:t>Promedio de citas a los artículos en revistas indexadas en Elsevier Scopus entre la planta académica, en un periodo de 5 años</w:t>
            </w:r>
            <w:r w:rsidR="00676347" w:rsidRPr="00240E45">
              <w:rPr>
                <w:rFonts w:ascii="Calibri" w:hAnsi="Calibri" w:cs="Calibri"/>
                <w:color w:val="000000"/>
                <w:sz w:val="18"/>
                <w:szCs w:val="20"/>
              </w:rPr>
              <w:t>.</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0D9B2742" w14:textId="487CAD5C" w:rsidR="00E21969" w:rsidRPr="00240E45" w:rsidRDefault="00E21969" w:rsidP="006F5E71">
            <w:pPr>
              <w:spacing w:after="0" w:line="240" w:lineRule="auto"/>
              <w:jc w:val="center"/>
              <w:rPr>
                <w:sz w:val="18"/>
                <w:szCs w:val="20"/>
              </w:rPr>
            </w:pPr>
            <w:r w:rsidRPr="00240E45">
              <w:rPr>
                <w:rFonts w:ascii="Calibri" w:hAnsi="Calibri" w:cs="Calibri"/>
                <w:color w:val="000000"/>
                <w:sz w:val="18"/>
                <w:szCs w:val="18"/>
              </w:rPr>
              <w:t>30%</w:t>
            </w:r>
          </w:p>
        </w:tc>
      </w:tr>
      <w:tr w:rsidR="00E21969" w:rsidRPr="00240E45" w14:paraId="233B671D" w14:textId="77777777" w:rsidTr="00D81AEE">
        <w:trPr>
          <w:trHeight w:val="277"/>
          <w:jc w:val="center"/>
        </w:trPr>
        <w:tc>
          <w:tcPr>
            <w:tcW w:w="1481" w:type="dxa"/>
            <w:vMerge w:val="restart"/>
            <w:tcBorders>
              <w:top w:val="single" w:sz="4" w:space="0" w:color="auto"/>
              <w:left w:val="single" w:sz="4" w:space="0" w:color="auto"/>
              <w:right w:val="single" w:sz="4" w:space="0" w:color="auto"/>
            </w:tcBorders>
            <w:shd w:val="clear" w:color="auto" w:fill="auto"/>
            <w:vAlign w:val="center"/>
          </w:tcPr>
          <w:p w14:paraId="1C9B708A" w14:textId="72137F68" w:rsidR="00E21969" w:rsidRPr="00240E45" w:rsidRDefault="00E21969" w:rsidP="00E21969">
            <w:pPr>
              <w:spacing w:after="0" w:line="240" w:lineRule="auto"/>
              <w:jc w:val="center"/>
              <w:rPr>
                <w:sz w:val="18"/>
                <w:szCs w:val="20"/>
              </w:rPr>
            </w:pPr>
            <w:r w:rsidRPr="00240E45">
              <w:rPr>
                <w:rFonts w:ascii="Calibri" w:hAnsi="Calibri" w:cs="Calibri"/>
                <w:b/>
                <w:bCs/>
                <w:color w:val="000000"/>
                <w:sz w:val="18"/>
                <w:szCs w:val="20"/>
              </w:rPr>
              <w:t xml:space="preserve">Docencia </w:t>
            </w:r>
            <w:r w:rsidRPr="00240E45">
              <w:rPr>
                <w:rFonts w:ascii="Calibri" w:hAnsi="Calibri" w:cs="Calibri"/>
                <w:b/>
                <w:bCs/>
                <w:color w:val="000000"/>
                <w:sz w:val="18"/>
                <w:szCs w:val="20"/>
              </w:rPr>
              <w:br/>
            </w:r>
            <w:r w:rsidRPr="00240E45">
              <w:rPr>
                <w:rFonts w:ascii="Calibri" w:hAnsi="Calibri" w:cs="Calibri"/>
                <w:color w:val="000000"/>
                <w:sz w:val="18"/>
                <w:szCs w:val="18"/>
              </w:rPr>
              <w:t>(30%)</w:t>
            </w:r>
          </w:p>
        </w:tc>
        <w:tc>
          <w:tcPr>
            <w:tcW w:w="6755" w:type="dxa"/>
            <w:tcBorders>
              <w:top w:val="single" w:sz="4" w:space="0" w:color="auto"/>
              <w:left w:val="single" w:sz="4" w:space="0" w:color="auto"/>
              <w:bottom w:val="single" w:sz="4" w:space="0" w:color="auto"/>
              <w:right w:val="single" w:sz="4" w:space="0" w:color="auto"/>
            </w:tcBorders>
            <w:shd w:val="clear" w:color="auto" w:fill="auto"/>
            <w:vAlign w:val="center"/>
          </w:tcPr>
          <w:p w14:paraId="12391535" w14:textId="7C31BC6A" w:rsidR="00E21969" w:rsidRPr="00240E45" w:rsidRDefault="00E21969" w:rsidP="00E21969">
            <w:pPr>
              <w:spacing w:after="0" w:line="240" w:lineRule="auto"/>
              <w:rPr>
                <w:sz w:val="18"/>
                <w:szCs w:val="20"/>
              </w:rPr>
            </w:pPr>
            <w:r w:rsidRPr="00240E45">
              <w:rPr>
                <w:rFonts w:ascii="Calibri" w:hAnsi="Calibri" w:cs="Calibri"/>
                <w:color w:val="000000"/>
                <w:sz w:val="18"/>
                <w:szCs w:val="20"/>
              </w:rPr>
              <w:t>Encuesta de reputación sobre docencia aplicada a académicos</w:t>
            </w:r>
            <w:r w:rsidR="00676347" w:rsidRPr="00240E45">
              <w:rPr>
                <w:rFonts w:ascii="Calibri" w:hAnsi="Calibri" w:cs="Calibri"/>
                <w:color w:val="000000"/>
                <w:sz w:val="18"/>
                <w:szCs w:val="20"/>
              </w:rPr>
              <w:t>.</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32EF5923" w14:textId="6668F3E3" w:rsidR="00E21969" w:rsidRPr="00240E45" w:rsidRDefault="00E21969" w:rsidP="006F5E71">
            <w:pPr>
              <w:spacing w:after="0" w:line="240" w:lineRule="auto"/>
              <w:jc w:val="center"/>
              <w:rPr>
                <w:sz w:val="18"/>
                <w:szCs w:val="20"/>
              </w:rPr>
            </w:pPr>
            <w:r w:rsidRPr="00240E45">
              <w:rPr>
                <w:rFonts w:ascii="Calibri" w:hAnsi="Calibri" w:cs="Calibri"/>
                <w:color w:val="000000"/>
                <w:sz w:val="18"/>
                <w:szCs w:val="18"/>
              </w:rPr>
              <w:t>15%</w:t>
            </w:r>
          </w:p>
        </w:tc>
      </w:tr>
      <w:tr w:rsidR="00E21969" w:rsidRPr="00240E45" w14:paraId="47CA3269" w14:textId="77777777" w:rsidTr="00D81AEE">
        <w:trPr>
          <w:trHeight w:val="277"/>
          <w:jc w:val="center"/>
        </w:trPr>
        <w:tc>
          <w:tcPr>
            <w:tcW w:w="1481" w:type="dxa"/>
            <w:vMerge/>
            <w:tcBorders>
              <w:left w:val="single" w:sz="4" w:space="0" w:color="auto"/>
              <w:right w:val="single" w:sz="4" w:space="0" w:color="auto"/>
            </w:tcBorders>
            <w:shd w:val="clear" w:color="auto" w:fill="auto"/>
            <w:vAlign w:val="center"/>
          </w:tcPr>
          <w:p w14:paraId="67E40A89" w14:textId="77777777" w:rsidR="00E21969" w:rsidRPr="00240E45" w:rsidRDefault="00E21969" w:rsidP="00E21969">
            <w:pPr>
              <w:spacing w:after="0" w:line="240" w:lineRule="auto"/>
              <w:jc w:val="center"/>
              <w:rPr>
                <w:sz w:val="18"/>
                <w:szCs w:val="20"/>
              </w:rPr>
            </w:pPr>
          </w:p>
        </w:tc>
        <w:tc>
          <w:tcPr>
            <w:tcW w:w="6755" w:type="dxa"/>
            <w:tcBorders>
              <w:top w:val="single" w:sz="4" w:space="0" w:color="auto"/>
              <w:left w:val="single" w:sz="4" w:space="0" w:color="auto"/>
              <w:bottom w:val="single" w:sz="4" w:space="0" w:color="auto"/>
              <w:right w:val="single" w:sz="4" w:space="0" w:color="auto"/>
            </w:tcBorders>
            <w:shd w:val="clear" w:color="auto" w:fill="auto"/>
            <w:vAlign w:val="center"/>
          </w:tcPr>
          <w:p w14:paraId="32750A6E" w14:textId="03C6C9A0" w:rsidR="00E21969" w:rsidRPr="00240E45" w:rsidRDefault="00E21969" w:rsidP="00E21969">
            <w:pPr>
              <w:spacing w:after="0" w:line="240" w:lineRule="auto"/>
              <w:rPr>
                <w:sz w:val="18"/>
                <w:szCs w:val="20"/>
              </w:rPr>
            </w:pPr>
            <w:r w:rsidRPr="00240E45">
              <w:rPr>
                <w:rFonts w:ascii="Calibri" w:hAnsi="Calibri" w:cs="Calibri"/>
                <w:color w:val="000000"/>
                <w:sz w:val="18"/>
                <w:szCs w:val="20"/>
              </w:rPr>
              <w:t>Proporción de estudiantes entre número de académicos</w:t>
            </w:r>
            <w:r w:rsidR="00676347" w:rsidRPr="00240E45">
              <w:rPr>
                <w:rFonts w:ascii="Calibri" w:hAnsi="Calibri" w:cs="Calibri"/>
                <w:color w:val="000000"/>
                <w:sz w:val="18"/>
                <w:szCs w:val="20"/>
              </w:rPr>
              <w:t>.</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4F1DDD93" w14:textId="2181EBC5" w:rsidR="00E21969" w:rsidRPr="00240E45" w:rsidRDefault="00E21969" w:rsidP="006F5E71">
            <w:pPr>
              <w:spacing w:after="0" w:line="240" w:lineRule="auto"/>
              <w:jc w:val="center"/>
              <w:rPr>
                <w:sz w:val="18"/>
                <w:szCs w:val="20"/>
              </w:rPr>
            </w:pPr>
            <w:r w:rsidRPr="00240E45">
              <w:rPr>
                <w:rFonts w:ascii="Calibri" w:hAnsi="Calibri" w:cs="Calibri"/>
                <w:color w:val="000000"/>
                <w:sz w:val="18"/>
                <w:szCs w:val="18"/>
              </w:rPr>
              <w:t>4.5%</w:t>
            </w:r>
          </w:p>
        </w:tc>
      </w:tr>
      <w:tr w:rsidR="00E21969" w:rsidRPr="00240E45" w14:paraId="30FF73BB" w14:textId="77777777" w:rsidTr="00D81AEE">
        <w:trPr>
          <w:trHeight w:val="277"/>
          <w:jc w:val="center"/>
        </w:trPr>
        <w:tc>
          <w:tcPr>
            <w:tcW w:w="1481" w:type="dxa"/>
            <w:vMerge/>
            <w:tcBorders>
              <w:left w:val="single" w:sz="4" w:space="0" w:color="auto"/>
              <w:right w:val="single" w:sz="4" w:space="0" w:color="auto"/>
            </w:tcBorders>
            <w:shd w:val="clear" w:color="auto" w:fill="auto"/>
            <w:vAlign w:val="center"/>
          </w:tcPr>
          <w:p w14:paraId="18E3877E" w14:textId="77777777" w:rsidR="00E21969" w:rsidRPr="00240E45" w:rsidRDefault="00E21969" w:rsidP="00E21969">
            <w:pPr>
              <w:spacing w:after="0" w:line="240" w:lineRule="auto"/>
              <w:jc w:val="center"/>
              <w:rPr>
                <w:sz w:val="18"/>
                <w:szCs w:val="20"/>
              </w:rPr>
            </w:pPr>
          </w:p>
        </w:tc>
        <w:tc>
          <w:tcPr>
            <w:tcW w:w="6755" w:type="dxa"/>
            <w:tcBorders>
              <w:top w:val="single" w:sz="4" w:space="0" w:color="auto"/>
              <w:left w:val="single" w:sz="4" w:space="0" w:color="auto"/>
              <w:bottom w:val="single" w:sz="4" w:space="0" w:color="auto"/>
              <w:right w:val="single" w:sz="4" w:space="0" w:color="auto"/>
            </w:tcBorders>
            <w:shd w:val="clear" w:color="auto" w:fill="auto"/>
            <w:vAlign w:val="center"/>
          </w:tcPr>
          <w:p w14:paraId="6BD1BCCC" w14:textId="4C0C0273" w:rsidR="00E21969" w:rsidRPr="00240E45" w:rsidRDefault="00E21969" w:rsidP="00E21969">
            <w:pPr>
              <w:spacing w:after="0" w:line="240" w:lineRule="auto"/>
              <w:rPr>
                <w:sz w:val="18"/>
                <w:szCs w:val="20"/>
              </w:rPr>
            </w:pPr>
            <w:r w:rsidRPr="00240E45">
              <w:rPr>
                <w:rFonts w:ascii="Calibri" w:hAnsi="Calibri" w:cs="Calibri"/>
                <w:color w:val="000000"/>
                <w:sz w:val="18"/>
                <w:szCs w:val="20"/>
              </w:rPr>
              <w:t>Doctorados otorgados entre licenciaturas otorgadas</w:t>
            </w:r>
            <w:r w:rsidR="00676347" w:rsidRPr="00240E45">
              <w:rPr>
                <w:rFonts w:ascii="Calibri" w:hAnsi="Calibri" w:cs="Calibri"/>
                <w:color w:val="000000"/>
                <w:sz w:val="18"/>
                <w:szCs w:val="20"/>
              </w:rPr>
              <w:t>.</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6844C326" w14:textId="4C33717A" w:rsidR="00E21969" w:rsidRPr="00240E45" w:rsidRDefault="00E21969" w:rsidP="006F5E71">
            <w:pPr>
              <w:spacing w:after="0" w:line="240" w:lineRule="auto"/>
              <w:jc w:val="center"/>
              <w:rPr>
                <w:sz w:val="18"/>
                <w:szCs w:val="20"/>
              </w:rPr>
            </w:pPr>
            <w:r w:rsidRPr="00240E45">
              <w:rPr>
                <w:rFonts w:ascii="Calibri" w:hAnsi="Calibri" w:cs="Calibri"/>
                <w:color w:val="000000"/>
                <w:sz w:val="18"/>
                <w:szCs w:val="18"/>
              </w:rPr>
              <w:t>2.25%</w:t>
            </w:r>
          </w:p>
        </w:tc>
      </w:tr>
      <w:tr w:rsidR="00E21969" w:rsidRPr="00240E45" w14:paraId="3EF05289" w14:textId="77777777" w:rsidTr="00D81AEE">
        <w:trPr>
          <w:trHeight w:val="277"/>
          <w:jc w:val="center"/>
        </w:trPr>
        <w:tc>
          <w:tcPr>
            <w:tcW w:w="1481" w:type="dxa"/>
            <w:vMerge/>
            <w:tcBorders>
              <w:left w:val="single" w:sz="4" w:space="0" w:color="auto"/>
              <w:right w:val="single" w:sz="4" w:space="0" w:color="auto"/>
            </w:tcBorders>
            <w:shd w:val="clear" w:color="auto" w:fill="auto"/>
            <w:vAlign w:val="center"/>
          </w:tcPr>
          <w:p w14:paraId="4B423603" w14:textId="77777777" w:rsidR="00E21969" w:rsidRPr="00240E45" w:rsidRDefault="00E21969" w:rsidP="00E21969">
            <w:pPr>
              <w:spacing w:after="0" w:line="240" w:lineRule="auto"/>
              <w:jc w:val="center"/>
              <w:rPr>
                <w:sz w:val="18"/>
                <w:szCs w:val="20"/>
              </w:rPr>
            </w:pPr>
          </w:p>
        </w:tc>
        <w:tc>
          <w:tcPr>
            <w:tcW w:w="6755" w:type="dxa"/>
            <w:tcBorders>
              <w:top w:val="single" w:sz="4" w:space="0" w:color="auto"/>
              <w:left w:val="single" w:sz="4" w:space="0" w:color="auto"/>
              <w:bottom w:val="single" w:sz="4" w:space="0" w:color="auto"/>
              <w:right w:val="single" w:sz="4" w:space="0" w:color="auto"/>
            </w:tcBorders>
            <w:shd w:val="clear" w:color="auto" w:fill="auto"/>
            <w:vAlign w:val="center"/>
          </w:tcPr>
          <w:p w14:paraId="461EE22A" w14:textId="6B1CD45E" w:rsidR="00E21969" w:rsidRPr="00240E45" w:rsidRDefault="00E21969" w:rsidP="00E21969">
            <w:pPr>
              <w:spacing w:after="0" w:line="240" w:lineRule="auto"/>
              <w:rPr>
                <w:sz w:val="18"/>
                <w:szCs w:val="20"/>
              </w:rPr>
            </w:pPr>
            <w:r w:rsidRPr="00240E45">
              <w:rPr>
                <w:rFonts w:ascii="Calibri" w:hAnsi="Calibri" w:cs="Calibri"/>
                <w:color w:val="000000"/>
                <w:sz w:val="18"/>
                <w:szCs w:val="20"/>
              </w:rPr>
              <w:t>Doctorados otorg</w:t>
            </w:r>
            <w:r w:rsidR="00676347" w:rsidRPr="00240E45">
              <w:rPr>
                <w:rFonts w:ascii="Calibri" w:hAnsi="Calibri" w:cs="Calibri"/>
                <w:color w:val="000000"/>
                <w:sz w:val="18"/>
                <w:szCs w:val="20"/>
              </w:rPr>
              <w:t>ados entre número de académicos.</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29D72D44" w14:textId="351368FA" w:rsidR="00E21969" w:rsidRPr="00240E45" w:rsidRDefault="00E21969" w:rsidP="006F5E71">
            <w:pPr>
              <w:spacing w:after="0" w:line="240" w:lineRule="auto"/>
              <w:jc w:val="center"/>
              <w:rPr>
                <w:sz w:val="18"/>
                <w:szCs w:val="20"/>
              </w:rPr>
            </w:pPr>
            <w:r w:rsidRPr="00240E45">
              <w:rPr>
                <w:rFonts w:ascii="Calibri" w:hAnsi="Calibri" w:cs="Calibri"/>
                <w:color w:val="000000"/>
                <w:sz w:val="18"/>
                <w:szCs w:val="18"/>
              </w:rPr>
              <w:t>6%</w:t>
            </w:r>
          </w:p>
        </w:tc>
      </w:tr>
      <w:tr w:rsidR="00E21969" w:rsidRPr="00240E45" w14:paraId="55CC0718" w14:textId="77777777" w:rsidTr="00D81AEE">
        <w:trPr>
          <w:trHeight w:val="277"/>
          <w:jc w:val="center"/>
        </w:trPr>
        <w:tc>
          <w:tcPr>
            <w:tcW w:w="1481" w:type="dxa"/>
            <w:vMerge/>
            <w:tcBorders>
              <w:left w:val="single" w:sz="4" w:space="0" w:color="auto"/>
              <w:bottom w:val="single" w:sz="4" w:space="0" w:color="auto"/>
              <w:right w:val="single" w:sz="4" w:space="0" w:color="auto"/>
            </w:tcBorders>
            <w:shd w:val="clear" w:color="auto" w:fill="auto"/>
            <w:vAlign w:val="center"/>
          </w:tcPr>
          <w:p w14:paraId="4A81DCC7" w14:textId="77777777" w:rsidR="00E21969" w:rsidRPr="00240E45" w:rsidRDefault="00E21969" w:rsidP="00E21969">
            <w:pPr>
              <w:spacing w:after="0" w:line="240" w:lineRule="auto"/>
              <w:jc w:val="center"/>
              <w:rPr>
                <w:sz w:val="18"/>
                <w:szCs w:val="20"/>
              </w:rPr>
            </w:pPr>
          </w:p>
        </w:tc>
        <w:tc>
          <w:tcPr>
            <w:tcW w:w="6755" w:type="dxa"/>
            <w:tcBorders>
              <w:top w:val="single" w:sz="4" w:space="0" w:color="auto"/>
              <w:left w:val="single" w:sz="4" w:space="0" w:color="auto"/>
              <w:bottom w:val="single" w:sz="4" w:space="0" w:color="auto"/>
              <w:right w:val="single" w:sz="4" w:space="0" w:color="auto"/>
            </w:tcBorders>
            <w:shd w:val="clear" w:color="auto" w:fill="auto"/>
            <w:vAlign w:val="center"/>
          </w:tcPr>
          <w:p w14:paraId="72FF99ED" w14:textId="4B57F4EB" w:rsidR="00E21969" w:rsidRPr="00240E45" w:rsidRDefault="00E21969" w:rsidP="001416AF">
            <w:pPr>
              <w:spacing w:after="0" w:line="240" w:lineRule="auto"/>
              <w:rPr>
                <w:sz w:val="18"/>
                <w:szCs w:val="20"/>
              </w:rPr>
            </w:pPr>
            <w:r w:rsidRPr="00240E45">
              <w:rPr>
                <w:rFonts w:ascii="Calibri" w:hAnsi="Calibri" w:cs="Calibri"/>
                <w:color w:val="000000"/>
                <w:sz w:val="18"/>
                <w:szCs w:val="20"/>
              </w:rPr>
              <w:t>Presupuesto para doce</w:t>
            </w:r>
            <w:r w:rsidR="00676347" w:rsidRPr="00240E45">
              <w:rPr>
                <w:rFonts w:ascii="Calibri" w:hAnsi="Calibri" w:cs="Calibri"/>
                <w:color w:val="000000"/>
                <w:sz w:val="18"/>
                <w:szCs w:val="20"/>
              </w:rPr>
              <w:t>ncia entre número de académicos.</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52C11EEB" w14:textId="0BDEE23E" w:rsidR="00E21969" w:rsidRPr="00240E45" w:rsidRDefault="00E21969" w:rsidP="006F5E71">
            <w:pPr>
              <w:spacing w:after="0" w:line="240" w:lineRule="auto"/>
              <w:jc w:val="center"/>
              <w:rPr>
                <w:sz w:val="18"/>
                <w:szCs w:val="20"/>
              </w:rPr>
            </w:pPr>
            <w:r w:rsidRPr="00240E45">
              <w:rPr>
                <w:rFonts w:ascii="Calibri" w:hAnsi="Calibri" w:cs="Calibri"/>
                <w:color w:val="000000"/>
                <w:sz w:val="18"/>
                <w:szCs w:val="18"/>
              </w:rPr>
              <w:t>2.25%</w:t>
            </w:r>
          </w:p>
        </w:tc>
      </w:tr>
      <w:tr w:rsidR="00E21969" w:rsidRPr="00240E45" w14:paraId="4FD26078" w14:textId="77777777" w:rsidTr="00D81AEE">
        <w:trPr>
          <w:trHeight w:val="277"/>
          <w:jc w:val="center"/>
        </w:trPr>
        <w:tc>
          <w:tcPr>
            <w:tcW w:w="1481" w:type="dxa"/>
            <w:vMerge w:val="restart"/>
            <w:tcBorders>
              <w:top w:val="single" w:sz="4" w:space="0" w:color="auto"/>
              <w:left w:val="single" w:sz="4" w:space="0" w:color="auto"/>
              <w:right w:val="single" w:sz="4" w:space="0" w:color="auto"/>
            </w:tcBorders>
            <w:shd w:val="clear" w:color="auto" w:fill="auto"/>
            <w:vAlign w:val="center"/>
          </w:tcPr>
          <w:p w14:paraId="4661A6EC" w14:textId="009A22F1" w:rsidR="00E21969" w:rsidRPr="00240E45" w:rsidRDefault="00E21969" w:rsidP="00E21969">
            <w:pPr>
              <w:spacing w:after="0" w:line="240" w:lineRule="auto"/>
              <w:jc w:val="center"/>
              <w:rPr>
                <w:sz w:val="18"/>
                <w:szCs w:val="20"/>
              </w:rPr>
            </w:pPr>
            <w:r w:rsidRPr="00240E45">
              <w:rPr>
                <w:rFonts w:ascii="Calibri" w:hAnsi="Calibri" w:cs="Calibri"/>
                <w:b/>
                <w:bCs/>
                <w:color w:val="000000"/>
                <w:sz w:val="18"/>
                <w:szCs w:val="20"/>
              </w:rPr>
              <w:t xml:space="preserve">Investigación </w:t>
            </w:r>
            <w:r w:rsidRPr="00240E45">
              <w:rPr>
                <w:rFonts w:ascii="Calibri" w:hAnsi="Calibri" w:cs="Calibri"/>
                <w:b/>
                <w:bCs/>
                <w:color w:val="000000"/>
                <w:sz w:val="18"/>
                <w:szCs w:val="20"/>
              </w:rPr>
              <w:br/>
            </w:r>
            <w:r w:rsidRPr="00240E45">
              <w:rPr>
                <w:rFonts w:ascii="Calibri" w:hAnsi="Calibri" w:cs="Calibri"/>
                <w:color w:val="000000"/>
                <w:sz w:val="18"/>
                <w:szCs w:val="18"/>
              </w:rPr>
              <w:t>(30%)</w:t>
            </w:r>
          </w:p>
        </w:tc>
        <w:tc>
          <w:tcPr>
            <w:tcW w:w="6755" w:type="dxa"/>
            <w:tcBorders>
              <w:top w:val="single" w:sz="4" w:space="0" w:color="auto"/>
              <w:left w:val="single" w:sz="4" w:space="0" w:color="auto"/>
              <w:bottom w:val="single" w:sz="4" w:space="0" w:color="auto"/>
              <w:right w:val="single" w:sz="4" w:space="0" w:color="auto"/>
            </w:tcBorders>
            <w:shd w:val="clear" w:color="auto" w:fill="auto"/>
            <w:vAlign w:val="center"/>
          </w:tcPr>
          <w:p w14:paraId="2B4D91CA" w14:textId="6E1941CD" w:rsidR="00E21969" w:rsidRPr="00240E45" w:rsidRDefault="00E21969" w:rsidP="00E21969">
            <w:pPr>
              <w:spacing w:after="0" w:line="240" w:lineRule="auto"/>
              <w:rPr>
                <w:sz w:val="18"/>
                <w:szCs w:val="20"/>
              </w:rPr>
            </w:pPr>
            <w:r w:rsidRPr="00240E45">
              <w:rPr>
                <w:rFonts w:ascii="Calibri" w:hAnsi="Calibri" w:cs="Calibri"/>
                <w:color w:val="000000"/>
                <w:sz w:val="18"/>
                <w:szCs w:val="20"/>
              </w:rPr>
              <w:t>Encuesta de reputación sobre investigación aplicada a académicos</w:t>
            </w:r>
            <w:r w:rsidR="00676347" w:rsidRPr="00240E45">
              <w:rPr>
                <w:rFonts w:ascii="Calibri" w:hAnsi="Calibri" w:cs="Calibri"/>
                <w:color w:val="000000"/>
                <w:sz w:val="18"/>
                <w:szCs w:val="20"/>
              </w:rPr>
              <w:t>.</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59DEB4FE" w14:textId="5EB1C8E9" w:rsidR="00E21969" w:rsidRPr="00240E45" w:rsidRDefault="00E21969" w:rsidP="006F5E71">
            <w:pPr>
              <w:spacing w:after="0" w:line="240" w:lineRule="auto"/>
              <w:jc w:val="center"/>
              <w:rPr>
                <w:sz w:val="18"/>
                <w:szCs w:val="20"/>
              </w:rPr>
            </w:pPr>
            <w:r w:rsidRPr="00240E45">
              <w:rPr>
                <w:rFonts w:ascii="Calibri" w:hAnsi="Calibri" w:cs="Calibri"/>
                <w:color w:val="000000"/>
                <w:sz w:val="18"/>
                <w:szCs w:val="18"/>
              </w:rPr>
              <w:t>18%</w:t>
            </w:r>
          </w:p>
        </w:tc>
      </w:tr>
      <w:tr w:rsidR="00E21969" w:rsidRPr="00240E45" w14:paraId="0270884F" w14:textId="77777777" w:rsidTr="00D81AEE">
        <w:trPr>
          <w:trHeight w:val="277"/>
          <w:jc w:val="center"/>
        </w:trPr>
        <w:tc>
          <w:tcPr>
            <w:tcW w:w="1481" w:type="dxa"/>
            <w:vMerge/>
            <w:tcBorders>
              <w:left w:val="single" w:sz="4" w:space="0" w:color="auto"/>
              <w:right w:val="single" w:sz="4" w:space="0" w:color="auto"/>
            </w:tcBorders>
            <w:shd w:val="clear" w:color="auto" w:fill="auto"/>
            <w:vAlign w:val="center"/>
          </w:tcPr>
          <w:p w14:paraId="05AC11B2" w14:textId="77777777" w:rsidR="00E21969" w:rsidRPr="00240E45" w:rsidRDefault="00E21969" w:rsidP="00E21969">
            <w:pPr>
              <w:spacing w:after="0" w:line="240" w:lineRule="auto"/>
              <w:jc w:val="center"/>
              <w:rPr>
                <w:sz w:val="18"/>
                <w:szCs w:val="20"/>
              </w:rPr>
            </w:pPr>
          </w:p>
        </w:tc>
        <w:tc>
          <w:tcPr>
            <w:tcW w:w="6755" w:type="dxa"/>
            <w:tcBorders>
              <w:top w:val="single" w:sz="4" w:space="0" w:color="auto"/>
              <w:left w:val="single" w:sz="4" w:space="0" w:color="auto"/>
              <w:bottom w:val="single" w:sz="4" w:space="0" w:color="auto"/>
              <w:right w:val="single" w:sz="4" w:space="0" w:color="auto"/>
            </w:tcBorders>
            <w:shd w:val="clear" w:color="auto" w:fill="auto"/>
            <w:vAlign w:val="center"/>
          </w:tcPr>
          <w:p w14:paraId="352F7C95" w14:textId="2AF58D35" w:rsidR="00E21969" w:rsidRPr="00240E45" w:rsidRDefault="001416AF" w:rsidP="00E21969">
            <w:pPr>
              <w:spacing w:after="0" w:line="240" w:lineRule="auto"/>
              <w:rPr>
                <w:rFonts w:ascii="Calibri" w:hAnsi="Calibri" w:cs="Calibri"/>
                <w:color w:val="000000"/>
                <w:sz w:val="18"/>
                <w:szCs w:val="20"/>
              </w:rPr>
            </w:pPr>
            <w:r w:rsidRPr="00240E45">
              <w:rPr>
                <w:rFonts w:ascii="Calibri" w:hAnsi="Calibri" w:cs="Calibri"/>
                <w:color w:val="000000"/>
                <w:sz w:val="18"/>
                <w:szCs w:val="20"/>
              </w:rPr>
              <w:t>Promedio de artículos publicados en revistas indexadas en Elsevier Scopus entre el número de académicos.</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79CB2C54" w14:textId="673DF6AE" w:rsidR="00E21969" w:rsidRPr="00240E45" w:rsidRDefault="00E21969" w:rsidP="006F5E71">
            <w:pPr>
              <w:spacing w:after="0" w:line="240" w:lineRule="auto"/>
              <w:jc w:val="center"/>
              <w:rPr>
                <w:sz w:val="18"/>
                <w:szCs w:val="20"/>
              </w:rPr>
            </w:pPr>
            <w:r w:rsidRPr="00240E45">
              <w:rPr>
                <w:rFonts w:ascii="Calibri" w:hAnsi="Calibri" w:cs="Calibri"/>
                <w:color w:val="000000"/>
                <w:sz w:val="18"/>
                <w:szCs w:val="18"/>
              </w:rPr>
              <w:t>6%</w:t>
            </w:r>
          </w:p>
        </w:tc>
      </w:tr>
      <w:tr w:rsidR="00E21969" w:rsidRPr="00240E45" w14:paraId="2F6674E9" w14:textId="77777777" w:rsidTr="00D81AEE">
        <w:trPr>
          <w:trHeight w:val="277"/>
          <w:jc w:val="center"/>
        </w:trPr>
        <w:tc>
          <w:tcPr>
            <w:tcW w:w="1481" w:type="dxa"/>
            <w:vMerge/>
            <w:tcBorders>
              <w:left w:val="single" w:sz="4" w:space="0" w:color="auto"/>
              <w:bottom w:val="single" w:sz="4" w:space="0" w:color="auto"/>
              <w:right w:val="single" w:sz="4" w:space="0" w:color="auto"/>
            </w:tcBorders>
            <w:shd w:val="clear" w:color="auto" w:fill="auto"/>
            <w:vAlign w:val="center"/>
          </w:tcPr>
          <w:p w14:paraId="68293C7D" w14:textId="77777777" w:rsidR="00E21969" w:rsidRPr="00240E45" w:rsidRDefault="00E21969" w:rsidP="00E21969">
            <w:pPr>
              <w:spacing w:after="0" w:line="240" w:lineRule="auto"/>
              <w:jc w:val="center"/>
              <w:rPr>
                <w:sz w:val="18"/>
                <w:szCs w:val="20"/>
              </w:rPr>
            </w:pPr>
          </w:p>
        </w:tc>
        <w:tc>
          <w:tcPr>
            <w:tcW w:w="6755" w:type="dxa"/>
            <w:tcBorders>
              <w:top w:val="single" w:sz="4" w:space="0" w:color="auto"/>
              <w:left w:val="single" w:sz="4" w:space="0" w:color="auto"/>
              <w:bottom w:val="single" w:sz="4" w:space="0" w:color="auto"/>
              <w:right w:val="single" w:sz="4" w:space="0" w:color="auto"/>
            </w:tcBorders>
            <w:shd w:val="clear" w:color="auto" w:fill="auto"/>
            <w:vAlign w:val="center"/>
          </w:tcPr>
          <w:p w14:paraId="11026633" w14:textId="7406FE55" w:rsidR="001416AF" w:rsidRPr="00240E45" w:rsidRDefault="001416AF" w:rsidP="001416AF">
            <w:pPr>
              <w:spacing w:after="0" w:line="240" w:lineRule="auto"/>
              <w:rPr>
                <w:sz w:val="18"/>
                <w:szCs w:val="20"/>
              </w:rPr>
            </w:pPr>
            <w:r w:rsidRPr="00240E45">
              <w:rPr>
                <w:rFonts w:ascii="Calibri" w:hAnsi="Calibri" w:cs="Calibri"/>
                <w:color w:val="000000"/>
                <w:sz w:val="18"/>
                <w:szCs w:val="20"/>
              </w:rPr>
              <w:t>Financiamiento para investigación entre número de académicos.</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24175D63" w14:textId="1B53D8FA" w:rsidR="00E21969" w:rsidRPr="00240E45" w:rsidRDefault="00E21969" w:rsidP="006F5E71">
            <w:pPr>
              <w:spacing w:after="0" w:line="240" w:lineRule="auto"/>
              <w:jc w:val="center"/>
              <w:rPr>
                <w:sz w:val="18"/>
                <w:szCs w:val="20"/>
              </w:rPr>
            </w:pPr>
            <w:r w:rsidRPr="00240E45">
              <w:rPr>
                <w:rFonts w:ascii="Calibri" w:hAnsi="Calibri" w:cs="Calibri"/>
                <w:color w:val="000000"/>
                <w:sz w:val="18"/>
                <w:szCs w:val="18"/>
              </w:rPr>
              <w:t>6%</w:t>
            </w:r>
          </w:p>
        </w:tc>
      </w:tr>
      <w:tr w:rsidR="00E21969" w:rsidRPr="00240E45" w14:paraId="7BF80080" w14:textId="77777777" w:rsidTr="00D81AEE">
        <w:trPr>
          <w:trHeight w:val="277"/>
          <w:jc w:val="center"/>
        </w:trPr>
        <w:tc>
          <w:tcPr>
            <w:tcW w:w="1481" w:type="dxa"/>
            <w:vMerge w:val="restart"/>
            <w:tcBorders>
              <w:top w:val="single" w:sz="4" w:space="0" w:color="auto"/>
              <w:left w:val="single" w:sz="4" w:space="0" w:color="auto"/>
              <w:right w:val="single" w:sz="4" w:space="0" w:color="auto"/>
            </w:tcBorders>
            <w:shd w:val="clear" w:color="auto" w:fill="auto"/>
            <w:vAlign w:val="center"/>
          </w:tcPr>
          <w:p w14:paraId="3C4BB6A1" w14:textId="77777777" w:rsidR="00E21969" w:rsidRPr="00240E45" w:rsidRDefault="00E21969" w:rsidP="00E21969">
            <w:pPr>
              <w:spacing w:after="0" w:line="240" w:lineRule="auto"/>
              <w:jc w:val="center"/>
              <w:rPr>
                <w:rFonts w:ascii="Calibri" w:hAnsi="Calibri" w:cs="Calibri"/>
                <w:color w:val="000000"/>
                <w:sz w:val="18"/>
                <w:szCs w:val="18"/>
              </w:rPr>
            </w:pPr>
            <w:r w:rsidRPr="00240E45">
              <w:rPr>
                <w:rFonts w:ascii="Calibri" w:hAnsi="Calibri" w:cs="Calibri"/>
                <w:b/>
                <w:bCs/>
                <w:color w:val="000000"/>
                <w:sz w:val="18"/>
                <w:szCs w:val="20"/>
              </w:rPr>
              <w:t>Perspectiva internacional</w:t>
            </w:r>
            <w:r w:rsidRPr="00240E45">
              <w:rPr>
                <w:rFonts w:ascii="Calibri" w:hAnsi="Calibri" w:cs="Calibri"/>
                <w:color w:val="000000"/>
                <w:sz w:val="18"/>
                <w:szCs w:val="18"/>
              </w:rPr>
              <w:t xml:space="preserve"> </w:t>
            </w:r>
          </w:p>
          <w:p w14:paraId="33126FF7" w14:textId="3FAA0166" w:rsidR="00E21969" w:rsidRPr="00240E45" w:rsidRDefault="00E21969" w:rsidP="00E21969">
            <w:pPr>
              <w:spacing w:after="0" w:line="240" w:lineRule="auto"/>
              <w:jc w:val="center"/>
              <w:rPr>
                <w:sz w:val="18"/>
                <w:szCs w:val="20"/>
              </w:rPr>
            </w:pPr>
            <w:r w:rsidRPr="00240E45">
              <w:rPr>
                <w:rFonts w:ascii="Calibri" w:hAnsi="Calibri" w:cs="Calibri"/>
                <w:color w:val="000000"/>
                <w:sz w:val="18"/>
                <w:szCs w:val="18"/>
              </w:rPr>
              <w:t>(7.5%)</w:t>
            </w:r>
          </w:p>
        </w:tc>
        <w:tc>
          <w:tcPr>
            <w:tcW w:w="6755" w:type="dxa"/>
            <w:tcBorders>
              <w:top w:val="single" w:sz="4" w:space="0" w:color="auto"/>
              <w:left w:val="single" w:sz="4" w:space="0" w:color="auto"/>
              <w:bottom w:val="single" w:sz="4" w:space="0" w:color="auto"/>
              <w:right w:val="single" w:sz="4" w:space="0" w:color="auto"/>
            </w:tcBorders>
            <w:shd w:val="clear" w:color="auto" w:fill="auto"/>
            <w:vAlign w:val="center"/>
          </w:tcPr>
          <w:p w14:paraId="655E2BC6" w14:textId="564E4AFB" w:rsidR="00E21969" w:rsidRPr="00240E45" w:rsidRDefault="00E21969" w:rsidP="00E21969">
            <w:pPr>
              <w:spacing w:after="0" w:line="240" w:lineRule="auto"/>
              <w:rPr>
                <w:sz w:val="18"/>
                <w:szCs w:val="20"/>
              </w:rPr>
            </w:pPr>
            <w:r w:rsidRPr="00240E45">
              <w:rPr>
                <w:rFonts w:ascii="Calibri" w:hAnsi="Calibri" w:cs="Calibri"/>
                <w:color w:val="000000"/>
                <w:sz w:val="18"/>
                <w:szCs w:val="20"/>
              </w:rPr>
              <w:t>Proporción de académicos internacionales entre académicos nacionales</w:t>
            </w:r>
            <w:r w:rsidR="00676347" w:rsidRPr="00240E45">
              <w:rPr>
                <w:rFonts w:ascii="Calibri" w:hAnsi="Calibri" w:cs="Calibri"/>
                <w:color w:val="000000"/>
                <w:sz w:val="18"/>
                <w:szCs w:val="20"/>
              </w:rPr>
              <w:t>.</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68C22AFC" w14:textId="1BB4C058" w:rsidR="00E21969" w:rsidRPr="00240E45" w:rsidRDefault="00E21969" w:rsidP="006F5E71">
            <w:pPr>
              <w:spacing w:after="0" w:line="240" w:lineRule="auto"/>
              <w:jc w:val="center"/>
              <w:rPr>
                <w:sz w:val="18"/>
                <w:szCs w:val="20"/>
              </w:rPr>
            </w:pPr>
            <w:r w:rsidRPr="00240E45">
              <w:rPr>
                <w:rFonts w:ascii="Calibri" w:hAnsi="Calibri" w:cs="Calibri"/>
                <w:color w:val="000000"/>
                <w:sz w:val="18"/>
                <w:szCs w:val="20"/>
              </w:rPr>
              <w:t>2.5%</w:t>
            </w:r>
          </w:p>
        </w:tc>
      </w:tr>
      <w:tr w:rsidR="00E21969" w:rsidRPr="00240E45" w14:paraId="2F742AB4" w14:textId="77777777" w:rsidTr="00D81AEE">
        <w:trPr>
          <w:trHeight w:val="277"/>
          <w:jc w:val="center"/>
        </w:trPr>
        <w:tc>
          <w:tcPr>
            <w:tcW w:w="1481" w:type="dxa"/>
            <w:vMerge/>
            <w:tcBorders>
              <w:left w:val="single" w:sz="4" w:space="0" w:color="auto"/>
              <w:right w:val="single" w:sz="4" w:space="0" w:color="auto"/>
            </w:tcBorders>
            <w:shd w:val="clear" w:color="auto" w:fill="auto"/>
            <w:vAlign w:val="center"/>
          </w:tcPr>
          <w:p w14:paraId="6216C9F1" w14:textId="77777777" w:rsidR="00E21969" w:rsidRPr="00240E45" w:rsidRDefault="00E21969" w:rsidP="00E21969">
            <w:pPr>
              <w:spacing w:after="0" w:line="240" w:lineRule="auto"/>
              <w:jc w:val="center"/>
              <w:rPr>
                <w:sz w:val="18"/>
                <w:szCs w:val="20"/>
              </w:rPr>
            </w:pPr>
          </w:p>
        </w:tc>
        <w:tc>
          <w:tcPr>
            <w:tcW w:w="6755" w:type="dxa"/>
            <w:tcBorders>
              <w:top w:val="single" w:sz="4" w:space="0" w:color="auto"/>
              <w:left w:val="single" w:sz="4" w:space="0" w:color="auto"/>
              <w:bottom w:val="single" w:sz="4" w:space="0" w:color="auto"/>
              <w:right w:val="single" w:sz="4" w:space="0" w:color="auto"/>
            </w:tcBorders>
            <w:shd w:val="clear" w:color="auto" w:fill="auto"/>
            <w:vAlign w:val="center"/>
          </w:tcPr>
          <w:p w14:paraId="1F4E1C63" w14:textId="0043B56E" w:rsidR="00E21969" w:rsidRPr="00240E45" w:rsidRDefault="00E21969" w:rsidP="00E21969">
            <w:pPr>
              <w:spacing w:after="0" w:line="240" w:lineRule="auto"/>
              <w:rPr>
                <w:sz w:val="18"/>
                <w:szCs w:val="20"/>
              </w:rPr>
            </w:pPr>
            <w:r w:rsidRPr="00240E45">
              <w:rPr>
                <w:rFonts w:ascii="Calibri" w:hAnsi="Calibri" w:cs="Calibri"/>
                <w:color w:val="000000"/>
                <w:sz w:val="18"/>
                <w:szCs w:val="20"/>
              </w:rPr>
              <w:t>Proporción de estudiantes internacionales entre estudiantes nacionales</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12A3C2C8" w14:textId="4093FF0C" w:rsidR="00E21969" w:rsidRPr="00240E45" w:rsidRDefault="00E21969" w:rsidP="006F5E71">
            <w:pPr>
              <w:spacing w:after="0" w:line="240" w:lineRule="auto"/>
              <w:jc w:val="center"/>
              <w:rPr>
                <w:sz w:val="18"/>
                <w:szCs w:val="20"/>
              </w:rPr>
            </w:pPr>
            <w:r w:rsidRPr="00240E45">
              <w:rPr>
                <w:rFonts w:ascii="Calibri" w:hAnsi="Calibri" w:cs="Calibri"/>
                <w:color w:val="000000"/>
                <w:sz w:val="18"/>
                <w:szCs w:val="20"/>
              </w:rPr>
              <w:t>2.5%</w:t>
            </w:r>
          </w:p>
        </w:tc>
      </w:tr>
      <w:tr w:rsidR="00E21969" w:rsidRPr="00240E45" w14:paraId="364BEA26" w14:textId="77777777" w:rsidTr="00D81AEE">
        <w:trPr>
          <w:trHeight w:val="66"/>
          <w:jc w:val="center"/>
        </w:trPr>
        <w:tc>
          <w:tcPr>
            <w:tcW w:w="1481" w:type="dxa"/>
            <w:vMerge/>
            <w:tcBorders>
              <w:left w:val="single" w:sz="4" w:space="0" w:color="auto"/>
              <w:bottom w:val="single" w:sz="4" w:space="0" w:color="auto"/>
              <w:right w:val="single" w:sz="4" w:space="0" w:color="auto"/>
            </w:tcBorders>
            <w:shd w:val="clear" w:color="auto" w:fill="auto"/>
            <w:vAlign w:val="center"/>
          </w:tcPr>
          <w:p w14:paraId="6879F39E" w14:textId="77777777" w:rsidR="00E21969" w:rsidRPr="00240E45" w:rsidRDefault="00E21969" w:rsidP="00E21969">
            <w:pPr>
              <w:spacing w:after="0" w:line="240" w:lineRule="auto"/>
              <w:jc w:val="center"/>
              <w:rPr>
                <w:sz w:val="18"/>
                <w:szCs w:val="20"/>
              </w:rPr>
            </w:pPr>
          </w:p>
        </w:tc>
        <w:tc>
          <w:tcPr>
            <w:tcW w:w="6755" w:type="dxa"/>
            <w:tcBorders>
              <w:top w:val="single" w:sz="4" w:space="0" w:color="auto"/>
              <w:left w:val="single" w:sz="4" w:space="0" w:color="auto"/>
              <w:bottom w:val="single" w:sz="4" w:space="0" w:color="auto"/>
              <w:right w:val="single" w:sz="4" w:space="0" w:color="auto"/>
            </w:tcBorders>
            <w:shd w:val="clear" w:color="auto" w:fill="auto"/>
            <w:vAlign w:val="center"/>
          </w:tcPr>
          <w:p w14:paraId="2983D4D5" w14:textId="444997B8" w:rsidR="00E21969" w:rsidRPr="00240E45" w:rsidRDefault="00E21969" w:rsidP="00E21969">
            <w:pPr>
              <w:spacing w:after="0" w:line="240" w:lineRule="auto"/>
              <w:rPr>
                <w:sz w:val="18"/>
                <w:szCs w:val="20"/>
              </w:rPr>
            </w:pPr>
            <w:r w:rsidRPr="00240E45">
              <w:rPr>
                <w:rFonts w:ascii="Calibri" w:hAnsi="Calibri" w:cs="Calibri"/>
                <w:color w:val="000000"/>
                <w:sz w:val="18"/>
                <w:szCs w:val="20"/>
              </w:rPr>
              <w:t>Proporción de artículos publicado</w:t>
            </w:r>
            <w:r w:rsidR="00676347" w:rsidRPr="00240E45">
              <w:rPr>
                <w:rFonts w:ascii="Calibri" w:hAnsi="Calibri" w:cs="Calibri"/>
                <w:color w:val="000000"/>
                <w:sz w:val="18"/>
                <w:szCs w:val="20"/>
              </w:rPr>
              <w:t>s con coautores internacionales.</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4188C074" w14:textId="55B1BBE0" w:rsidR="00E21969" w:rsidRPr="00240E45" w:rsidRDefault="00E21969" w:rsidP="006F5E71">
            <w:pPr>
              <w:spacing w:after="0" w:line="240" w:lineRule="auto"/>
              <w:jc w:val="center"/>
              <w:rPr>
                <w:sz w:val="18"/>
                <w:szCs w:val="20"/>
              </w:rPr>
            </w:pPr>
            <w:r w:rsidRPr="00240E45">
              <w:rPr>
                <w:rFonts w:ascii="Calibri" w:hAnsi="Calibri" w:cs="Calibri"/>
                <w:color w:val="000000"/>
                <w:sz w:val="18"/>
                <w:szCs w:val="20"/>
              </w:rPr>
              <w:t>2.5%</w:t>
            </w:r>
          </w:p>
        </w:tc>
      </w:tr>
      <w:tr w:rsidR="00E21969" w:rsidRPr="00240E45" w14:paraId="472E30C5" w14:textId="77777777" w:rsidTr="00D81AEE">
        <w:trPr>
          <w:trHeight w:val="277"/>
          <w:jc w:val="center"/>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tcPr>
          <w:p w14:paraId="471A8606" w14:textId="77777777" w:rsidR="00E21969" w:rsidRPr="00240E45" w:rsidRDefault="00E21969" w:rsidP="00E21969">
            <w:pPr>
              <w:spacing w:after="0" w:line="240" w:lineRule="auto"/>
              <w:jc w:val="center"/>
              <w:rPr>
                <w:rFonts w:ascii="Calibri" w:hAnsi="Calibri" w:cs="Calibri"/>
                <w:color w:val="000000"/>
                <w:sz w:val="18"/>
                <w:szCs w:val="18"/>
              </w:rPr>
            </w:pPr>
            <w:r w:rsidRPr="00240E45">
              <w:rPr>
                <w:rFonts w:ascii="Calibri" w:hAnsi="Calibri" w:cs="Calibri"/>
                <w:b/>
                <w:bCs/>
                <w:color w:val="000000"/>
                <w:sz w:val="18"/>
                <w:szCs w:val="20"/>
              </w:rPr>
              <w:t>Financiamiento de la industria</w:t>
            </w:r>
            <w:r w:rsidRPr="00240E45">
              <w:rPr>
                <w:rFonts w:ascii="Calibri" w:hAnsi="Calibri" w:cs="Calibri"/>
                <w:color w:val="000000"/>
                <w:sz w:val="18"/>
                <w:szCs w:val="18"/>
              </w:rPr>
              <w:t xml:space="preserve"> </w:t>
            </w:r>
          </w:p>
          <w:p w14:paraId="3177A12F" w14:textId="5F946C85" w:rsidR="00E21969" w:rsidRPr="00240E45" w:rsidRDefault="00E21969" w:rsidP="00E21969">
            <w:pPr>
              <w:spacing w:after="0" w:line="240" w:lineRule="auto"/>
              <w:jc w:val="center"/>
              <w:rPr>
                <w:sz w:val="18"/>
                <w:szCs w:val="20"/>
              </w:rPr>
            </w:pPr>
            <w:r w:rsidRPr="00240E45">
              <w:rPr>
                <w:rFonts w:ascii="Calibri" w:hAnsi="Calibri" w:cs="Calibri"/>
                <w:color w:val="000000"/>
                <w:sz w:val="18"/>
                <w:szCs w:val="18"/>
              </w:rPr>
              <w:t>(2.5%)</w:t>
            </w:r>
          </w:p>
        </w:tc>
        <w:tc>
          <w:tcPr>
            <w:tcW w:w="6755" w:type="dxa"/>
            <w:tcBorders>
              <w:top w:val="single" w:sz="4" w:space="0" w:color="auto"/>
              <w:left w:val="single" w:sz="4" w:space="0" w:color="auto"/>
              <w:bottom w:val="single" w:sz="4" w:space="0" w:color="auto"/>
              <w:right w:val="single" w:sz="4" w:space="0" w:color="auto"/>
            </w:tcBorders>
            <w:shd w:val="clear" w:color="auto" w:fill="auto"/>
            <w:vAlign w:val="center"/>
          </w:tcPr>
          <w:p w14:paraId="556F5FBD" w14:textId="0F909D88" w:rsidR="00E21969" w:rsidRPr="00240E45" w:rsidRDefault="00E21969" w:rsidP="001416AF">
            <w:pPr>
              <w:spacing w:after="0" w:line="240" w:lineRule="auto"/>
              <w:rPr>
                <w:sz w:val="18"/>
                <w:szCs w:val="20"/>
              </w:rPr>
            </w:pPr>
            <w:r w:rsidRPr="00240E45">
              <w:rPr>
                <w:rFonts w:ascii="Calibri" w:hAnsi="Calibri" w:cs="Calibri"/>
                <w:color w:val="000000"/>
                <w:sz w:val="18"/>
                <w:szCs w:val="20"/>
              </w:rPr>
              <w:t>Financiamiento proveniente de la industria dedicado a la investigación entre el número de académicos</w:t>
            </w:r>
            <w:r w:rsidR="00676347" w:rsidRPr="00240E45">
              <w:rPr>
                <w:rFonts w:ascii="Calibri" w:hAnsi="Calibri" w:cs="Calibri"/>
                <w:color w:val="000000"/>
                <w:sz w:val="18"/>
                <w:szCs w:val="20"/>
              </w:rPr>
              <w:t>.</w:t>
            </w:r>
          </w:p>
        </w:tc>
        <w:tc>
          <w:tcPr>
            <w:tcW w:w="1031" w:type="dxa"/>
            <w:tcBorders>
              <w:top w:val="single" w:sz="4" w:space="0" w:color="auto"/>
              <w:left w:val="single" w:sz="4" w:space="0" w:color="auto"/>
              <w:bottom w:val="single" w:sz="4" w:space="0" w:color="auto"/>
              <w:right w:val="single" w:sz="4" w:space="0" w:color="auto"/>
            </w:tcBorders>
            <w:shd w:val="clear" w:color="auto" w:fill="auto"/>
            <w:vAlign w:val="center"/>
          </w:tcPr>
          <w:p w14:paraId="2CB8C36E" w14:textId="4624EA61" w:rsidR="00E21969" w:rsidRPr="00240E45" w:rsidRDefault="00E21969" w:rsidP="006F5E71">
            <w:pPr>
              <w:spacing w:after="0" w:line="240" w:lineRule="auto"/>
              <w:jc w:val="center"/>
              <w:rPr>
                <w:sz w:val="18"/>
                <w:szCs w:val="20"/>
              </w:rPr>
            </w:pPr>
            <w:r w:rsidRPr="00240E45">
              <w:rPr>
                <w:rFonts w:ascii="Calibri" w:hAnsi="Calibri" w:cs="Calibri"/>
                <w:color w:val="000000"/>
                <w:sz w:val="18"/>
                <w:szCs w:val="20"/>
              </w:rPr>
              <w:t>2.5%</w:t>
            </w:r>
          </w:p>
        </w:tc>
      </w:tr>
      <w:tr w:rsidR="001416AF" w:rsidRPr="00240E45" w14:paraId="33E3AA99" w14:textId="77777777" w:rsidTr="00D81AEE">
        <w:trPr>
          <w:trHeight w:val="124"/>
          <w:jc w:val="center"/>
        </w:trPr>
        <w:tc>
          <w:tcPr>
            <w:tcW w:w="9268" w:type="dxa"/>
            <w:gridSpan w:val="3"/>
            <w:tcBorders>
              <w:top w:val="single" w:sz="4" w:space="0" w:color="auto"/>
            </w:tcBorders>
            <w:shd w:val="clear" w:color="auto" w:fill="auto"/>
            <w:vAlign w:val="center"/>
          </w:tcPr>
          <w:p w14:paraId="5E746F6E" w14:textId="085BC6E6" w:rsidR="001416AF" w:rsidRPr="00240E45" w:rsidRDefault="001416AF" w:rsidP="001416AF">
            <w:pPr>
              <w:spacing w:after="0" w:line="240" w:lineRule="auto"/>
              <w:rPr>
                <w:rFonts w:ascii="Calibri" w:hAnsi="Calibri" w:cs="Calibri"/>
                <w:color w:val="000000"/>
                <w:sz w:val="14"/>
                <w:szCs w:val="20"/>
              </w:rPr>
            </w:pPr>
            <w:r w:rsidRPr="00240E45">
              <w:rPr>
                <w:b/>
                <w:sz w:val="14"/>
              </w:rPr>
              <w:t xml:space="preserve">Nota: </w:t>
            </w:r>
            <w:r w:rsidRPr="00240E45">
              <w:rPr>
                <w:sz w:val="14"/>
              </w:rPr>
              <w:t>Todos</w:t>
            </w:r>
            <w:r w:rsidRPr="00240E45">
              <w:rPr>
                <w:b/>
                <w:sz w:val="14"/>
              </w:rPr>
              <w:t xml:space="preserve"> </w:t>
            </w:r>
            <w:r w:rsidRPr="00240E45">
              <w:rPr>
                <w:sz w:val="14"/>
              </w:rPr>
              <w:t>los indicadores que consideran el financiamiento y presupuesto han sido ajustados bajo la fórmula de la paridad de poder adquisitivo.</w:t>
            </w:r>
          </w:p>
        </w:tc>
      </w:tr>
    </w:tbl>
    <w:p w14:paraId="0713C1EF" w14:textId="77777777" w:rsidR="00556FA9" w:rsidRPr="00240E45" w:rsidRDefault="00556FA9" w:rsidP="00556FA9">
      <w:pPr>
        <w:spacing w:after="0"/>
        <w:rPr>
          <w:sz w:val="24"/>
        </w:rPr>
      </w:pPr>
    </w:p>
    <w:p w14:paraId="01248E7F" w14:textId="1AEBD862" w:rsidR="00236AB1" w:rsidRPr="00240E45" w:rsidRDefault="00236AB1" w:rsidP="00236AB1">
      <w:pPr>
        <w:pStyle w:val="Prrafodelista"/>
        <w:numPr>
          <w:ilvl w:val="0"/>
          <w:numId w:val="1"/>
        </w:numPr>
        <w:spacing w:after="0" w:line="240" w:lineRule="auto"/>
        <w:jc w:val="both"/>
        <w:rPr>
          <w:sz w:val="24"/>
        </w:rPr>
      </w:pPr>
      <w:r w:rsidRPr="00240E45">
        <w:rPr>
          <w:sz w:val="24"/>
        </w:rPr>
        <w:t>Todos los puntajes del ranking se encuentran normalizados al 100% con respecto a las universidades con mejor desempeño en cada indicador.</w:t>
      </w:r>
    </w:p>
    <w:p w14:paraId="3F160D1D" w14:textId="77777777" w:rsidR="001D3CCF" w:rsidRPr="00240E45" w:rsidRDefault="001D3CCF" w:rsidP="001D3CCF">
      <w:pPr>
        <w:pStyle w:val="Prrafodelista"/>
        <w:spacing w:after="0" w:line="240" w:lineRule="auto"/>
        <w:jc w:val="both"/>
        <w:rPr>
          <w:sz w:val="24"/>
        </w:rPr>
      </w:pPr>
    </w:p>
    <w:p w14:paraId="012EBAD7" w14:textId="76D2088B" w:rsidR="001D3CCF" w:rsidRPr="00240E45" w:rsidRDefault="009A4E37" w:rsidP="001D3CCF">
      <w:pPr>
        <w:pStyle w:val="Prrafodelista"/>
        <w:numPr>
          <w:ilvl w:val="0"/>
          <w:numId w:val="1"/>
        </w:numPr>
        <w:spacing w:after="0" w:line="240" w:lineRule="auto"/>
        <w:jc w:val="both"/>
        <w:rPr>
          <w:sz w:val="24"/>
        </w:rPr>
      </w:pPr>
      <w:r w:rsidRPr="00240E45">
        <w:rPr>
          <w:sz w:val="24"/>
        </w:rPr>
        <w:t xml:space="preserve">Es necesario aclarar que este ranking </w:t>
      </w:r>
      <w:r w:rsidR="001D3CCF" w:rsidRPr="00240E45">
        <w:rPr>
          <w:sz w:val="24"/>
        </w:rPr>
        <w:t>ha variado el nombre del año de publicación del ranking mundial, el cual puede apreciarse a continuación:</w:t>
      </w:r>
    </w:p>
    <w:p w14:paraId="45105960" w14:textId="30CCC350" w:rsidR="005B3D9A" w:rsidRPr="00240E45" w:rsidRDefault="005B3D9A" w:rsidP="00EA753F">
      <w:pPr>
        <w:spacing w:after="0"/>
        <w:rPr>
          <w:b/>
          <w:sz w:val="24"/>
        </w:rPr>
      </w:pPr>
    </w:p>
    <w:p w14:paraId="12D2C28A" w14:textId="77777777" w:rsidR="004D3A44" w:rsidRPr="00240E45" w:rsidRDefault="004D3A44" w:rsidP="00EA753F">
      <w:pPr>
        <w:spacing w:after="0"/>
        <w:rPr>
          <w:b/>
          <w:sz w:val="24"/>
        </w:rPr>
      </w:pPr>
    </w:p>
    <w:tbl>
      <w:tblPr>
        <w:tblW w:w="4300" w:type="dxa"/>
        <w:jc w:val="center"/>
        <w:tblLayout w:type="fixed"/>
        <w:tblCellMar>
          <w:left w:w="70" w:type="dxa"/>
          <w:right w:w="70" w:type="dxa"/>
        </w:tblCellMar>
        <w:tblLook w:val="04A0" w:firstRow="1" w:lastRow="0" w:firstColumn="1" w:lastColumn="0" w:noHBand="0" w:noVBand="1"/>
      </w:tblPr>
      <w:tblGrid>
        <w:gridCol w:w="2150"/>
        <w:gridCol w:w="2150"/>
      </w:tblGrid>
      <w:tr w:rsidR="00922309" w:rsidRPr="00240E45" w14:paraId="3A6B9FC7" w14:textId="77777777" w:rsidTr="00922309">
        <w:trPr>
          <w:trHeight w:val="56"/>
          <w:jc w:val="center"/>
        </w:trPr>
        <w:tc>
          <w:tcPr>
            <w:tcW w:w="4300" w:type="dxa"/>
            <w:gridSpan w:val="2"/>
            <w:tcBorders>
              <w:top w:val="nil"/>
              <w:left w:val="nil"/>
              <w:bottom w:val="nil"/>
              <w:right w:val="nil"/>
            </w:tcBorders>
            <w:shd w:val="clear" w:color="auto" w:fill="auto"/>
            <w:vAlign w:val="center"/>
            <w:hideMark/>
          </w:tcPr>
          <w:p w14:paraId="59B97288" w14:textId="48FAAE9D" w:rsidR="00922309" w:rsidRPr="00240E45" w:rsidRDefault="00922309" w:rsidP="00764699">
            <w:pPr>
              <w:spacing w:after="0" w:line="240" w:lineRule="auto"/>
              <w:jc w:val="center"/>
              <w:rPr>
                <w:rFonts w:ascii="Calibri" w:eastAsia="Times New Roman" w:hAnsi="Calibri" w:cs="Calibri"/>
                <w:b/>
                <w:bCs/>
                <w:color w:val="050505"/>
                <w:sz w:val="20"/>
                <w:szCs w:val="20"/>
                <w:lang w:eastAsia="es-MX"/>
              </w:rPr>
            </w:pPr>
            <w:r w:rsidRPr="00240E45">
              <w:rPr>
                <w:rFonts w:ascii="Calibri" w:eastAsia="Times New Roman" w:hAnsi="Calibri" w:cs="Times New Roman"/>
                <w:b/>
                <w:color w:val="050505"/>
                <w:sz w:val="20"/>
                <w:szCs w:val="24"/>
                <w:lang w:eastAsia="es-MX"/>
              </w:rPr>
              <w:lastRenderedPageBreak/>
              <w:t>Tabla 1. Variación en los nombres del THE ranking mundial, 201</w:t>
            </w:r>
            <w:r w:rsidR="00764699" w:rsidRPr="00240E45">
              <w:rPr>
                <w:rFonts w:ascii="Calibri" w:eastAsia="Times New Roman" w:hAnsi="Calibri" w:cs="Times New Roman"/>
                <w:b/>
                <w:color w:val="050505"/>
                <w:sz w:val="20"/>
                <w:szCs w:val="24"/>
                <w:lang w:eastAsia="es-MX"/>
              </w:rPr>
              <w:t>5</w:t>
            </w:r>
            <w:r w:rsidRPr="00240E45">
              <w:rPr>
                <w:rFonts w:ascii="Calibri" w:eastAsia="Times New Roman" w:hAnsi="Calibri" w:cs="Times New Roman"/>
                <w:b/>
                <w:color w:val="050505"/>
                <w:sz w:val="20"/>
                <w:szCs w:val="24"/>
                <w:lang w:eastAsia="es-MX"/>
              </w:rPr>
              <w:t>-2019.</w:t>
            </w:r>
          </w:p>
        </w:tc>
      </w:tr>
      <w:tr w:rsidR="00922309" w:rsidRPr="00240E45" w14:paraId="498ACF07" w14:textId="77777777" w:rsidTr="00922309">
        <w:trPr>
          <w:trHeight w:val="221"/>
          <w:jc w:val="center"/>
        </w:trPr>
        <w:tc>
          <w:tcPr>
            <w:tcW w:w="2150" w:type="dxa"/>
            <w:tcBorders>
              <w:top w:val="single" w:sz="4" w:space="0" w:color="auto"/>
              <w:left w:val="single" w:sz="4" w:space="0" w:color="auto"/>
              <w:bottom w:val="single" w:sz="4" w:space="0" w:color="auto"/>
              <w:right w:val="single" w:sz="4" w:space="0" w:color="auto"/>
            </w:tcBorders>
            <w:shd w:val="clear" w:color="000000" w:fill="BDD6EE"/>
            <w:vAlign w:val="center"/>
            <w:hideMark/>
          </w:tcPr>
          <w:p w14:paraId="4DDD5D00" w14:textId="4230DF9D" w:rsidR="00922309" w:rsidRPr="00240E45" w:rsidRDefault="00922309" w:rsidP="00922309">
            <w:pPr>
              <w:spacing w:after="0" w:line="240" w:lineRule="auto"/>
              <w:jc w:val="center"/>
              <w:rPr>
                <w:rFonts w:ascii="Calibri" w:eastAsia="Times New Roman" w:hAnsi="Calibri" w:cs="Calibri"/>
                <w:b/>
                <w:bCs/>
                <w:color w:val="000000"/>
                <w:sz w:val="18"/>
                <w:szCs w:val="18"/>
                <w:lang w:eastAsia="es-MX"/>
              </w:rPr>
            </w:pPr>
            <w:r w:rsidRPr="00240E45">
              <w:rPr>
                <w:rFonts w:ascii="Calibri" w:eastAsia="Times New Roman" w:hAnsi="Calibri" w:cs="Calibri"/>
                <w:b/>
                <w:bCs/>
                <w:color w:val="000000"/>
                <w:sz w:val="18"/>
                <w:szCs w:val="18"/>
                <w:lang w:eastAsia="es-MX"/>
              </w:rPr>
              <w:t>Año</w:t>
            </w:r>
            <w:r w:rsidR="00A377E6" w:rsidRPr="00240E45">
              <w:rPr>
                <w:rFonts w:ascii="Calibri" w:eastAsia="Times New Roman" w:hAnsi="Calibri" w:cs="Calibri"/>
                <w:b/>
                <w:bCs/>
                <w:color w:val="000000"/>
                <w:sz w:val="18"/>
                <w:szCs w:val="18"/>
                <w:lang w:eastAsia="es-MX"/>
              </w:rPr>
              <w:t xml:space="preserve"> de publicación</w:t>
            </w:r>
          </w:p>
        </w:tc>
        <w:tc>
          <w:tcPr>
            <w:tcW w:w="2150" w:type="dxa"/>
            <w:tcBorders>
              <w:top w:val="single" w:sz="4" w:space="0" w:color="auto"/>
              <w:left w:val="nil"/>
              <w:bottom w:val="single" w:sz="4" w:space="0" w:color="auto"/>
              <w:right w:val="single" w:sz="4" w:space="0" w:color="auto"/>
            </w:tcBorders>
            <w:shd w:val="clear" w:color="000000" w:fill="BDD6EE"/>
            <w:vAlign w:val="center"/>
            <w:hideMark/>
          </w:tcPr>
          <w:p w14:paraId="40459C52" w14:textId="4B87BB78" w:rsidR="00922309" w:rsidRPr="00240E45" w:rsidRDefault="00922309" w:rsidP="00922309">
            <w:pPr>
              <w:spacing w:after="0" w:line="240" w:lineRule="auto"/>
              <w:jc w:val="center"/>
              <w:rPr>
                <w:rFonts w:ascii="Calibri" w:eastAsia="Times New Roman" w:hAnsi="Calibri" w:cs="Calibri"/>
                <w:b/>
                <w:bCs/>
                <w:color w:val="000000"/>
                <w:sz w:val="18"/>
                <w:szCs w:val="18"/>
                <w:lang w:eastAsia="es-MX"/>
              </w:rPr>
            </w:pPr>
            <w:r w:rsidRPr="00240E45">
              <w:rPr>
                <w:rFonts w:ascii="Calibri" w:eastAsia="Times New Roman" w:hAnsi="Calibri" w:cs="Calibri"/>
                <w:b/>
                <w:bCs/>
                <w:color w:val="000000"/>
                <w:sz w:val="18"/>
                <w:szCs w:val="18"/>
                <w:lang w:eastAsia="es-MX"/>
              </w:rPr>
              <w:t>Nombre</w:t>
            </w:r>
            <w:r w:rsidR="00A377E6" w:rsidRPr="00240E45">
              <w:rPr>
                <w:rFonts w:ascii="Calibri" w:eastAsia="Times New Roman" w:hAnsi="Calibri" w:cs="Calibri"/>
                <w:b/>
                <w:bCs/>
                <w:color w:val="000000"/>
                <w:sz w:val="18"/>
                <w:szCs w:val="18"/>
                <w:lang w:eastAsia="es-MX"/>
              </w:rPr>
              <w:t xml:space="preserve"> de publicación</w:t>
            </w:r>
          </w:p>
        </w:tc>
      </w:tr>
      <w:tr w:rsidR="00922309" w:rsidRPr="00240E45" w14:paraId="1904D2BB" w14:textId="77777777" w:rsidTr="00922309">
        <w:trPr>
          <w:trHeight w:val="281"/>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00A146DE" w14:textId="77777777" w:rsidR="00922309" w:rsidRPr="00240E45" w:rsidRDefault="00922309" w:rsidP="00922309">
            <w:pPr>
              <w:spacing w:after="0" w:line="240" w:lineRule="auto"/>
              <w:jc w:val="center"/>
              <w:rPr>
                <w:rFonts w:ascii="Calibri" w:eastAsia="Times New Roman" w:hAnsi="Calibri" w:cs="Calibri"/>
                <w:color w:val="000000"/>
                <w:lang w:eastAsia="es-MX"/>
              </w:rPr>
            </w:pPr>
            <w:r w:rsidRPr="00240E45">
              <w:rPr>
                <w:rFonts w:ascii="Calibri" w:eastAsia="Times New Roman" w:hAnsi="Calibri" w:cs="Calibri"/>
                <w:color w:val="000000"/>
                <w:lang w:eastAsia="es-MX"/>
              </w:rPr>
              <w:t>2015</w:t>
            </w:r>
          </w:p>
        </w:tc>
        <w:tc>
          <w:tcPr>
            <w:tcW w:w="2150" w:type="dxa"/>
            <w:tcBorders>
              <w:top w:val="nil"/>
              <w:left w:val="nil"/>
              <w:bottom w:val="single" w:sz="4" w:space="0" w:color="auto"/>
              <w:right w:val="single" w:sz="4" w:space="0" w:color="auto"/>
            </w:tcBorders>
            <w:shd w:val="clear" w:color="auto" w:fill="auto"/>
            <w:noWrap/>
            <w:vAlign w:val="bottom"/>
            <w:hideMark/>
          </w:tcPr>
          <w:p w14:paraId="4628745C" w14:textId="77777777" w:rsidR="00922309" w:rsidRPr="00240E45" w:rsidRDefault="00922309" w:rsidP="00922309">
            <w:pPr>
              <w:spacing w:after="0" w:line="240" w:lineRule="auto"/>
              <w:jc w:val="center"/>
              <w:rPr>
                <w:rFonts w:ascii="Calibri" w:eastAsia="Times New Roman" w:hAnsi="Calibri" w:cs="Calibri"/>
                <w:color w:val="000000"/>
                <w:lang w:eastAsia="es-MX"/>
              </w:rPr>
            </w:pPr>
            <w:r w:rsidRPr="00240E45">
              <w:rPr>
                <w:rFonts w:ascii="Calibri" w:eastAsia="Times New Roman" w:hAnsi="Calibri" w:cs="Calibri"/>
                <w:color w:val="000000"/>
                <w:lang w:eastAsia="es-MX"/>
              </w:rPr>
              <w:t>2015-2016</w:t>
            </w:r>
          </w:p>
        </w:tc>
      </w:tr>
      <w:tr w:rsidR="00922309" w:rsidRPr="00240E45" w14:paraId="4FDBB034" w14:textId="77777777" w:rsidTr="00922309">
        <w:trPr>
          <w:trHeight w:val="281"/>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6914FEB0" w14:textId="77777777" w:rsidR="00922309" w:rsidRPr="00240E45" w:rsidRDefault="00922309" w:rsidP="00922309">
            <w:pPr>
              <w:spacing w:after="0" w:line="240" w:lineRule="auto"/>
              <w:jc w:val="center"/>
              <w:rPr>
                <w:rFonts w:ascii="Calibri" w:eastAsia="Times New Roman" w:hAnsi="Calibri" w:cs="Calibri"/>
                <w:color w:val="000000"/>
                <w:lang w:eastAsia="es-MX"/>
              </w:rPr>
            </w:pPr>
            <w:r w:rsidRPr="00240E45">
              <w:rPr>
                <w:rFonts w:ascii="Calibri" w:eastAsia="Times New Roman" w:hAnsi="Calibri" w:cs="Calibri"/>
                <w:color w:val="000000"/>
                <w:lang w:eastAsia="es-MX"/>
              </w:rPr>
              <w:t>2016</w:t>
            </w:r>
          </w:p>
        </w:tc>
        <w:tc>
          <w:tcPr>
            <w:tcW w:w="2150" w:type="dxa"/>
            <w:tcBorders>
              <w:top w:val="nil"/>
              <w:left w:val="nil"/>
              <w:bottom w:val="single" w:sz="4" w:space="0" w:color="auto"/>
              <w:right w:val="single" w:sz="4" w:space="0" w:color="auto"/>
            </w:tcBorders>
            <w:shd w:val="clear" w:color="auto" w:fill="auto"/>
            <w:noWrap/>
            <w:vAlign w:val="bottom"/>
            <w:hideMark/>
          </w:tcPr>
          <w:p w14:paraId="657B8CF6" w14:textId="77777777" w:rsidR="00922309" w:rsidRPr="00240E45" w:rsidRDefault="00922309" w:rsidP="00922309">
            <w:pPr>
              <w:spacing w:after="0" w:line="240" w:lineRule="auto"/>
              <w:jc w:val="center"/>
              <w:rPr>
                <w:rFonts w:ascii="Calibri" w:eastAsia="Times New Roman" w:hAnsi="Calibri" w:cs="Calibri"/>
                <w:color w:val="000000"/>
                <w:lang w:eastAsia="es-MX"/>
              </w:rPr>
            </w:pPr>
            <w:r w:rsidRPr="00240E45">
              <w:rPr>
                <w:rFonts w:ascii="Calibri" w:eastAsia="Times New Roman" w:hAnsi="Calibri" w:cs="Calibri"/>
                <w:color w:val="000000"/>
                <w:lang w:eastAsia="es-MX"/>
              </w:rPr>
              <w:t>2016-2017</w:t>
            </w:r>
          </w:p>
        </w:tc>
      </w:tr>
      <w:tr w:rsidR="00922309" w:rsidRPr="00240E45" w14:paraId="3D84C21B" w14:textId="77777777" w:rsidTr="00922309">
        <w:trPr>
          <w:trHeight w:val="281"/>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3A0397E1" w14:textId="77777777" w:rsidR="00922309" w:rsidRPr="00240E45" w:rsidRDefault="00922309" w:rsidP="00922309">
            <w:pPr>
              <w:spacing w:after="0" w:line="240" w:lineRule="auto"/>
              <w:jc w:val="center"/>
              <w:rPr>
                <w:rFonts w:ascii="Calibri" w:eastAsia="Times New Roman" w:hAnsi="Calibri" w:cs="Calibri"/>
                <w:color w:val="000000"/>
                <w:lang w:eastAsia="es-MX"/>
              </w:rPr>
            </w:pPr>
            <w:r w:rsidRPr="00240E45">
              <w:rPr>
                <w:rFonts w:ascii="Calibri" w:eastAsia="Times New Roman" w:hAnsi="Calibri" w:cs="Calibri"/>
                <w:color w:val="000000"/>
                <w:lang w:eastAsia="es-MX"/>
              </w:rPr>
              <w:t>2017</w:t>
            </w:r>
          </w:p>
        </w:tc>
        <w:tc>
          <w:tcPr>
            <w:tcW w:w="2150" w:type="dxa"/>
            <w:tcBorders>
              <w:top w:val="nil"/>
              <w:left w:val="nil"/>
              <w:bottom w:val="single" w:sz="4" w:space="0" w:color="auto"/>
              <w:right w:val="single" w:sz="4" w:space="0" w:color="auto"/>
            </w:tcBorders>
            <w:shd w:val="clear" w:color="auto" w:fill="auto"/>
            <w:noWrap/>
            <w:vAlign w:val="bottom"/>
            <w:hideMark/>
          </w:tcPr>
          <w:p w14:paraId="36E6562D" w14:textId="77777777" w:rsidR="00922309" w:rsidRPr="00240E45" w:rsidRDefault="00922309" w:rsidP="00922309">
            <w:pPr>
              <w:spacing w:after="0" w:line="240" w:lineRule="auto"/>
              <w:jc w:val="center"/>
              <w:rPr>
                <w:rFonts w:ascii="Calibri" w:eastAsia="Times New Roman" w:hAnsi="Calibri" w:cs="Calibri"/>
                <w:color w:val="000000"/>
                <w:lang w:eastAsia="es-MX"/>
              </w:rPr>
            </w:pPr>
            <w:r w:rsidRPr="00240E45">
              <w:rPr>
                <w:rFonts w:ascii="Calibri" w:eastAsia="Times New Roman" w:hAnsi="Calibri" w:cs="Calibri"/>
                <w:color w:val="000000"/>
                <w:lang w:eastAsia="es-MX"/>
              </w:rPr>
              <w:t>2018</w:t>
            </w:r>
          </w:p>
        </w:tc>
      </w:tr>
      <w:tr w:rsidR="00922309" w:rsidRPr="00240E45" w14:paraId="26C6F433" w14:textId="77777777" w:rsidTr="00A377E6">
        <w:trPr>
          <w:trHeight w:val="281"/>
          <w:jc w:val="center"/>
        </w:trPr>
        <w:tc>
          <w:tcPr>
            <w:tcW w:w="2150" w:type="dxa"/>
            <w:tcBorders>
              <w:top w:val="nil"/>
              <w:left w:val="single" w:sz="4" w:space="0" w:color="auto"/>
              <w:bottom w:val="single" w:sz="4" w:space="0" w:color="auto"/>
              <w:right w:val="single" w:sz="4" w:space="0" w:color="auto"/>
            </w:tcBorders>
            <w:shd w:val="clear" w:color="auto" w:fill="auto"/>
            <w:noWrap/>
            <w:vAlign w:val="bottom"/>
            <w:hideMark/>
          </w:tcPr>
          <w:p w14:paraId="291763C5" w14:textId="77777777" w:rsidR="00922309" w:rsidRPr="00240E45" w:rsidRDefault="00922309" w:rsidP="00922309">
            <w:pPr>
              <w:spacing w:after="0" w:line="240" w:lineRule="auto"/>
              <w:jc w:val="center"/>
              <w:rPr>
                <w:rFonts w:ascii="Calibri" w:eastAsia="Times New Roman" w:hAnsi="Calibri" w:cs="Calibri"/>
                <w:color w:val="000000"/>
                <w:lang w:eastAsia="es-MX"/>
              </w:rPr>
            </w:pPr>
            <w:r w:rsidRPr="00240E45">
              <w:rPr>
                <w:rFonts w:ascii="Calibri" w:eastAsia="Times New Roman" w:hAnsi="Calibri" w:cs="Calibri"/>
                <w:color w:val="000000"/>
                <w:lang w:eastAsia="es-MX"/>
              </w:rPr>
              <w:t>2018</w:t>
            </w:r>
          </w:p>
        </w:tc>
        <w:tc>
          <w:tcPr>
            <w:tcW w:w="2150" w:type="dxa"/>
            <w:tcBorders>
              <w:top w:val="nil"/>
              <w:left w:val="nil"/>
              <w:bottom w:val="single" w:sz="4" w:space="0" w:color="auto"/>
              <w:right w:val="single" w:sz="4" w:space="0" w:color="auto"/>
            </w:tcBorders>
            <w:shd w:val="clear" w:color="auto" w:fill="auto"/>
            <w:noWrap/>
            <w:vAlign w:val="bottom"/>
            <w:hideMark/>
          </w:tcPr>
          <w:p w14:paraId="015B4DDE" w14:textId="77777777" w:rsidR="00922309" w:rsidRPr="00240E45" w:rsidRDefault="00922309" w:rsidP="00922309">
            <w:pPr>
              <w:spacing w:after="0" w:line="240" w:lineRule="auto"/>
              <w:jc w:val="center"/>
              <w:rPr>
                <w:rFonts w:ascii="Calibri" w:eastAsia="Times New Roman" w:hAnsi="Calibri" w:cs="Calibri"/>
                <w:color w:val="000000"/>
                <w:lang w:eastAsia="es-MX"/>
              </w:rPr>
            </w:pPr>
            <w:r w:rsidRPr="00240E45">
              <w:rPr>
                <w:rFonts w:ascii="Calibri" w:eastAsia="Times New Roman" w:hAnsi="Calibri" w:cs="Calibri"/>
                <w:color w:val="000000"/>
                <w:lang w:eastAsia="es-MX"/>
              </w:rPr>
              <w:t>2019</w:t>
            </w:r>
          </w:p>
        </w:tc>
      </w:tr>
      <w:tr w:rsidR="00A377E6" w:rsidRPr="00240E45" w14:paraId="21579C1B" w14:textId="77777777" w:rsidTr="00A377E6">
        <w:trPr>
          <w:trHeight w:val="281"/>
          <w:jc w:val="center"/>
        </w:trPr>
        <w:tc>
          <w:tcPr>
            <w:tcW w:w="2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0977D0" w14:textId="390C757A" w:rsidR="00A377E6" w:rsidRPr="00240E45" w:rsidRDefault="00A377E6" w:rsidP="00922309">
            <w:pPr>
              <w:spacing w:after="0" w:line="240" w:lineRule="auto"/>
              <w:jc w:val="center"/>
              <w:rPr>
                <w:rFonts w:ascii="Calibri" w:eastAsia="Times New Roman" w:hAnsi="Calibri" w:cs="Calibri"/>
                <w:color w:val="000000"/>
                <w:lang w:eastAsia="es-MX"/>
              </w:rPr>
            </w:pPr>
            <w:r w:rsidRPr="00240E45">
              <w:rPr>
                <w:rFonts w:ascii="Calibri" w:eastAsia="Times New Roman" w:hAnsi="Calibri" w:cs="Calibri"/>
                <w:color w:val="000000"/>
                <w:lang w:eastAsia="es-MX"/>
              </w:rPr>
              <w:t>2019</w:t>
            </w:r>
          </w:p>
        </w:tc>
        <w:tc>
          <w:tcPr>
            <w:tcW w:w="2150" w:type="dxa"/>
            <w:tcBorders>
              <w:top w:val="single" w:sz="4" w:space="0" w:color="auto"/>
              <w:left w:val="nil"/>
              <w:bottom w:val="single" w:sz="4" w:space="0" w:color="auto"/>
              <w:right w:val="single" w:sz="4" w:space="0" w:color="auto"/>
            </w:tcBorders>
            <w:shd w:val="clear" w:color="auto" w:fill="auto"/>
            <w:noWrap/>
            <w:vAlign w:val="bottom"/>
          </w:tcPr>
          <w:p w14:paraId="2C4655D5" w14:textId="2E038F9B" w:rsidR="00A377E6" w:rsidRPr="00240E45" w:rsidRDefault="00A377E6" w:rsidP="00922309">
            <w:pPr>
              <w:spacing w:after="0" w:line="240" w:lineRule="auto"/>
              <w:jc w:val="center"/>
              <w:rPr>
                <w:rFonts w:ascii="Calibri" w:eastAsia="Times New Roman" w:hAnsi="Calibri" w:cs="Calibri"/>
                <w:color w:val="000000"/>
                <w:lang w:eastAsia="es-MX"/>
              </w:rPr>
            </w:pPr>
            <w:r w:rsidRPr="00240E45">
              <w:rPr>
                <w:rFonts w:ascii="Calibri" w:eastAsia="Times New Roman" w:hAnsi="Calibri" w:cs="Calibri"/>
                <w:color w:val="000000"/>
                <w:lang w:eastAsia="es-MX"/>
              </w:rPr>
              <w:t>2020</w:t>
            </w:r>
          </w:p>
        </w:tc>
      </w:tr>
    </w:tbl>
    <w:p w14:paraId="73724C67" w14:textId="77777777" w:rsidR="00922309" w:rsidRPr="00240E45" w:rsidRDefault="00922309" w:rsidP="00EA753F">
      <w:pPr>
        <w:spacing w:after="0"/>
        <w:rPr>
          <w:b/>
          <w:sz w:val="24"/>
        </w:rPr>
      </w:pPr>
    </w:p>
    <w:p w14:paraId="5B424519" w14:textId="5300141C" w:rsidR="007D48C0" w:rsidRPr="00240E45" w:rsidRDefault="007D48C0" w:rsidP="00EA753F">
      <w:pPr>
        <w:pStyle w:val="Prrafodelista"/>
        <w:spacing w:after="0" w:line="240" w:lineRule="auto"/>
        <w:jc w:val="both"/>
        <w:rPr>
          <w:b/>
          <w:sz w:val="24"/>
        </w:rPr>
      </w:pPr>
      <w:r w:rsidRPr="00240E45">
        <w:rPr>
          <w:b/>
          <w:sz w:val="24"/>
        </w:rPr>
        <w:t>Resultados</w:t>
      </w:r>
    </w:p>
    <w:p w14:paraId="2CCF76F6" w14:textId="6396C648" w:rsidR="000F054A" w:rsidRPr="00240E45" w:rsidRDefault="00B57A50" w:rsidP="00B57A50">
      <w:pPr>
        <w:pStyle w:val="Prrafodelista"/>
        <w:numPr>
          <w:ilvl w:val="0"/>
          <w:numId w:val="1"/>
        </w:numPr>
        <w:spacing w:after="0" w:line="240" w:lineRule="auto"/>
        <w:jc w:val="both"/>
        <w:rPr>
          <w:sz w:val="24"/>
        </w:rPr>
      </w:pPr>
      <w:r w:rsidRPr="00240E45">
        <w:rPr>
          <w:sz w:val="24"/>
        </w:rPr>
        <w:t xml:space="preserve">Tomando en cuenta las primeras 100 universidades clasificadas en el ranking respecto a su distribución por país y tradición universitaria, es posible apreciar que el ranking THE mundial favorece a </w:t>
      </w:r>
      <w:r w:rsidR="000F054A" w:rsidRPr="00240E45">
        <w:rPr>
          <w:sz w:val="24"/>
        </w:rPr>
        <w:t xml:space="preserve">las universidades de </w:t>
      </w:r>
      <w:r w:rsidRPr="00240E45">
        <w:rPr>
          <w:sz w:val="24"/>
        </w:rPr>
        <w:t xml:space="preserve">los </w:t>
      </w:r>
      <w:r w:rsidR="000F054A" w:rsidRPr="00240E45">
        <w:rPr>
          <w:sz w:val="24"/>
        </w:rPr>
        <w:t>países de habla inglesa</w:t>
      </w:r>
      <w:r w:rsidR="00200E0C" w:rsidRPr="00240E45">
        <w:rPr>
          <w:sz w:val="24"/>
        </w:rPr>
        <w:t xml:space="preserve">, </w:t>
      </w:r>
      <w:r w:rsidR="000F054A" w:rsidRPr="00240E45">
        <w:rPr>
          <w:sz w:val="24"/>
        </w:rPr>
        <w:t>y a la tradición universitaria anglosajona.</w:t>
      </w:r>
    </w:p>
    <w:p w14:paraId="587396F9" w14:textId="77777777" w:rsidR="00922309" w:rsidRPr="00240E45" w:rsidRDefault="00922309" w:rsidP="00922309">
      <w:pPr>
        <w:pStyle w:val="Prrafodelista"/>
        <w:spacing w:after="0" w:line="240" w:lineRule="auto"/>
        <w:jc w:val="both"/>
        <w:rPr>
          <w:sz w:val="24"/>
        </w:rPr>
      </w:pPr>
    </w:p>
    <w:tbl>
      <w:tblPr>
        <w:tblW w:w="7496" w:type="dxa"/>
        <w:jc w:val="center"/>
        <w:tblLayout w:type="fixed"/>
        <w:tblCellMar>
          <w:left w:w="70" w:type="dxa"/>
          <w:right w:w="70" w:type="dxa"/>
        </w:tblCellMar>
        <w:tblLook w:val="04A0" w:firstRow="1" w:lastRow="0" w:firstColumn="1" w:lastColumn="0" w:noHBand="0" w:noVBand="1"/>
      </w:tblPr>
      <w:tblGrid>
        <w:gridCol w:w="1560"/>
        <w:gridCol w:w="850"/>
        <w:gridCol w:w="992"/>
        <w:gridCol w:w="289"/>
        <w:gridCol w:w="1554"/>
        <w:gridCol w:w="1125"/>
        <w:gridCol w:w="1126"/>
      </w:tblGrid>
      <w:tr w:rsidR="00057B8F" w:rsidRPr="00240E45" w14:paraId="08587E26" w14:textId="77777777" w:rsidTr="00922309">
        <w:trPr>
          <w:trHeight w:val="310"/>
          <w:jc w:val="center"/>
        </w:trPr>
        <w:tc>
          <w:tcPr>
            <w:tcW w:w="7496" w:type="dxa"/>
            <w:gridSpan w:val="7"/>
            <w:tcBorders>
              <w:top w:val="nil"/>
              <w:left w:val="nil"/>
              <w:bottom w:val="nil"/>
              <w:right w:val="nil"/>
            </w:tcBorders>
            <w:shd w:val="clear" w:color="auto" w:fill="auto"/>
            <w:noWrap/>
            <w:vAlign w:val="bottom"/>
            <w:hideMark/>
          </w:tcPr>
          <w:p w14:paraId="332E0A93" w14:textId="5C663451" w:rsidR="00057B8F" w:rsidRPr="00240E45" w:rsidRDefault="00057B8F" w:rsidP="00DB153E">
            <w:pPr>
              <w:spacing w:after="0" w:line="240" w:lineRule="auto"/>
              <w:jc w:val="center"/>
              <w:rPr>
                <w:rFonts w:ascii="Calibri" w:eastAsia="Times New Roman" w:hAnsi="Calibri" w:cs="Calibri"/>
                <w:color w:val="000000"/>
                <w:lang w:eastAsia="es-MX"/>
              </w:rPr>
            </w:pPr>
            <w:r w:rsidRPr="00240E45">
              <w:rPr>
                <w:rFonts w:ascii="Calibri" w:eastAsia="Times New Roman" w:hAnsi="Calibri" w:cs="Times New Roman"/>
                <w:b/>
                <w:color w:val="050505"/>
                <w:sz w:val="20"/>
                <w:szCs w:val="24"/>
                <w:lang w:eastAsia="es-MX"/>
              </w:rPr>
              <w:t>Tabla 2. Distribución por país e idioma de las primeras 100 universidades en el THE ranking mundial, 20</w:t>
            </w:r>
            <w:r w:rsidR="00DB153E" w:rsidRPr="00240E45">
              <w:rPr>
                <w:rFonts w:ascii="Calibri" w:eastAsia="Times New Roman" w:hAnsi="Calibri" w:cs="Times New Roman"/>
                <w:b/>
                <w:color w:val="050505"/>
                <w:sz w:val="20"/>
                <w:szCs w:val="24"/>
                <w:lang w:eastAsia="es-MX"/>
              </w:rPr>
              <w:t>20</w:t>
            </w:r>
            <w:r w:rsidRPr="00240E45">
              <w:rPr>
                <w:rFonts w:ascii="Calibri" w:eastAsia="Times New Roman" w:hAnsi="Calibri" w:cs="Times New Roman"/>
                <w:b/>
                <w:color w:val="050505"/>
                <w:sz w:val="20"/>
                <w:szCs w:val="24"/>
                <w:lang w:eastAsia="es-MX"/>
              </w:rPr>
              <w:t>.</w:t>
            </w:r>
          </w:p>
        </w:tc>
      </w:tr>
      <w:tr w:rsidR="00057B8F" w:rsidRPr="00240E45" w14:paraId="0652942B" w14:textId="77777777" w:rsidTr="00922309">
        <w:trPr>
          <w:trHeight w:val="155"/>
          <w:jc w:val="center"/>
        </w:trPr>
        <w:tc>
          <w:tcPr>
            <w:tcW w:w="156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5EC3BFD" w14:textId="77777777" w:rsidR="00057B8F" w:rsidRPr="00240E45" w:rsidRDefault="00057B8F" w:rsidP="00057B8F">
            <w:pPr>
              <w:spacing w:after="0" w:line="240" w:lineRule="auto"/>
              <w:jc w:val="center"/>
              <w:rPr>
                <w:rFonts w:ascii="Calibri" w:eastAsia="Times New Roman" w:hAnsi="Calibri" w:cs="Calibri"/>
                <w:b/>
                <w:bCs/>
                <w:color w:val="000000"/>
                <w:sz w:val="18"/>
                <w:szCs w:val="18"/>
                <w:lang w:eastAsia="es-MX"/>
              </w:rPr>
            </w:pPr>
            <w:r w:rsidRPr="00240E45">
              <w:rPr>
                <w:rFonts w:ascii="Calibri" w:eastAsia="Times New Roman" w:hAnsi="Calibri" w:cs="Calibri"/>
                <w:b/>
                <w:bCs/>
                <w:color w:val="000000"/>
                <w:sz w:val="18"/>
                <w:szCs w:val="18"/>
                <w:lang w:eastAsia="es-MX"/>
              </w:rPr>
              <w:t>Países</w:t>
            </w:r>
          </w:p>
        </w:tc>
        <w:tc>
          <w:tcPr>
            <w:tcW w:w="850" w:type="dxa"/>
            <w:tcBorders>
              <w:top w:val="single" w:sz="4" w:space="0" w:color="auto"/>
              <w:left w:val="nil"/>
              <w:bottom w:val="single" w:sz="4" w:space="0" w:color="auto"/>
              <w:right w:val="single" w:sz="4" w:space="0" w:color="auto"/>
            </w:tcBorders>
            <w:shd w:val="clear" w:color="000000" w:fill="B4C6E7"/>
            <w:noWrap/>
            <w:vAlign w:val="center"/>
            <w:hideMark/>
          </w:tcPr>
          <w:p w14:paraId="12C63DFE" w14:textId="77777777" w:rsidR="00057B8F" w:rsidRPr="00240E45" w:rsidRDefault="00057B8F" w:rsidP="00057B8F">
            <w:pPr>
              <w:spacing w:after="0" w:line="240" w:lineRule="auto"/>
              <w:jc w:val="center"/>
              <w:rPr>
                <w:rFonts w:ascii="Calibri" w:eastAsia="Times New Roman" w:hAnsi="Calibri" w:cs="Calibri"/>
                <w:b/>
                <w:bCs/>
                <w:color w:val="000000"/>
                <w:sz w:val="18"/>
                <w:szCs w:val="18"/>
                <w:lang w:eastAsia="es-MX"/>
              </w:rPr>
            </w:pPr>
            <w:r w:rsidRPr="00240E45">
              <w:rPr>
                <w:rFonts w:ascii="Calibri" w:eastAsia="Times New Roman" w:hAnsi="Calibri" w:cs="Calibri"/>
                <w:b/>
                <w:bCs/>
                <w:color w:val="000000"/>
                <w:sz w:val="18"/>
                <w:szCs w:val="18"/>
                <w:lang w:eastAsia="es-MX"/>
              </w:rPr>
              <w:t>IES</w:t>
            </w:r>
          </w:p>
        </w:tc>
        <w:tc>
          <w:tcPr>
            <w:tcW w:w="992" w:type="dxa"/>
            <w:tcBorders>
              <w:top w:val="single" w:sz="4" w:space="0" w:color="auto"/>
              <w:left w:val="nil"/>
              <w:bottom w:val="single" w:sz="4" w:space="0" w:color="auto"/>
              <w:right w:val="single" w:sz="4" w:space="0" w:color="auto"/>
            </w:tcBorders>
            <w:shd w:val="clear" w:color="000000" w:fill="B4C6E7"/>
            <w:noWrap/>
            <w:vAlign w:val="center"/>
            <w:hideMark/>
          </w:tcPr>
          <w:p w14:paraId="5A44EE06" w14:textId="77777777" w:rsidR="00057B8F" w:rsidRPr="00240E45" w:rsidRDefault="00057B8F" w:rsidP="00057B8F">
            <w:pPr>
              <w:spacing w:after="0" w:line="240" w:lineRule="auto"/>
              <w:jc w:val="center"/>
              <w:rPr>
                <w:rFonts w:ascii="Calibri" w:eastAsia="Times New Roman" w:hAnsi="Calibri" w:cs="Calibri"/>
                <w:b/>
                <w:bCs/>
                <w:color w:val="000000"/>
                <w:sz w:val="18"/>
                <w:szCs w:val="18"/>
                <w:lang w:eastAsia="es-MX"/>
              </w:rPr>
            </w:pPr>
            <w:r w:rsidRPr="00240E45">
              <w:rPr>
                <w:rFonts w:ascii="Calibri" w:eastAsia="Times New Roman" w:hAnsi="Calibri" w:cs="Calibri"/>
                <w:b/>
                <w:bCs/>
                <w:color w:val="000000"/>
                <w:sz w:val="18"/>
                <w:szCs w:val="18"/>
                <w:lang w:eastAsia="es-MX"/>
              </w:rPr>
              <w:t>%</w:t>
            </w:r>
          </w:p>
        </w:tc>
        <w:tc>
          <w:tcPr>
            <w:tcW w:w="289" w:type="dxa"/>
            <w:tcBorders>
              <w:top w:val="nil"/>
              <w:left w:val="nil"/>
              <w:bottom w:val="nil"/>
              <w:right w:val="nil"/>
            </w:tcBorders>
            <w:shd w:val="clear" w:color="auto" w:fill="auto"/>
            <w:noWrap/>
            <w:vAlign w:val="bottom"/>
            <w:hideMark/>
          </w:tcPr>
          <w:p w14:paraId="216C313A" w14:textId="77777777" w:rsidR="00057B8F" w:rsidRPr="00240E45" w:rsidRDefault="00057B8F" w:rsidP="00057B8F">
            <w:pPr>
              <w:spacing w:after="0" w:line="240" w:lineRule="auto"/>
              <w:jc w:val="center"/>
              <w:rPr>
                <w:rFonts w:ascii="Calibri" w:eastAsia="Times New Roman" w:hAnsi="Calibri" w:cs="Calibri"/>
                <w:b/>
                <w:bCs/>
                <w:color w:val="000000"/>
                <w:sz w:val="18"/>
                <w:szCs w:val="18"/>
                <w:lang w:eastAsia="es-MX"/>
              </w:rPr>
            </w:pPr>
          </w:p>
        </w:tc>
        <w:tc>
          <w:tcPr>
            <w:tcW w:w="1554"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4EA937C4" w14:textId="77777777" w:rsidR="00057B8F" w:rsidRPr="00240E45" w:rsidRDefault="00057B8F" w:rsidP="00057B8F">
            <w:pPr>
              <w:spacing w:after="0" w:line="240" w:lineRule="auto"/>
              <w:jc w:val="center"/>
              <w:rPr>
                <w:rFonts w:ascii="Calibri" w:eastAsia="Times New Roman" w:hAnsi="Calibri" w:cs="Calibri"/>
                <w:b/>
                <w:bCs/>
                <w:color w:val="000000"/>
                <w:sz w:val="18"/>
                <w:szCs w:val="18"/>
                <w:lang w:eastAsia="es-MX"/>
              </w:rPr>
            </w:pPr>
            <w:r w:rsidRPr="00240E45">
              <w:rPr>
                <w:rFonts w:ascii="Calibri" w:eastAsia="Times New Roman" w:hAnsi="Calibri" w:cs="Calibri"/>
                <w:b/>
                <w:bCs/>
                <w:color w:val="000000"/>
                <w:sz w:val="18"/>
                <w:szCs w:val="18"/>
                <w:lang w:eastAsia="es-MX"/>
              </w:rPr>
              <w:t>Idiomas</w:t>
            </w:r>
          </w:p>
        </w:tc>
        <w:tc>
          <w:tcPr>
            <w:tcW w:w="1125" w:type="dxa"/>
            <w:tcBorders>
              <w:top w:val="single" w:sz="4" w:space="0" w:color="auto"/>
              <w:left w:val="nil"/>
              <w:bottom w:val="single" w:sz="4" w:space="0" w:color="auto"/>
              <w:right w:val="single" w:sz="4" w:space="0" w:color="auto"/>
            </w:tcBorders>
            <w:shd w:val="clear" w:color="000000" w:fill="B4C6E7"/>
            <w:noWrap/>
            <w:vAlign w:val="center"/>
            <w:hideMark/>
          </w:tcPr>
          <w:p w14:paraId="4CCD2ECC" w14:textId="77777777" w:rsidR="00057B8F" w:rsidRPr="00240E45" w:rsidRDefault="00057B8F" w:rsidP="00057B8F">
            <w:pPr>
              <w:spacing w:after="0" w:line="240" w:lineRule="auto"/>
              <w:jc w:val="center"/>
              <w:rPr>
                <w:rFonts w:ascii="Calibri" w:eastAsia="Times New Roman" w:hAnsi="Calibri" w:cs="Calibri"/>
                <w:b/>
                <w:bCs/>
                <w:color w:val="000000"/>
                <w:sz w:val="18"/>
                <w:szCs w:val="18"/>
                <w:lang w:eastAsia="es-MX"/>
              </w:rPr>
            </w:pPr>
            <w:r w:rsidRPr="00240E45">
              <w:rPr>
                <w:rFonts w:ascii="Calibri" w:eastAsia="Times New Roman" w:hAnsi="Calibri" w:cs="Calibri"/>
                <w:b/>
                <w:bCs/>
                <w:color w:val="000000"/>
                <w:sz w:val="18"/>
                <w:szCs w:val="18"/>
                <w:lang w:eastAsia="es-MX"/>
              </w:rPr>
              <w:t>IES</w:t>
            </w:r>
          </w:p>
        </w:tc>
        <w:tc>
          <w:tcPr>
            <w:tcW w:w="1126" w:type="dxa"/>
            <w:tcBorders>
              <w:top w:val="single" w:sz="4" w:space="0" w:color="auto"/>
              <w:left w:val="nil"/>
              <w:bottom w:val="single" w:sz="4" w:space="0" w:color="auto"/>
              <w:right w:val="single" w:sz="4" w:space="0" w:color="auto"/>
            </w:tcBorders>
            <w:shd w:val="clear" w:color="000000" w:fill="B4C6E7"/>
            <w:noWrap/>
            <w:vAlign w:val="center"/>
            <w:hideMark/>
          </w:tcPr>
          <w:p w14:paraId="768924B8" w14:textId="0F16FC0C" w:rsidR="00057B8F" w:rsidRPr="00240E45" w:rsidRDefault="00057B8F" w:rsidP="00057B8F">
            <w:pPr>
              <w:spacing w:after="0" w:line="240" w:lineRule="auto"/>
              <w:jc w:val="center"/>
              <w:rPr>
                <w:rFonts w:ascii="Calibri" w:eastAsia="Times New Roman" w:hAnsi="Calibri" w:cs="Calibri"/>
                <w:b/>
                <w:bCs/>
                <w:color w:val="000000"/>
                <w:sz w:val="18"/>
                <w:szCs w:val="18"/>
                <w:lang w:eastAsia="es-MX"/>
              </w:rPr>
            </w:pPr>
            <w:r w:rsidRPr="00240E45">
              <w:rPr>
                <w:rFonts w:ascii="Calibri" w:eastAsia="Times New Roman" w:hAnsi="Calibri" w:cs="Calibri"/>
                <w:b/>
                <w:bCs/>
                <w:color w:val="000000"/>
                <w:sz w:val="18"/>
                <w:szCs w:val="18"/>
                <w:lang w:eastAsia="es-MX"/>
              </w:rPr>
              <w:t>%</w:t>
            </w:r>
          </w:p>
        </w:tc>
      </w:tr>
      <w:tr w:rsidR="00DB153E" w:rsidRPr="00240E45" w14:paraId="7BC16AEA" w14:textId="77777777" w:rsidTr="00DB153E">
        <w:trPr>
          <w:trHeight w:val="155"/>
          <w:jc w:val="center"/>
        </w:trPr>
        <w:tc>
          <w:tcPr>
            <w:tcW w:w="1560" w:type="dxa"/>
            <w:tcBorders>
              <w:top w:val="nil"/>
              <w:left w:val="single" w:sz="4" w:space="0" w:color="auto"/>
              <w:bottom w:val="single" w:sz="4" w:space="0" w:color="auto"/>
              <w:right w:val="single" w:sz="4" w:space="0" w:color="auto"/>
            </w:tcBorders>
            <w:shd w:val="clear" w:color="auto" w:fill="auto"/>
            <w:noWrap/>
          </w:tcPr>
          <w:p w14:paraId="290AE9B3" w14:textId="76F8D93C"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Estados Unidos</w:t>
            </w:r>
          </w:p>
        </w:tc>
        <w:tc>
          <w:tcPr>
            <w:tcW w:w="850" w:type="dxa"/>
            <w:tcBorders>
              <w:top w:val="nil"/>
              <w:left w:val="nil"/>
              <w:bottom w:val="single" w:sz="4" w:space="0" w:color="auto"/>
              <w:right w:val="single" w:sz="4" w:space="0" w:color="auto"/>
            </w:tcBorders>
            <w:shd w:val="clear" w:color="auto" w:fill="auto"/>
            <w:noWrap/>
          </w:tcPr>
          <w:p w14:paraId="22B434B9" w14:textId="43B2C6C9"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40</w:t>
            </w:r>
          </w:p>
        </w:tc>
        <w:tc>
          <w:tcPr>
            <w:tcW w:w="992" w:type="dxa"/>
            <w:tcBorders>
              <w:top w:val="nil"/>
              <w:left w:val="nil"/>
              <w:bottom w:val="single" w:sz="4" w:space="0" w:color="auto"/>
              <w:right w:val="single" w:sz="4" w:space="0" w:color="auto"/>
            </w:tcBorders>
            <w:shd w:val="clear" w:color="auto" w:fill="auto"/>
            <w:noWrap/>
          </w:tcPr>
          <w:p w14:paraId="765755A0" w14:textId="3C80EDC1"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40%</w:t>
            </w:r>
          </w:p>
        </w:tc>
        <w:tc>
          <w:tcPr>
            <w:tcW w:w="289" w:type="dxa"/>
            <w:tcBorders>
              <w:top w:val="nil"/>
              <w:left w:val="nil"/>
              <w:bottom w:val="nil"/>
              <w:right w:val="nil"/>
            </w:tcBorders>
            <w:shd w:val="clear" w:color="auto" w:fill="auto"/>
            <w:noWrap/>
            <w:vAlign w:val="bottom"/>
          </w:tcPr>
          <w:p w14:paraId="0F7CD2B7" w14:textId="77777777"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p>
        </w:tc>
        <w:tc>
          <w:tcPr>
            <w:tcW w:w="1554" w:type="dxa"/>
            <w:tcBorders>
              <w:top w:val="nil"/>
              <w:left w:val="single" w:sz="4" w:space="0" w:color="auto"/>
              <w:bottom w:val="single" w:sz="4" w:space="0" w:color="auto"/>
              <w:right w:val="single" w:sz="4" w:space="0" w:color="auto"/>
            </w:tcBorders>
            <w:shd w:val="clear" w:color="auto" w:fill="auto"/>
            <w:noWrap/>
          </w:tcPr>
          <w:p w14:paraId="42AC660F" w14:textId="74FF32A8"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Inglés</w:t>
            </w:r>
          </w:p>
        </w:tc>
        <w:tc>
          <w:tcPr>
            <w:tcW w:w="1125" w:type="dxa"/>
            <w:tcBorders>
              <w:top w:val="nil"/>
              <w:left w:val="nil"/>
              <w:bottom w:val="single" w:sz="4" w:space="0" w:color="auto"/>
              <w:right w:val="single" w:sz="4" w:space="0" w:color="auto"/>
            </w:tcBorders>
            <w:shd w:val="clear" w:color="auto" w:fill="auto"/>
            <w:noWrap/>
          </w:tcPr>
          <w:p w14:paraId="6AD43466" w14:textId="7D474D57"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64</w:t>
            </w:r>
          </w:p>
        </w:tc>
        <w:tc>
          <w:tcPr>
            <w:tcW w:w="1126" w:type="dxa"/>
            <w:tcBorders>
              <w:top w:val="nil"/>
              <w:left w:val="nil"/>
              <w:bottom w:val="single" w:sz="4" w:space="0" w:color="auto"/>
              <w:right w:val="single" w:sz="4" w:space="0" w:color="auto"/>
            </w:tcBorders>
            <w:shd w:val="clear" w:color="auto" w:fill="auto"/>
            <w:noWrap/>
          </w:tcPr>
          <w:p w14:paraId="69EB1CEC" w14:textId="336EFB9E"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64%</w:t>
            </w:r>
          </w:p>
        </w:tc>
      </w:tr>
      <w:tr w:rsidR="00DB153E" w:rsidRPr="00240E45" w14:paraId="2D596410" w14:textId="77777777" w:rsidTr="00DB153E">
        <w:trPr>
          <w:trHeight w:val="155"/>
          <w:jc w:val="center"/>
        </w:trPr>
        <w:tc>
          <w:tcPr>
            <w:tcW w:w="1560" w:type="dxa"/>
            <w:tcBorders>
              <w:top w:val="nil"/>
              <w:left w:val="single" w:sz="4" w:space="0" w:color="auto"/>
              <w:bottom w:val="single" w:sz="4" w:space="0" w:color="auto"/>
              <w:right w:val="single" w:sz="4" w:space="0" w:color="auto"/>
            </w:tcBorders>
            <w:shd w:val="clear" w:color="auto" w:fill="auto"/>
            <w:noWrap/>
          </w:tcPr>
          <w:p w14:paraId="462F8366" w14:textId="392DCBB2"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Reino Unido</w:t>
            </w:r>
          </w:p>
        </w:tc>
        <w:tc>
          <w:tcPr>
            <w:tcW w:w="850" w:type="dxa"/>
            <w:tcBorders>
              <w:top w:val="nil"/>
              <w:left w:val="nil"/>
              <w:bottom w:val="single" w:sz="4" w:space="0" w:color="auto"/>
              <w:right w:val="single" w:sz="4" w:space="0" w:color="auto"/>
            </w:tcBorders>
            <w:shd w:val="clear" w:color="auto" w:fill="auto"/>
            <w:noWrap/>
          </w:tcPr>
          <w:p w14:paraId="27D0CB94" w14:textId="2CEC498D"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11</w:t>
            </w:r>
          </w:p>
        </w:tc>
        <w:tc>
          <w:tcPr>
            <w:tcW w:w="992" w:type="dxa"/>
            <w:tcBorders>
              <w:top w:val="nil"/>
              <w:left w:val="nil"/>
              <w:bottom w:val="single" w:sz="4" w:space="0" w:color="auto"/>
              <w:right w:val="single" w:sz="4" w:space="0" w:color="auto"/>
            </w:tcBorders>
            <w:shd w:val="clear" w:color="auto" w:fill="auto"/>
            <w:noWrap/>
          </w:tcPr>
          <w:p w14:paraId="101EB958" w14:textId="7FCE708C"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11%</w:t>
            </w:r>
          </w:p>
        </w:tc>
        <w:tc>
          <w:tcPr>
            <w:tcW w:w="289" w:type="dxa"/>
            <w:tcBorders>
              <w:top w:val="nil"/>
              <w:left w:val="nil"/>
              <w:bottom w:val="nil"/>
              <w:right w:val="nil"/>
            </w:tcBorders>
            <w:shd w:val="clear" w:color="auto" w:fill="auto"/>
            <w:noWrap/>
            <w:vAlign w:val="bottom"/>
          </w:tcPr>
          <w:p w14:paraId="05B930E0" w14:textId="77777777"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p>
        </w:tc>
        <w:tc>
          <w:tcPr>
            <w:tcW w:w="1554" w:type="dxa"/>
            <w:tcBorders>
              <w:top w:val="nil"/>
              <w:left w:val="single" w:sz="4" w:space="0" w:color="auto"/>
              <w:bottom w:val="single" w:sz="4" w:space="0" w:color="auto"/>
              <w:right w:val="single" w:sz="4" w:space="0" w:color="auto"/>
            </w:tcBorders>
            <w:shd w:val="clear" w:color="auto" w:fill="auto"/>
            <w:noWrap/>
          </w:tcPr>
          <w:p w14:paraId="2C94B4ED" w14:textId="43B79D5D"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Alemán</w:t>
            </w:r>
          </w:p>
        </w:tc>
        <w:tc>
          <w:tcPr>
            <w:tcW w:w="1125" w:type="dxa"/>
            <w:tcBorders>
              <w:top w:val="nil"/>
              <w:left w:val="nil"/>
              <w:bottom w:val="single" w:sz="4" w:space="0" w:color="auto"/>
              <w:right w:val="single" w:sz="4" w:space="0" w:color="auto"/>
            </w:tcBorders>
            <w:shd w:val="clear" w:color="auto" w:fill="auto"/>
            <w:noWrap/>
          </w:tcPr>
          <w:p w14:paraId="5FEDC0BC" w14:textId="761CBEC4"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12</w:t>
            </w:r>
          </w:p>
        </w:tc>
        <w:tc>
          <w:tcPr>
            <w:tcW w:w="1126" w:type="dxa"/>
            <w:tcBorders>
              <w:top w:val="nil"/>
              <w:left w:val="nil"/>
              <w:bottom w:val="single" w:sz="4" w:space="0" w:color="auto"/>
              <w:right w:val="single" w:sz="4" w:space="0" w:color="auto"/>
            </w:tcBorders>
            <w:shd w:val="clear" w:color="auto" w:fill="auto"/>
            <w:noWrap/>
          </w:tcPr>
          <w:p w14:paraId="3F07E7EE" w14:textId="47CF5811"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12%</w:t>
            </w:r>
          </w:p>
        </w:tc>
      </w:tr>
      <w:tr w:rsidR="00DB153E" w:rsidRPr="00240E45" w14:paraId="46C30454" w14:textId="77777777" w:rsidTr="00DB153E">
        <w:trPr>
          <w:trHeight w:val="155"/>
          <w:jc w:val="center"/>
        </w:trPr>
        <w:tc>
          <w:tcPr>
            <w:tcW w:w="1560" w:type="dxa"/>
            <w:tcBorders>
              <w:top w:val="nil"/>
              <w:left w:val="single" w:sz="4" w:space="0" w:color="auto"/>
              <w:bottom w:val="single" w:sz="4" w:space="0" w:color="auto"/>
              <w:right w:val="single" w:sz="4" w:space="0" w:color="auto"/>
            </w:tcBorders>
            <w:shd w:val="clear" w:color="auto" w:fill="auto"/>
            <w:noWrap/>
          </w:tcPr>
          <w:p w14:paraId="5960820B" w14:textId="2DC0B242"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Alemania</w:t>
            </w:r>
          </w:p>
        </w:tc>
        <w:tc>
          <w:tcPr>
            <w:tcW w:w="850" w:type="dxa"/>
            <w:tcBorders>
              <w:top w:val="nil"/>
              <w:left w:val="nil"/>
              <w:bottom w:val="single" w:sz="4" w:space="0" w:color="auto"/>
              <w:right w:val="single" w:sz="4" w:space="0" w:color="auto"/>
            </w:tcBorders>
            <w:shd w:val="clear" w:color="auto" w:fill="auto"/>
            <w:noWrap/>
          </w:tcPr>
          <w:p w14:paraId="6669BDBB" w14:textId="54834A25"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8</w:t>
            </w:r>
          </w:p>
        </w:tc>
        <w:tc>
          <w:tcPr>
            <w:tcW w:w="992" w:type="dxa"/>
            <w:tcBorders>
              <w:top w:val="nil"/>
              <w:left w:val="nil"/>
              <w:bottom w:val="single" w:sz="4" w:space="0" w:color="auto"/>
              <w:right w:val="single" w:sz="4" w:space="0" w:color="auto"/>
            </w:tcBorders>
            <w:shd w:val="clear" w:color="auto" w:fill="auto"/>
            <w:noWrap/>
          </w:tcPr>
          <w:p w14:paraId="01A091B1" w14:textId="4BC041CF"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8%</w:t>
            </w:r>
          </w:p>
        </w:tc>
        <w:tc>
          <w:tcPr>
            <w:tcW w:w="289" w:type="dxa"/>
            <w:tcBorders>
              <w:top w:val="nil"/>
              <w:left w:val="nil"/>
              <w:bottom w:val="nil"/>
              <w:right w:val="nil"/>
            </w:tcBorders>
            <w:shd w:val="clear" w:color="auto" w:fill="auto"/>
            <w:noWrap/>
            <w:vAlign w:val="bottom"/>
          </w:tcPr>
          <w:p w14:paraId="0801F637" w14:textId="77777777"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p>
        </w:tc>
        <w:tc>
          <w:tcPr>
            <w:tcW w:w="1554" w:type="dxa"/>
            <w:tcBorders>
              <w:top w:val="nil"/>
              <w:left w:val="single" w:sz="4" w:space="0" w:color="auto"/>
              <w:bottom w:val="single" w:sz="4" w:space="0" w:color="auto"/>
              <w:right w:val="single" w:sz="4" w:space="0" w:color="auto"/>
            </w:tcBorders>
            <w:shd w:val="clear" w:color="auto" w:fill="auto"/>
            <w:noWrap/>
          </w:tcPr>
          <w:p w14:paraId="4E4F5753" w14:textId="78726F8B"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Holandés</w:t>
            </w:r>
          </w:p>
        </w:tc>
        <w:tc>
          <w:tcPr>
            <w:tcW w:w="1125" w:type="dxa"/>
            <w:tcBorders>
              <w:top w:val="nil"/>
              <w:left w:val="nil"/>
              <w:bottom w:val="single" w:sz="4" w:space="0" w:color="auto"/>
              <w:right w:val="single" w:sz="4" w:space="0" w:color="auto"/>
            </w:tcBorders>
            <w:shd w:val="clear" w:color="auto" w:fill="auto"/>
            <w:noWrap/>
          </w:tcPr>
          <w:p w14:paraId="54D5EB19" w14:textId="592E32DD"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8</w:t>
            </w:r>
          </w:p>
        </w:tc>
        <w:tc>
          <w:tcPr>
            <w:tcW w:w="1126" w:type="dxa"/>
            <w:tcBorders>
              <w:top w:val="nil"/>
              <w:left w:val="nil"/>
              <w:bottom w:val="single" w:sz="4" w:space="0" w:color="auto"/>
              <w:right w:val="single" w:sz="4" w:space="0" w:color="auto"/>
            </w:tcBorders>
            <w:shd w:val="clear" w:color="auto" w:fill="auto"/>
            <w:noWrap/>
          </w:tcPr>
          <w:p w14:paraId="2DA8FB72" w14:textId="5C621C6E"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8%</w:t>
            </w:r>
          </w:p>
        </w:tc>
      </w:tr>
      <w:tr w:rsidR="00DB153E" w:rsidRPr="00240E45" w14:paraId="06520D42" w14:textId="77777777" w:rsidTr="00DB153E">
        <w:trPr>
          <w:trHeight w:val="155"/>
          <w:jc w:val="center"/>
        </w:trPr>
        <w:tc>
          <w:tcPr>
            <w:tcW w:w="1560" w:type="dxa"/>
            <w:tcBorders>
              <w:top w:val="nil"/>
              <w:left w:val="single" w:sz="4" w:space="0" w:color="auto"/>
              <w:bottom w:val="single" w:sz="4" w:space="0" w:color="auto"/>
              <w:right w:val="single" w:sz="4" w:space="0" w:color="auto"/>
            </w:tcBorders>
            <w:shd w:val="clear" w:color="auto" w:fill="auto"/>
            <w:noWrap/>
          </w:tcPr>
          <w:p w14:paraId="4289E208" w14:textId="29A99045"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Países Bajos</w:t>
            </w:r>
          </w:p>
        </w:tc>
        <w:tc>
          <w:tcPr>
            <w:tcW w:w="850" w:type="dxa"/>
            <w:tcBorders>
              <w:top w:val="nil"/>
              <w:left w:val="nil"/>
              <w:bottom w:val="single" w:sz="4" w:space="0" w:color="auto"/>
              <w:right w:val="single" w:sz="4" w:space="0" w:color="auto"/>
            </w:tcBorders>
            <w:shd w:val="clear" w:color="auto" w:fill="auto"/>
            <w:noWrap/>
          </w:tcPr>
          <w:p w14:paraId="3EB12CBD" w14:textId="69107A62"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7</w:t>
            </w:r>
          </w:p>
        </w:tc>
        <w:tc>
          <w:tcPr>
            <w:tcW w:w="992" w:type="dxa"/>
            <w:tcBorders>
              <w:top w:val="nil"/>
              <w:left w:val="nil"/>
              <w:bottom w:val="single" w:sz="4" w:space="0" w:color="auto"/>
              <w:right w:val="single" w:sz="4" w:space="0" w:color="auto"/>
            </w:tcBorders>
            <w:shd w:val="clear" w:color="auto" w:fill="auto"/>
            <w:noWrap/>
          </w:tcPr>
          <w:p w14:paraId="2E0E34B7" w14:textId="38340135"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7%</w:t>
            </w:r>
          </w:p>
        </w:tc>
        <w:tc>
          <w:tcPr>
            <w:tcW w:w="289" w:type="dxa"/>
            <w:tcBorders>
              <w:top w:val="nil"/>
              <w:left w:val="nil"/>
              <w:bottom w:val="nil"/>
              <w:right w:val="nil"/>
            </w:tcBorders>
            <w:shd w:val="clear" w:color="auto" w:fill="auto"/>
            <w:noWrap/>
            <w:vAlign w:val="bottom"/>
          </w:tcPr>
          <w:p w14:paraId="72091317" w14:textId="77777777"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p>
        </w:tc>
        <w:tc>
          <w:tcPr>
            <w:tcW w:w="1554" w:type="dxa"/>
            <w:tcBorders>
              <w:top w:val="nil"/>
              <w:left w:val="single" w:sz="4" w:space="0" w:color="auto"/>
              <w:bottom w:val="single" w:sz="4" w:space="0" w:color="auto"/>
              <w:right w:val="single" w:sz="4" w:space="0" w:color="auto"/>
            </w:tcBorders>
            <w:shd w:val="clear" w:color="auto" w:fill="auto"/>
            <w:noWrap/>
          </w:tcPr>
          <w:p w14:paraId="612E458D" w14:textId="3AE98120"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Chino</w:t>
            </w:r>
          </w:p>
        </w:tc>
        <w:tc>
          <w:tcPr>
            <w:tcW w:w="1125" w:type="dxa"/>
            <w:tcBorders>
              <w:top w:val="nil"/>
              <w:left w:val="nil"/>
              <w:bottom w:val="single" w:sz="4" w:space="0" w:color="auto"/>
              <w:right w:val="single" w:sz="4" w:space="0" w:color="auto"/>
            </w:tcBorders>
            <w:shd w:val="clear" w:color="auto" w:fill="auto"/>
            <w:noWrap/>
          </w:tcPr>
          <w:p w14:paraId="472F1727" w14:textId="2B0B884F"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6</w:t>
            </w:r>
          </w:p>
        </w:tc>
        <w:tc>
          <w:tcPr>
            <w:tcW w:w="1126" w:type="dxa"/>
            <w:tcBorders>
              <w:top w:val="nil"/>
              <w:left w:val="nil"/>
              <w:bottom w:val="single" w:sz="4" w:space="0" w:color="auto"/>
              <w:right w:val="single" w:sz="4" w:space="0" w:color="auto"/>
            </w:tcBorders>
            <w:shd w:val="clear" w:color="auto" w:fill="auto"/>
            <w:noWrap/>
          </w:tcPr>
          <w:p w14:paraId="74980057" w14:textId="747916D0"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6%</w:t>
            </w:r>
          </w:p>
        </w:tc>
      </w:tr>
      <w:tr w:rsidR="00DB153E" w:rsidRPr="00240E45" w14:paraId="45A18F3B" w14:textId="77777777" w:rsidTr="00DB153E">
        <w:trPr>
          <w:trHeight w:val="155"/>
          <w:jc w:val="center"/>
        </w:trPr>
        <w:tc>
          <w:tcPr>
            <w:tcW w:w="1560" w:type="dxa"/>
            <w:tcBorders>
              <w:top w:val="nil"/>
              <w:left w:val="single" w:sz="4" w:space="0" w:color="auto"/>
              <w:bottom w:val="single" w:sz="4" w:space="0" w:color="auto"/>
              <w:right w:val="single" w:sz="4" w:space="0" w:color="auto"/>
            </w:tcBorders>
            <w:shd w:val="clear" w:color="auto" w:fill="auto"/>
            <w:noWrap/>
          </w:tcPr>
          <w:p w14:paraId="14D35600" w14:textId="3E1F0E8B"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Australia</w:t>
            </w:r>
          </w:p>
        </w:tc>
        <w:tc>
          <w:tcPr>
            <w:tcW w:w="850" w:type="dxa"/>
            <w:tcBorders>
              <w:top w:val="nil"/>
              <w:left w:val="nil"/>
              <w:bottom w:val="single" w:sz="4" w:space="0" w:color="auto"/>
              <w:right w:val="single" w:sz="4" w:space="0" w:color="auto"/>
            </w:tcBorders>
            <w:shd w:val="clear" w:color="auto" w:fill="auto"/>
            <w:noWrap/>
          </w:tcPr>
          <w:p w14:paraId="0A96FA3F" w14:textId="487DBE7E"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6</w:t>
            </w:r>
          </w:p>
        </w:tc>
        <w:tc>
          <w:tcPr>
            <w:tcW w:w="992" w:type="dxa"/>
            <w:tcBorders>
              <w:top w:val="nil"/>
              <w:left w:val="nil"/>
              <w:bottom w:val="single" w:sz="4" w:space="0" w:color="auto"/>
              <w:right w:val="single" w:sz="4" w:space="0" w:color="auto"/>
            </w:tcBorders>
            <w:shd w:val="clear" w:color="auto" w:fill="auto"/>
            <w:noWrap/>
          </w:tcPr>
          <w:p w14:paraId="5D0AF7DC" w14:textId="1B01B301"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6%</w:t>
            </w:r>
          </w:p>
        </w:tc>
        <w:tc>
          <w:tcPr>
            <w:tcW w:w="289" w:type="dxa"/>
            <w:tcBorders>
              <w:top w:val="nil"/>
              <w:left w:val="nil"/>
              <w:bottom w:val="nil"/>
              <w:right w:val="nil"/>
            </w:tcBorders>
            <w:shd w:val="clear" w:color="auto" w:fill="auto"/>
            <w:noWrap/>
            <w:vAlign w:val="bottom"/>
          </w:tcPr>
          <w:p w14:paraId="08D39CE0" w14:textId="77777777"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p>
        </w:tc>
        <w:tc>
          <w:tcPr>
            <w:tcW w:w="1554" w:type="dxa"/>
            <w:tcBorders>
              <w:top w:val="nil"/>
              <w:left w:val="single" w:sz="4" w:space="0" w:color="auto"/>
              <w:bottom w:val="single" w:sz="4" w:space="0" w:color="auto"/>
              <w:right w:val="single" w:sz="4" w:space="0" w:color="auto"/>
            </w:tcBorders>
            <w:shd w:val="clear" w:color="auto" w:fill="auto"/>
            <w:noWrap/>
          </w:tcPr>
          <w:p w14:paraId="3935EAB5" w14:textId="646D1AC7"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Francés</w:t>
            </w:r>
          </w:p>
        </w:tc>
        <w:tc>
          <w:tcPr>
            <w:tcW w:w="1125" w:type="dxa"/>
            <w:tcBorders>
              <w:top w:val="nil"/>
              <w:left w:val="nil"/>
              <w:bottom w:val="single" w:sz="4" w:space="0" w:color="auto"/>
              <w:right w:val="single" w:sz="4" w:space="0" w:color="auto"/>
            </w:tcBorders>
            <w:shd w:val="clear" w:color="auto" w:fill="auto"/>
            <w:noWrap/>
          </w:tcPr>
          <w:p w14:paraId="6479F778" w14:textId="48A92FD1"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3</w:t>
            </w:r>
          </w:p>
        </w:tc>
        <w:tc>
          <w:tcPr>
            <w:tcW w:w="1126" w:type="dxa"/>
            <w:tcBorders>
              <w:top w:val="nil"/>
              <w:left w:val="nil"/>
              <w:bottom w:val="single" w:sz="4" w:space="0" w:color="auto"/>
              <w:right w:val="single" w:sz="4" w:space="0" w:color="auto"/>
            </w:tcBorders>
            <w:shd w:val="clear" w:color="auto" w:fill="auto"/>
            <w:noWrap/>
          </w:tcPr>
          <w:p w14:paraId="3617AF01" w14:textId="1D9C3181"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3%</w:t>
            </w:r>
          </w:p>
        </w:tc>
      </w:tr>
      <w:tr w:rsidR="00DB153E" w:rsidRPr="00240E45" w14:paraId="3925A147" w14:textId="77777777" w:rsidTr="00DB153E">
        <w:trPr>
          <w:trHeight w:val="155"/>
          <w:jc w:val="center"/>
        </w:trPr>
        <w:tc>
          <w:tcPr>
            <w:tcW w:w="1560" w:type="dxa"/>
            <w:tcBorders>
              <w:top w:val="nil"/>
              <w:left w:val="single" w:sz="4" w:space="0" w:color="auto"/>
              <w:bottom w:val="single" w:sz="4" w:space="0" w:color="auto"/>
              <w:right w:val="single" w:sz="4" w:space="0" w:color="auto"/>
            </w:tcBorders>
            <w:shd w:val="clear" w:color="auto" w:fill="auto"/>
            <w:noWrap/>
          </w:tcPr>
          <w:p w14:paraId="6200AA6A" w14:textId="2B3CEEED"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Canadá</w:t>
            </w:r>
          </w:p>
        </w:tc>
        <w:tc>
          <w:tcPr>
            <w:tcW w:w="850" w:type="dxa"/>
            <w:tcBorders>
              <w:top w:val="nil"/>
              <w:left w:val="nil"/>
              <w:bottom w:val="single" w:sz="4" w:space="0" w:color="auto"/>
              <w:right w:val="single" w:sz="4" w:space="0" w:color="auto"/>
            </w:tcBorders>
            <w:shd w:val="clear" w:color="auto" w:fill="auto"/>
            <w:noWrap/>
          </w:tcPr>
          <w:p w14:paraId="4E96987F" w14:textId="5BA6D176"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5</w:t>
            </w:r>
          </w:p>
        </w:tc>
        <w:tc>
          <w:tcPr>
            <w:tcW w:w="992" w:type="dxa"/>
            <w:tcBorders>
              <w:top w:val="nil"/>
              <w:left w:val="nil"/>
              <w:bottom w:val="single" w:sz="4" w:space="0" w:color="auto"/>
              <w:right w:val="single" w:sz="4" w:space="0" w:color="auto"/>
            </w:tcBorders>
            <w:shd w:val="clear" w:color="auto" w:fill="auto"/>
            <w:noWrap/>
          </w:tcPr>
          <w:p w14:paraId="026520E0" w14:textId="29BE9421"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5%</w:t>
            </w:r>
          </w:p>
        </w:tc>
        <w:tc>
          <w:tcPr>
            <w:tcW w:w="289" w:type="dxa"/>
            <w:tcBorders>
              <w:top w:val="nil"/>
              <w:left w:val="nil"/>
              <w:bottom w:val="nil"/>
              <w:right w:val="nil"/>
            </w:tcBorders>
            <w:shd w:val="clear" w:color="auto" w:fill="auto"/>
            <w:noWrap/>
            <w:vAlign w:val="bottom"/>
          </w:tcPr>
          <w:p w14:paraId="7CAAD197" w14:textId="77777777"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p>
        </w:tc>
        <w:tc>
          <w:tcPr>
            <w:tcW w:w="1554" w:type="dxa"/>
            <w:tcBorders>
              <w:top w:val="nil"/>
              <w:left w:val="single" w:sz="4" w:space="0" w:color="auto"/>
              <w:bottom w:val="single" w:sz="4" w:space="0" w:color="auto"/>
              <w:right w:val="single" w:sz="4" w:space="0" w:color="auto"/>
            </w:tcBorders>
            <w:shd w:val="clear" w:color="auto" w:fill="auto"/>
            <w:noWrap/>
          </w:tcPr>
          <w:p w14:paraId="4037921B" w14:textId="0C23EDC5"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Coreano</w:t>
            </w:r>
          </w:p>
        </w:tc>
        <w:tc>
          <w:tcPr>
            <w:tcW w:w="1125" w:type="dxa"/>
            <w:tcBorders>
              <w:top w:val="nil"/>
              <w:left w:val="nil"/>
              <w:bottom w:val="single" w:sz="4" w:space="0" w:color="auto"/>
              <w:right w:val="single" w:sz="4" w:space="0" w:color="auto"/>
            </w:tcBorders>
            <w:shd w:val="clear" w:color="auto" w:fill="auto"/>
            <w:noWrap/>
          </w:tcPr>
          <w:p w14:paraId="2EECF724" w14:textId="5965521E"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2</w:t>
            </w:r>
          </w:p>
        </w:tc>
        <w:tc>
          <w:tcPr>
            <w:tcW w:w="1126" w:type="dxa"/>
            <w:tcBorders>
              <w:top w:val="nil"/>
              <w:left w:val="nil"/>
              <w:bottom w:val="single" w:sz="4" w:space="0" w:color="auto"/>
              <w:right w:val="single" w:sz="4" w:space="0" w:color="auto"/>
            </w:tcBorders>
            <w:shd w:val="clear" w:color="auto" w:fill="auto"/>
            <w:noWrap/>
          </w:tcPr>
          <w:p w14:paraId="53D1F80B" w14:textId="1F0C218A"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2%</w:t>
            </w:r>
          </w:p>
        </w:tc>
      </w:tr>
      <w:tr w:rsidR="00DB153E" w:rsidRPr="00240E45" w14:paraId="10512F72" w14:textId="77777777" w:rsidTr="00DB153E">
        <w:trPr>
          <w:trHeight w:val="155"/>
          <w:jc w:val="center"/>
        </w:trPr>
        <w:tc>
          <w:tcPr>
            <w:tcW w:w="1560" w:type="dxa"/>
            <w:tcBorders>
              <w:top w:val="nil"/>
              <w:left w:val="single" w:sz="4" w:space="0" w:color="auto"/>
              <w:bottom w:val="single" w:sz="4" w:space="0" w:color="auto"/>
              <w:right w:val="single" w:sz="4" w:space="0" w:color="auto"/>
            </w:tcBorders>
            <w:shd w:val="clear" w:color="auto" w:fill="auto"/>
            <w:noWrap/>
          </w:tcPr>
          <w:p w14:paraId="73A8EE1E" w14:textId="0F457DEC"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Suiza</w:t>
            </w:r>
          </w:p>
        </w:tc>
        <w:tc>
          <w:tcPr>
            <w:tcW w:w="850" w:type="dxa"/>
            <w:tcBorders>
              <w:top w:val="nil"/>
              <w:left w:val="nil"/>
              <w:bottom w:val="single" w:sz="4" w:space="0" w:color="auto"/>
              <w:right w:val="single" w:sz="4" w:space="0" w:color="auto"/>
            </w:tcBorders>
            <w:shd w:val="clear" w:color="auto" w:fill="auto"/>
            <w:noWrap/>
          </w:tcPr>
          <w:p w14:paraId="32C3E01F" w14:textId="77FC8898"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4</w:t>
            </w:r>
          </w:p>
        </w:tc>
        <w:tc>
          <w:tcPr>
            <w:tcW w:w="992" w:type="dxa"/>
            <w:tcBorders>
              <w:top w:val="nil"/>
              <w:left w:val="nil"/>
              <w:bottom w:val="single" w:sz="4" w:space="0" w:color="auto"/>
              <w:right w:val="single" w:sz="4" w:space="0" w:color="auto"/>
            </w:tcBorders>
            <w:shd w:val="clear" w:color="auto" w:fill="auto"/>
            <w:noWrap/>
          </w:tcPr>
          <w:p w14:paraId="1F79DC68" w14:textId="2E112276"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4%</w:t>
            </w:r>
          </w:p>
        </w:tc>
        <w:tc>
          <w:tcPr>
            <w:tcW w:w="289" w:type="dxa"/>
            <w:tcBorders>
              <w:top w:val="nil"/>
              <w:left w:val="nil"/>
              <w:bottom w:val="nil"/>
              <w:right w:val="nil"/>
            </w:tcBorders>
            <w:shd w:val="clear" w:color="auto" w:fill="auto"/>
            <w:noWrap/>
            <w:vAlign w:val="bottom"/>
          </w:tcPr>
          <w:p w14:paraId="21093EC6" w14:textId="77777777"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p>
        </w:tc>
        <w:tc>
          <w:tcPr>
            <w:tcW w:w="1554" w:type="dxa"/>
            <w:tcBorders>
              <w:top w:val="nil"/>
              <w:left w:val="single" w:sz="4" w:space="0" w:color="auto"/>
              <w:bottom w:val="single" w:sz="4" w:space="0" w:color="auto"/>
              <w:right w:val="single" w:sz="4" w:space="0" w:color="auto"/>
            </w:tcBorders>
            <w:shd w:val="clear" w:color="auto" w:fill="auto"/>
            <w:noWrap/>
          </w:tcPr>
          <w:p w14:paraId="7ABA0639" w14:textId="4834FAAA"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Japonés</w:t>
            </w:r>
          </w:p>
        </w:tc>
        <w:tc>
          <w:tcPr>
            <w:tcW w:w="1125" w:type="dxa"/>
            <w:tcBorders>
              <w:top w:val="nil"/>
              <w:left w:val="nil"/>
              <w:bottom w:val="single" w:sz="4" w:space="0" w:color="auto"/>
              <w:right w:val="single" w:sz="4" w:space="0" w:color="auto"/>
            </w:tcBorders>
            <w:shd w:val="clear" w:color="auto" w:fill="auto"/>
            <w:noWrap/>
          </w:tcPr>
          <w:p w14:paraId="4D8D9FCF" w14:textId="639DBE04"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2</w:t>
            </w:r>
          </w:p>
        </w:tc>
        <w:tc>
          <w:tcPr>
            <w:tcW w:w="1126" w:type="dxa"/>
            <w:tcBorders>
              <w:top w:val="nil"/>
              <w:left w:val="nil"/>
              <w:bottom w:val="single" w:sz="4" w:space="0" w:color="auto"/>
              <w:right w:val="single" w:sz="4" w:space="0" w:color="auto"/>
            </w:tcBorders>
            <w:shd w:val="clear" w:color="auto" w:fill="auto"/>
            <w:noWrap/>
          </w:tcPr>
          <w:p w14:paraId="4D389FA4" w14:textId="358F8E0C"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2%</w:t>
            </w:r>
          </w:p>
        </w:tc>
      </w:tr>
      <w:tr w:rsidR="00DB153E" w:rsidRPr="00240E45" w14:paraId="3F6FD459" w14:textId="77777777" w:rsidTr="00DB153E">
        <w:trPr>
          <w:trHeight w:val="155"/>
          <w:jc w:val="center"/>
        </w:trPr>
        <w:tc>
          <w:tcPr>
            <w:tcW w:w="1560" w:type="dxa"/>
            <w:tcBorders>
              <w:top w:val="nil"/>
              <w:left w:val="single" w:sz="4" w:space="0" w:color="auto"/>
              <w:bottom w:val="single" w:sz="4" w:space="0" w:color="auto"/>
              <w:right w:val="single" w:sz="4" w:space="0" w:color="auto"/>
            </w:tcBorders>
            <w:shd w:val="clear" w:color="auto" w:fill="auto"/>
            <w:noWrap/>
          </w:tcPr>
          <w:p w14:paraId="1595EC3A" w14:textId="6263CA6D"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China</w:t>
            </w:r>
          </w:p>
        </w:tc>
        <w:tc>
          <w:tcPr>
            <w:tcW w:w="850" w:type="dxa"/>
            <w:tcBorders>
              <w:top w:val="nil"/>
              <w:left w:val="nil"/>
              <w:bottom w:val="single" w:sz="4" w:space="0" w:color="auto"/>
              <w:right w:val="single" w:sz="4" w:space="0" w:color="auto"/>
            </w:tcBorders>
            <w:shd w:val="clear" w:color="auto" w:fill="auto"/>
            <w:noWrap/>
          </w:tcPr>
          <w:p w14:paraId="33942F4F" w14:textId="2959B554"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3</w:t>
            </w:r>
          </w:p>
        </w:tc>
        <w:tc>
          <w:tcPr>
            <w:tcW w:w="992" w:type="dxa"/>
            <w:tcBorders>
              <w:top w:val="nil"/>
              <w:left w:val="nil"/>
              <w:bottom w:val="single" w:sz="4" w:space="0" w:color="auto"/>
              <w:right w:val="single" w:sz="4" w:space="0" w:color="auto"/>
            </w:tcBorders>
            <w:shd w:val="clear" w:color="auto" w:fill="auto"/>
            <w:noWrap/>
          </w:tcPr>
          <w:p w14:paraId="56E7B30E" w14:textId="718E2969"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3%</w:t>
            </w:r>
          </w:p>
        </w:tc>
        <w:tc>
          <w:tcPr>
            <w:tcW w:w="289" w:type="dxa"/>
            <w:tcBorders>
              <w:top w:val="nil"/>
              <w:left w:val="nil"/>
              <w:bottom w:val="nil"/>
              <w:right w:val="nil"/>
            </w:tcBorders>
            <w:shd w:val="clear" w:color="auto" w:fill="auto"/>
            <w:noWrap/>
            <w:vAlign w:val="bottom"/>
          </w:tcPr>
          <w:p w14:paraId="11CCF342" w14:textId="77777777"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p>
        </w:tc>
        <w:tc>
          <w:tcPr>
            <w:tcW w:w="1554" w:type="dxa"/>
            <w:tcBorders>
              <w:top w:val="nil"/>
              <w:left w:val="single" w:sz="4" w:space="0" w:color="auto"/>
              <w:bottom w:val="single" w:sz="4" w:space="0" w:color="auto"/>
              <w:right w:val="single" w:sz="4" w:space="0" w:color="auto"/>
            </w:tcBorders>
            <w:shd w:val="clear" w:color="auto" w:fill="auto"/>
            <w:noWrap/>
          </w:tcPr>
          <w:p w14:paraId="7E9CF647" w14:textId="5F494018"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Sueco</w:t>
            </w:r>
          </w:p>
        </w:tc>
        <w:tc>
          <w:tcPr>
            <w:tcW w:w="1125" w:type="dxa"/>
            <w:tcBorders>
              <w:top w:val="nil"/>
              <w:left w:val="nil"/>
              <w:bottom w:val="single" w:sz="4" w:space="0" w:color="auto"/>
              <w:right w:val="single" w:sz="4" w:space="0" w:color="auto"/>
            </w:tcBorders>
            <w:shd w:val="clear" w:color="auto" w:fill="auto"/>
            <w:noWrap/>
          </w:tcPr>
          <w:p w14:paraId="66A0F0AF" w14:textId="182CBB7A"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2</w:t>
            </w:r>
          </w:p>
        </w:tc>
        <w:tc>
          <w:tcPr>
            <w:tcW w:w="1126" w:type="dxa"/>
            <w:tcBorders>
              <w:top w:val="nil"/>
              <w:left w:val="nil"/>
              <w:bottom w:val="single" w:sz="4" w:space="0" w:color="auto"/>
              <w:right w:val="single" w:sz="4" w:space="0" w:color="auto"/>
            </w:tcBorders>
            <w:shd w:val="clear" w:color="auto" w:fill="auto"/>
            <w:noWrap/>
          </w:tcPr>
          <w:p w14:paraId="473E632F" w14:textId="0720FA3C"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2%</w:t>
            </w:r>
          </w:p>
        </w:tc>
      </w:tr>
      <w:tr w:rsidR="00DB153E" w:rsidRPr="00240E45" w14:paraId="62A4D902" w14:textId="77777777" w:rsidTr="00DB153E">
        <w:trPr>
          <w:trHeight w:val="155"/>
          <w:jc w:val="center"/>
        </w:trPr>
        <w:tc>
          <w:tcPr>
            <w:tcW w:w="1560" w:type="dxa"/>
            <w:tcBorders>
              <w:top w:val="nil"/>
              <w:left w:val="single" w:sz="4" w:space="0" w:color="auto"/>
              <w:bottom w:val="single" w:sz="4" w:space="0" w:color="auto"/>
              <w:right w:val="single" w:sz="4" w:space="0" w:color="auto"/>
            </w:tcBorders>
            <w:shd w:val="clear" w:color="auto" w:fill="auto"/>
            <w:noWrap/>
          </w:tcPr>
          <w:p w14:paraId="40321EBE" w14:textId="75D78F70"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Hong Kong</w:t>
            </w:r>
          </w:p>
        </w:tc>
        <w:tc>
          <w:tcPr>
            <w:tcW w:w="850" w:type="dxa"/>
            <w:tcBorders>
              <w:top w:val="nil"/>
              <w:left w:val="nil"/>
              <w:bottom w:val="single" w:sz="4" w:space="0" w:color="auto"/>
              <w:right w:val="single" w:sz="4" w:space="0" w:color="auto"/>
            </w:tcBorders>
            <w:shd w:val="clear" w:color="auto" w:fill="auto"/>
            <w:noWrap/>
          </w:tcPr>
          <w:p w14:paraId="5DD232A4" w14:textId="69A6A3E9"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3</w:t>
            </w:r>
          </w:p>
        </w:tc>
        <w:tc>
          <w:tcPr>
            <w:tcW w:w="992" w:type="dxa"/>
            <w:tcBorders>
              <w:top w:val="nil"/>
              <w:left w:val="nil"/>
              <w:bottom w:val="single" w:sz="4" w:space="0" w:color="auto"/>
              <w:right w:val="single" w:sz="4" w:space="0" w:color="auto"/>
            </w:tcBorders>
            <w:shd w:val="clear" w:color="auto" w:fill="auto"/>
            <w:noWrap/>
          </w:tcPr>
          <w:p w14:paraId="63EDB2B0" w14:textId="38EB14F6"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3%</w:t>
            </w:r>
          </w:p>
        </w:tc>
        <w:tc>
          <w:tcPr>
            <w:tcW w:w="289" w:type="dxa"/>
            <w:tcBorders>
              <w:top w:val="nil"/>
              <w:left w:val="nil"/>
              <w:bottom w:val="nil"/>
              <w:right w:val="nil"/>
            </w:tcBorders>
            <w:shd w:val="clear" w:color="auto" w:fill="auto"/>
            <w:noWrap/>
            <w:vAlign w:val="bottom"/>
          </w:tcPr>
          <w:p w14:paraId="30ED0678" w14:textId="77777777"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p>
        </w:tc>
        <w:tc>
          <w:tcPr>
            <w:tcW w:w="1554" w:type="dxa"/>
            <w:tcBorders>
              <w:top w:val="nil"/>
              <w:left w:val="single" w:sz="4" w:space="0" w:color="auto"/>
              <w:bottom w:val="single" w:sz="4" w:space="0" w:color="auto"/>
              <w:right w:val="single" w:sz="4" w:space="0" w:color="auto"/>
            </w:tcBorders>
            <w:shd w:val="clear" w:color="auto" w:fill="auto"/>
            <w:noWrap/>
          </w:tcPr>
          <w:p w14:paraId="101DFF17" w14:textId="172C8B25"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Finlandés</w:t>
            </w:r>
          </w:p>
        </w:tc>
        <w:tc>
          <w:tcPr>
            <w:tcW w:w="1125" w:type="dxa"/>
            <w:tcBorders>
              <w:top w:val="nil"/>
              <w:left w:val="nil"/>
              <w:bottom w:val="single" w:sz="4" w:space="0" w:color="auto"/>
              <w:right w:val="single" w:sz="4" w:space="0" w:color="auto"/>
            </w:tcBorders>
            <w:shd w:val="clear" w:color="auto" w:fill="auto"/>
            <w:noWrap/>
          </w:tcPr>
          <w:p w14:paraId="69CFD27F" w14:textId="22E2B886"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1</w:t>
            </w:r>
          </w:p>
        </w:tc>
        <w:tc>
          <w:tcPr>
            <w:tcW w:w="1126" w:type="dxa"/>
            <w:tcBorders>
              <w:top w:val="nil"/>
              <w:left w:val="nil"/>
              <w:bottom w:val="single" w:sz="4" w:space="0" w:color="auto"/>
              <w:right w:val="single" w:sz="4" w:space="0" w:color="auto"/>
            </w:tcBorders>
            <w:shd w:val="clear" w:color="auto" w:fill="auto"/>
            <w:noWrap/>
          </w:tcPr>
          <w:p w14:paraId="64CB345E" w14:textId="6ECDBB5A"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1%</w:t>
            </w:r>
          </w:p>
        </w:tc>
      </w:tr>
      <w:tr w:rsidR="00DB153E" w:rsidRPr="00240E45" w14:paraId="1D51E024" w14:textId="77777777" w:rsidTr="00DB153E">
        <w:trPr>
          <w:trHeight w:val="155"/>
          <w:jc w:val="center"/>
        </w:trPr>
        <w:tc>
          <w:tcPr>
            <w:tcW w:w="1560" w:type="dxa"/>
            <w:tcBorders>
              <w:top w:val="nil"/>
              <w:left w:val="single" w:sz="4" w:space="0" w:color="auto"/>
              <w:bottom w:val="single" w:sz="4" w:space="0" w:color="auto"/>
              <w:right w:val="single" w:sz="4" w:space="0" w:color="auto"/>
            </w:tcBorders>
            <w:shd w:val="clear" w:color="auto" w:fill="auto"/>
            <w:noWrap/>
          </w:tcPr>
          <w:p w14:paraId="6925F9EA" w14:textId="2D8FE9C0"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Francia</w:t>
            </w:r>
          </w:p>
        </w:tc>
        <w:tc>
          <w:tcPr>
            <w:tcW w:w="850" w:type="dxa"/>
            <w:tcBorders>
              <w:top w:val="nil"/>
              <w:left w:val="nil"/>
              <w:bottom w:val="single" w:sz="4" w:space="0" w:color="auto"/>
              <w:right w:val="single" w:sz="4" w:space="0" w:color="auto"/>
            </w:tcBorders>
            <w:shd w:val="clear" w:color="auto" w:fill="auto"/>
            <w:noWrap/>
          </w:tcPr>
          <w:p w14:paraId="70F17E31" w14:textId="05073010"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3</w:t>
            </w:r>
          </w:p>
        </w:tc>
        <w:tc>
          <w:tcPr>
            <w:tcW w:w="992" w:type="dxa"/>
            <w:tcBorders>
              <w:top w:val="nil"/>
              <w:left w:val="nil"/>
              <w:bottom w:val="single" w:sz="4" w:space="0" w:color="auto"/>
              <w:right w:val="single" w:sz="4" w:space="0" w:color="auto"/>
            </w:tcBorders>
            <w:shd w:val="clear" w:color="auto" w:fill="auto"/>
            <w:noWrap/>
          </w:tcPr>
          <w:p w14:paraId="7B830520" w14:textId="7FCB89F6"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3%</w:t>
            </w:r>
          </w:p>
        </w:tc>
        <w:tc>
          <w:tcPr>
            <w:tcW w:w="289" w:type="dxa"/>
            <w:tcBorders>
              <w:top w:val="nil"/>
              <w:left w:val="nil"/>
              <w:bottom w:val="nil"/>
              <w:right w:val="nil"/>
            </w:tcBorders>
            <w:shd w:val="clear" w:color="auto" w:fill="auto"/>
            <w:noWrap/>
            <w:vAlign w:val="bottom"/>
          </w:tcPr>
          <w:p w14:paraId="6C68890B" w14:textId="77777777"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p>
        </w:tc>
        <w:tc>
          <w:tcPr>
            <w:tcW w:w="3805" w:type="dxa"/>
            <w:gridSpan w:val="3"/>
            <w:tcBorders>
              <w:top w:val="nil"/>
              <w:left w:val="nil"/>
              <w:bottom w:val="nil"/>
              <w:right w:val="nil"/>
            </w:tcBorders>
            <w:shd w:val="clear" w:color="auto" w:fill="auto"/>
            <w:noWrap/>
            <w:vAlign w:val="bottom"/>
          </w:tcPr>
          <w:p w14:paraId="015E64E9" w14:textId="253CC379" w:rsidR="00DB153E" w:rsidRPr="00240E45" w:rsidRDefault="00DB153E" w:rsidP="00DB153E">
            <w:pPr>
              <w:spacing w:after="0" w:line="240" w:lineRule="auto"/>
              <w:rPr>
                <w:rFonts w:ascii="Calibri" w:eastAsia="Times New Roman" w:hAnsi="Calibri" w:cs="Calibri"/>
                <w:color w:val="000000"/>
                <w:sz w:val="14"/>
                <w:szCs w:val="18"/>
                <w:lang w:eastAsia="es-MX"/>
              </w:rPr>
            </w:pPr>
          </w:p>
        </w:tc>
      </w:tr>
      <w:tr w:rsidR="00DB153E" w:rsidRPr="00240E45" w14:paraId="0AB21B9C" w14:textId="77777777" w:rsidTr="00DB153E">
        <w:trPr>
          <w:trHeight w:val="155"/>
          <w:jc w:val="center"/>
        </w:trPr>
        <w:tc>
          <w:tcPr>
            <w:tcW w:w="1560" w:type="dxa"/>
            <w:tcBorders>
              <w:top w:val="nil"/>
              <w:left w:val="single" w:sz="4" w:space="0" w:color="auto"/>
              <w:bottom w:val="single" w:sz="4" w:space="0" w:color="auto"/>
              <w:right w:val="single" w:sz="4" w:space="0" w:color="auto"/>
            </w:tcBorders>
            <w:shd w:val="clear" w:color="auto" w:fill="auto"/>
            <w:noWrap/>
          </w:tcPr>
          <w:p w14:paraId="69107FF9" w14:textId="3E788C64"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Suecia</w:t>
            </w:r>
          </w:p>
        </w:tc>
        <w:tc>
          <w:tcPr>
            <w:tcW w:w="850" w:type="dxa"/>
            <w:tcBorders>
              <w:top w:val="nil"/>
              <w:left w:val="nil"/>
              <w:bottom w:val="single" w:sz="4" w:space="0" w:color="auto"/>
              <w:right w:val="single" w:sz="4" w:space="0" w:color="auto"/>
            </w:tcBorders>
            <w:shd w:val="clear" w:color="auto" w:fill="auto"/>
            <w:noWrap/>
          </w:tcPr>
          <w:p w14:paraId="390A4FF5" w14:textId="31AEB311"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2</w:t>
            </w:r>
          </w:p>
        </w:tc>
        <w:tc>
          <w:tcPr>
            <w:tcW w:w="992" w:type="dxa"/>
            <w:tcBorders>
              <w:top w:val="nil"/>
              <w:left w:val="nil"/>
              <w:bottom w:val="single" w:sz="4" w:space="0" w:color="auto"/>
              <w:right w:val="single" w:sz="4" w:space="0" w:color="auto"/>
            </w:tcBorders>
            <w:shd w:val="clear" w:color="auto" w:fill="auto"/>
            <w:noWrap/>
          </w:tcPr>
          <w:p w14:paraId="5BAA39BA" w14:textId="16186BBE"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2%</w:t>
            </w:r>
          </w:p>
        </w:tc>
        <w:tc>
          <w:tcPr>
            <w:tcW w:w="289" w:type="dxa"/>
            <w:tcBorders>
              <w:top w:val="nil"/>
              <w:left w:val="nil"/>
              <w:bottom w:val="nil"/>
              <w:right w:val="nil"/>
            </w:tcBorders>
            <w:shd w:val="clear" w:color="auto" w:fill="auto"/>
            <w:noWrap/>
            <w:vAlign w:val="bottom"/>
          </w:tcPr>
          <w:p w14:paraId="2C75789A" w14:textId="77777777"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p>
        </w:tc>
        <w:tc>
          <w:tcPr>
            <w:tcW w:w="1554" w:type="dxa"/>
            <w:tcBorders>
              <w:top w:val="nil"/>
              <w:left w:val="nil"/>
              <w:bottom w:val="nil"/>
              <w:right w:val="nil"/>
            </w:tcBorders>
            <w:shd w:val="clear" w:color="auto" w:fill="auto"/>
            <w:noWrap/>
            <w:vAlign w:val="bottom"/>
          </w:tcPr>
          <w:p w14:paraId="31A0723B" w14:textId="77777777" w:rsidR="00DB153E" w:rsidRPr="00240E45" w:rsidRDefault="00DB153E" w:rsidP="00DB153E">
            <w:pPr>
              <w:spacing w:after="0" w:line="240" w:lineRule="auto"/>
              <w:jc w:val="center"/>
              <w:rPr>
                <w:rFonts w:ascii="Times New Roman" w:eastAsia="Times New Roman" w:hAnsi="Times New Roman" w:cs="Times New Roman"/>
                <w:sz w:val="18"/>
                <w:szCs w:val="18"/>
                <w:lang w:eastAsia="es-MX"/>
              </w:rPr>
            </w:pPr>
          </w:p>
        </w:tc>
        <w:tc>
          <w:tcPr>
            <w:tcW w:w="1125" w:type="dxa"/>
            <w:tcBorders>
              <w:top w:val="nil"/>
              <w:left w:val="nil"/>
              <w:bottom w:val="nil"/>
              <w:right w:val="nil"/>
            </w:tcBorders>
            <w:shd w:val="clear" w:color="auto" w:fill="auto"/>
            <w:noWrap/>
            <w:vAlign w:val="bottom"/>
          </w:tcPr>
          <w:p w14:paraId="734B0371" w14:textId="77777777" w:rsidR="00DB153E" w:rsidRPr="00240E45" w:rsidRDefault="00DB153E" w:rsidP="00DB153E">
            <w:pPr>
              <w:spacing w:after="0" w:line="240" w:lineRule="auto"/>
              <w:rPr>
                <w:rFonts w:ascii="Times New Roman" w:eastAsia="Times New Roman" w:hAnsi="Times New Roman" w:cs="Times New Roman"/>
                <w:sz w:val="18"/>
                <w:szCs w:val="18"/>
                <w:lang w:eastAsia="es-MX"/>
              </w:rPr>
            </w:pPr>
          </w:p>
        </w:tc>
        <w:tc>
          <w:tcPr>
            <w:tcW w:w="1126" w:type="dxa"/>
            <w:tcBorders>
              <w:top w:val="nil"/>
              <w:left w:val="nil"/>
              <w:bottom w:val="nil"/>
              <w:right w:val="nil"/>
            </w:tcBorders>
            <w:shd w:val="clear" w:color="auto" w:fill="auto"/>
            <w:noWrap/>
            <w:vAlign w:val="bottom"/>
          </w:tcPr>
          <w:p w14:paraId="1FD0073B" w14:textId="77777777" w:rsidR="00DB153E" w:rsidRPr="00240E45" w:rsidRDefault="00DB153E" w:rsidP="00DB153E">
            <w:pPr>
              <w:spacing w:after="0" w:line="240" w:lineRule="auto"/>
              <w:rPr>
                <w:rFonts w:ascii="Times New Roman" w:eastAsia="Times New Roman" w:hAnsi="Times New Roman" w:cs="Times New Roman"/>
                <w:sz w:val="18"/>
                <w:szCs w:val="18"/>
                <w:lang w:eastAsia="es-MX"/>
              </w:rPr>
            </w:pPr>
          </w:p>
        </w:tc>
      </w:tr>
      <w:tr w:rsidR="00DB153E" w:rsidRPr="00240E45" w14:paraId="43829F80" w14:textId="77777777" w:rsidTr="00DB153E">
        <w:trPr>
          <w:trHeight w:val="155"/>
          <w:jc w:val="center"/>
        </w:trPr>
        <w:tc>
          <w:tcPr>
            <w:tcW w:w="1560" w:type="dxa"/>
            <w:tcBorders>
              <w:top w:val="nil"/>
              <w:left w:val="single" w:sz="4" w:space="0" w:color="auto"/>
              <w:bottom w:val="single" w:sz="4" w:space="0" w:color="auto"/>
              <w:right w:val="single" w:sz="4" w:space="0" w:color="auto"/>
            </w:tcBorders>
            <w:shd w:val="clear" w:color="auto" w:fill="auto"/>
            <w:noWrap/>
          </w:tcPr>
          <w:p w14:paraId="6DD9D37C" w14:textId="41EA2653"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Corea del Sur</w:t>
            </w:r>
          </w:p>
        </w:tc>
        <w:tc>
          <w:tcPr>
            <w:tcW w:w="850" w:type="dxa"/>
            <w:tcBorders>
              <w:top w:val="nil"/>
              <w:left w:val="nil"/>
              <w:bottom w:val="single" w:sz="4" w:space="0" w:color="auto"/>
              <w:right w:val="single" w:sz="4" w:space="0" w:color="auto"/>
            </w:tcBorders>
            <w:shd w:val="clear" w:color="auto" w:fill="auto"/>
            <w:noWrap/>
          </w:tcPr>
          <w:p w14:paraId="58933581" w14:textId="4ECD10DF"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2</w:t>
            </w:r>
          </w:p>
        </w:tc>
        <w:tc>
          <w:tcPr>
            <w:tcW w:w="992" w:type="dxa"/>
            <w:tcBorders>
              <w:top w:val="nil"/>
              <w:left w:val="nil"/>
              <w:bottom w:val="single" w:sz="4" w:space="0" w:color="auto"/>
              <w:right w:val="single" w:sz="4" w:space="0" w:color="auto"/>
            </w:tcBorders>
            <w:shd w:val="clear" w:color="auto" w:fill="auto"/>
            <w:noWrap/>
          </w:tcPr>
          <w:p w14:paraId="227880A3" w14:textId="2C0D293C"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2%</w:t>
            </w:r>
          </w:p>
        </w:tc>
        <w:tc>
          <w:tcPr>
            <w:tcW w:w="289" w:type="dxa"/>
            <w:tcBorders>
              <w:top w:val="nil"/>
              <w:left w:val="nil"/>
              <w:bottom w:val="nil"/>
              <w:right w:val="nil"/>
            </w:tcBorders>
            <w:shd w:val="clear" w:color="auto" w:fill="auto"/>
            <w:noWrap/>
            <w:vAlign w:val="bottom"/>
          </w:tcPr>
          <w:p w14:paraId="03EBC0D7" w14:textId="77777777"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p>
        </w:tc>
        <w:tc>
          <w:tcPr>
            <w:tcW w:w="1554" w:type="dxa"/>
            <w:tcBorders>
              <w:top w:val="nil"/>
              <w:left w:val="nil"/>
              <w:bottom w:val="nil"/>
              <w:right w:val="nil"/>
            </w:tcBorders>
            <w:shd w:val="clear" w:color="auto" w:fill="auto"/>
            <w:noWrap/>
            <w:vAlign w:val="bottom"/>
          </w:tcPr>
          <w:p w14:paraId="0651A07F" w14:textId="77777777" w:rsidR="00DB153E" w:rsidRPr="00240E45" w:rsidRDefault="00DB153E" w:rsidP="00DB153E">
            <w:pPr>
              <w:spacing w:after="0" w:line="240" w:lineRule="auto"/>
              <w:jc w:val="center"/>
              <w:rPr>
                <w:rFonts w:ascii="Times New Roman" w:eastAsia="Times New Roman" w:hAnsi="Times New Roman" w:cs="Times New Roman"/>
                <w:sz w:val="18"/>
                <w:szCs w:val="18"/>
                <w:lang w:eastAsia="es-MX"/>
              </w:rPr>
            </w:pPr>
          </w:p>
        </w:tc>
        <w:tc>
          <w:tcPr>
            <w:tcW w:w="1125" w:type="dxa"/>
            <w:tcBorders>
              <w:top w:val="nil"/>
              <w:left w:val="nil"/>
              <w:bottom w:val="nil"/>
              <w:right w:val="nil"/>
            </w:tcBorders>
            <w:shd w:val="clear" w:color="auto" w:fill="auto"/>
            <w:noWrap/>
            <w:vAlign w:val="bottom"/>
          </w:tcPr>
          <w:p w14:paraId="0486D7F2" w14:textId="77777777" w:rsidR="00DB153E" w:rsidRPr="00240E45" w:rsidRDefault="00DB153E" w:rsidP="00DB153E">
            <w:pPr>
              <w:spacing w:after="0" w:line="240" w:lineRule="auto"/>
              <w:rPr>
                <w:rFonts w:ascii="Times New Roman" w:eastAsia="Times New Roman" w:hAnsi="Times New Roman" w:cs="Times New Roman"/>
                <w:sz w:val="18"/>
                <w:szCs w:val="18"/>
                <w:lang w:eastAsia="es-MX"/>
              </w:rPr>
            </w:pPr>
          </w:p>
        </w:tc>
        <w:tc>
          <w:tcPr>
            <w:tcW w:w="1126" w:type="dxa"/>
            <w:tcBorders>
              <w:top w:val="nil"/>
              <w:left w:val="nil"/>
              <w:bottom w:val="nil"/>
              <w:right w:val="nil"/>
            </w:tcBorders>
            <w:shd w:val="clear" w:color="auto" w:fill="auto"/>
            <w:noWrap/>
            <w:vAlign w:val="bottom"/>
          </w:tcPr>
          <w:p w14:paraId="44170E0B" w14:textId="77777777" w:rsidR="00DB153E" w:rsidRPr="00240E45" w:rsidRDefault="00DB153E" w:rsidP="00DB153E">
            <w:pPr>
              <w:spacing w:after="0" w:line="240" w:lineRule="auto"/>
              <w:rPr>
                <w:rFonts w:ascii="Times New Roman" w:eastAsia="Times New Roman" w:hAnsi="Times New Roman" w:cs="Times New Roman"/>
                <w:sz w:val="18"/>
                <w:szCs w:val="18"/>
                <w:lang w:eastAsia="es-MX"/>
              </w:rPr>
            </w:pPr>
          </w:p>
        </w:tc>
      </w:tr>
      <w:tr w:rsidR="00DB153E" w:rsidRPr="00240E45" w14:paraId="59D31BAC" w14:textId="77777777" w:rsidTr="00DB153E">
        <w:trPr>
          <w:trHeight w:val="155"/>
          <w:jc w:val="center"/>
        </w:trPr>
        <w:tc>
          <w:tcPr>
            <w:tcW w:w="1560" w:type="dxa"/>
            <w:tcBorders>
              <w:top w:val="nil"/>
              <w:left w:val="single" w:sz="4" w:space="0" w:color="auto"/>
              <w:bottom w:val="single" w:sz="4" w:space="0" w:color="auto"/>
              <w:right w:val="single" w:sz="4" w:space="0" w:color="auto"/>
            </w:tcBorders>
            <w:shd w:val="clear" w:color="auto" w:fill="auto"/>
            <w:noWrap/>
          </w:tcPr>
          <w:p w14:paraId="052DD3BC" w14:textId="0FF39DB2"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Japón</w:t>
            </w:r>
          </w:p>
        </w:tc>
        <w:tc>
          <w:tcPr>
            <w:tcW w:w="850" w:type="dxa"/>
            <w:tcBorders>
              <w:top w:val="nil"/>
              <w:left w:val="nil"/>
              <w:bottom w:val="single" w:sz="4" w:space="0" w:color="auto"/>
              <w:right w:val="single" w:sz="4" w:space="0" w:color="auto"/>
            </w:tcBorders>
            <w:shd w:val="clear" w:color="auto" w:fill="auto"/>
            <w:noWrap/>
          </w:tcPr>
          <w:p w14:paraId="4A208BCB" w14:textId="0FF5604D"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2</w:t>
            </w:r>
          </w:p>
        </w:tc>
        <w:tc>
          <w:tcPr>
            <w:tcW w:w="992" w:type="dxa"/>
            <w:tcBorders>
              <w:top w:val="nil"/>
              <w:left w:val="nil"/>
              <w:bottom w:val="single" w:sz="4" w:space="0" w:color="auto"/>
              <w:right w:val="single" w:sz="4" w:space="0" w:color="auto"/>
            </w:tcBorders>
            <w:shd w:val="clear" w:color="auto" w:fill="auto"/>
            <w:noWrap/>
          </w:tcPr>
          <w:p w14:paraId="5D9FC2EF" w14:textId="537C2B02"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2%</w:t>
            </w:r>
          </w:p>
        </w:tc>
        <w:tc>
          <w:tcPr>
            <w:tcW w:w="289" w:type="dxa"/>
            <w:tcBorders>
              <w:top w:val="nil"/>
              <w:left w:val="nil"/>
              <w:bottom w:val="nil"/>
              <w:right w:val="nil"/>
            </w:tcBorders>
            <w:shd w:val="clear" w:color="auto" w:fill="auto"/>
            <w:noWrap/>
            <w:vAlign w:val="bottom"/>
          </w:tcPr>
          <w:p w14:paraId="55064302" w14:textId="77777777"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p>
        </w:tc>
        <w:tc>
          <w:tcPr>
            <w:tcW w:w="1554" w:type="dxa"/>
            <w:tcBorders>
              <w:top w:val="nil"/>
              <w:left w:val="nil"/>
              <w:bottom w:val="nil"/>
              <w:right w:val="nil"/>
            </w:tcBorders>
            <w:shd w:val="clear" w:color="auto" w:fill="auto"/>
            <w:noWrap/>
            <w:vAlign w:val="bottom"/>
          </w:tcPr>
          <w:p w14:paraId="6C458B0D" w14:textId="77777777" w:rsidR="00DB153E" w:rsidRPr="00240E45" w:rsidRDefault="00DB153E" w:rsidP="00DB153E">
            <w:pPr>
              <w:spacing w:after="0" w:line="240" w:lineRule="auto"/>
              <w:jc w:val="center"/>
              <w:rPr>
                <w:rFonts w:ascii="Times New Roman" w:eastAsia="Times New Roman" w:hAnsi="Times New Roman" w:cs="Times New Roman"/>
                <w:sz w:val="18"/>
                <w:szCs w:val="18"/>
                <w:lang w:eastAsia="es-MX"/>
              </w:rPr>
            </w:pPr>
          </w:p>
        </w:tc>
        <w:tc>
          <w:tcPr>
            <w:tcW w:w="1125" w:type="dxa"/>
            <w:tcBorders>
              <w:top w:val="nil"/>
              <w:left w:val="nil"/>
              <w:bottom w:val="nil"/>
              <w:right w:val="nil"/>
            </w:tcBorders>
            <w:shd w:val="clear" w:color="auto" w:fill="auto"/>
            <w:noWrap/>
            <w:vAlign w:val="bottom"/>
          </w:tcPr>
          <w:p w14:paraId="42F45E12" w14:textId="77777777" w:rsidR="00DB153E" w:rsidRPr="00240E45" w:rsidRDefault="00DB153E" w:rsidP="00DB153E">
            <w:pPr>
              <w:spacing w:after="0" w:line="240" w:lineRule="auto"/>
              <w:rPr>
                <w:rFonts w:ascii="Times New Roman" w:eastAsia="Times New Roman" w:hAnsi="Times New Roman" w:cs="Times New Roman"/>
                <w:sz w:val="18"/>
                <w:szCs w:val="18"/>
                <w:lang w:eastAsia="es-MX"/>
              </w:rPr>
            </w:pPr>
          </w:p>
        </w:tc>
        <w:tc>
          <w:tcPr>
            <w:tcW w:w="1126" w:type="dxa"/>
            <w:tcBorders>
              <w:top w:val="nil"/>
              <w:left w:val="nil"/>
              <w:bottom w:val="nil"/>
              <w:right w:val="nil"/>
            </w:tcBorders>
            <w:shd w:val="clear" w:color="auto" w:fill="auto"/>
            <w:noWrap/>
            <w:vAlign w:val="bottom"/>
          </w:tcPr>
          <w:p w14:paraId="33C9A531" w14:textId="77777777" w:rsidR="00DB153E" w:rsidRPr="00240E45" w:rsidRDefault="00DB153E" w:rsidP="00DB153E">
            <w:pPr>
              <w:spacing w:after="0" w:line="240" w:lineRule="auto"/>
              <w:rPr>
                <w:rFonts w:ascii="Times New Roman" w:eastAsia="Times New Roman" w:hAnsi="Times New Roman" w:cs="Times New Roman"/>
                <w:sz w:val="18"/>
                <w:szCs w:val="18"/>
                <w:lang w:eastAsia="es-MX"/>
              </w:rPr>
            </w:pPr>
          </w:p>
        </w:tc>
      </w:tr>
      <w:tr w:rsidR="00DB153E" w:rsidRPr="00240E45" w14:paraId="1E527272" w14:textId="77777777" w:rsidTr="00DB153E">
        <w:trPr>
          <w:trHeight w:val="155"/>
          <w:jc w:val="center"/>
        </w:trPr>
        <w:tc>
          <w:tcPr>
            <w:tcW w:w="1560" w:type="dxa"/>
            <w:tcBorders>
              <w:top w:val="nil"/>
              <w:left w:val="single" w:sz="4" w:space="0" w:color="auto"/>
              <w:bottom w:val="single" w:sz="4" w:space="0" w:color="auto"/>
              <w:right w:val="single" w:sz="4" w:space="0" w:color="auto"/>
            </w:tcBorders>
            <w:shd w:val="clear" w:color="auto" w:fill="auto"/>
            <w:noWrap/>
          </w:tcPr>
          <w:p w14:paraId="12D96B48" w14:textId="5D8ADF0A"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Singapur</w:t>
            </w:r>
          </w:p>
        </w:tc>
        <w:tc>
          <w:tcPr>
            <w:tcW w:w="850" w:type="dxa"/>
            <w:tcBorders>
              <w:top w:val="nil"/>
              <w:left w:val="nil"/>
              <w:bottom w:val="single" w:sz="4" w:space="0" w:color="auto"/>
              <w:right w:val="single" w:sz="4" w:space="0" w:color="auto"/>
            </w:tcBorders>
            <w:shd w:val="clear" w:color="auto" w:fill="auto"/>
            <w:noWrap/>
          </w:tcPr>
          <w:p w14:paraId="39F55BCF" w14:textId="339B7161"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2</w:t>
            </w:r>
          </w:p>
        </w:tc>
        <w:tc>
          <w:tcPr>
            <w:tcW w:w="992" w:type="dxa"/>
            <w:tcBorders>
              <w:top w:val="nil"/>
              <w:left w:val="nil"/>
              <w:bottom w:val="single" w:sz="4" w:space="0" w:color="auto"/>
              <w:right w:val="single" w:sz="4" w:space="0" w:color="auto"/>
            </w:tcBorders>
            <w:shd w:val="clear" w:color="auto" w:fill="auto"/>
            <w:noWrap/>
          </w:tcPr>
          <w:p w14:paraId="14CFE5F3" w14:textId="6D595B8B"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2%</w:t>
            </w:r>
          </w:p>
        </w:tc>
        <w:tc>
          <w:tcPr>
            <w:tcW w:w="289" w:type="dxa"/>
            <w:tcBorders>
              <w:top w:val="nil"/>
              <w:left w:val="nil"/>
              <w:bottom w:val="nil"/>
              <w:right w:val="nil"/>
            </w:tcBorders>
            <w:shd w:val="clear" w:color="auto" w:fill="auto"/>
            <w:noWrap/>
            <w:vAlign w:val="bottom"/>
          </w:tcPr>
          <w:p w14:paraId="06B55547" w14:textId="77777777"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p>
        </w:tc>
        <w:tc>
          <w:tcPr>
            <w:tcW w:w="1554" w:type="dxa"/>
            <w:tcBorders>
              <w:top w:val="nil"/>
              <w:left w:val="nil"/>
              <w:bottom w:val="nil"/>
              <w:right w:val="nil"/>
            </w:tcBorders>
            <w:shd w:val="clear" w:color="auto" w:fill="auto"/>
            <w:noWrap/>
            <w:vAlign w:val="bottom"/>
          </w:tcPr>
          <w:p w14:paraId="75952888" w14:textId="77777777" w:rsidR="00DB153E" w:rsidRPr="00240E45" w:rsidRDefault="00DB153E" w:rsidP="00DB153E">
            <w:pPr>
              <w:spacing w:after="0" w:line="240" w:lineRule="auto"/>
              <w:jc w:val="center"/>
              <w:rPr>
                <w:rFonts w:ascii="Times New Roman" w:eastAsia="Times New Roman" w:hAnsi="Times New Roman" w:cs="Times New Roman"/>
                <w:sz w:val="18"/>
                <w:szCs w:val="18"/>
                <w:lang w:eastAsia="es-MX"/>
              </w:rPr>
            </w:pPr>
          </w:p>
        </w:tc>
        <w:tc>
          <w:tcPr>
            <w:tcW w:w="1125" w:type="dxa"/>
            <w:tcBorders>
              <w:top w:val="nil"/>
              <w:left w:val="nil"/>
              <w:bottom w:val="nil"/>
              <w:right w:val="nil"/>
            </w:tcBorders>
            <w:shd w:val="clear" w:color="auto" w:fill="auto"/>
            <w:noWrap/>
            <w:vAlign w:val="bottom"/>
          </w:tcPr>
          <w:p w14:paraId="7640DBE5" w14:textId="77777777" w:rsidR="00DB153E" w:rsidRPr="00240E45" w:rsidRDefault="00DB153E" w:rsidP="00DB153E">
            <w:pPr>
              <w:spacing w:after="0" w:line="240" w:lineRule="auto"/>
              <w:rPr>
                <w:rFonts w:ascii="Times New Roman" w:eastAsia="Times New Roman" w:hAnsi="Times New Roman" w:cs="Times New Roman"/>
                <w:sz w:val="18"/>
                <w:szCs w:val="18"/>
                <w:lang w:eastAsia="es-MX"/>
              </w:rPr>
            </w:pPr>
          </w:p>
        </w:tc>
        <w:tc>
          <w:tcPr>
            <w:tcW w:w="1126" w:type="dxa"/>
            <w:tcBorders>
              <w:top w:val="nil"/>
              <w:left w:val="nil"/>
              <w:bottom w:val="nil"/>
              <w:right w:val="nil"/>
            </w:tcBorders>
            <w:shd w:val="clear" w:color="auto" w:fill="auto"/>
            <w:noWrap/>
            <w:vAlign w:val="bottom"/>
          </w:tcPr>
          <w:p w14:paraId="3140CF03" w14:textId="77777777" w:rsidR="00DB153E" w:rsidRPr="00240E45" w:rsidRDefault="00DB153E" w:rsidP="00DB153E">
            <w:pPr>
              <w:spacing w:after="0" w:line="240" w:lineRule="auto"/>
              <w:rPr>
                <w:rFonts w:ascii="Times New Roman" w:eastAsia="Times New Roman" w:hAnsi="Times New Roman" w:cs="Times New Roman"/>
                <w:sz w:val="18"/>
                <w:szCs w:val="18"/>
                <w:lang w:eastAsia="es-MX"/>
              </w:rPr>
            </w:pPr>
          </w:p>
        </w:tc>
      </w:tr>
      <w:tr w:rsidR="00DB153E" w:rsidRPr="00240E45" w14:paraId="464D555E" w14:textId="77777777" w:rsidTr="00DB153E">
        <w:trPr>
          <w:trHeight w:val="155"/>
          <w:jc w:val="center"/>
        </w:trPr>
        <w:tc>
          <w:tcPr>
            <w:tcW w:w="1560" w:type="dxa"/>
            <w:tcBorders>
              <w:top w:val="nil"/>
              <w:left w:val="single" w:sz="4" w:space="0" w:color="auto"/>
              <w:bottom w:val="single" w:sz="4" w:space="0" w:color="auto"/>
              <w:right w:val="single" w:sz="4" w:space="0" w:color="auto"/>
            </w:tcBorders>
            <w:shd w:val="clear" w:color="auto" w:fill="auto"/>
            <w:noWrap/>
          </w:tcPr>
          <w:p w14:paraId="5BFD3669" w14:textId="1819E460"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Bélgica</w:t>
            </w:r>
          </w:p>
        </w:tc>
        <w:tc>
          <w:tcPr>
            <w:tcW w:w="850" w:type="dxa"/>
            <w:tcBorders>
              <w:top w:val="nil"/>
              <w:left w:val="nil"/>
              <w:bottom w:val="single" w:sz="4" w:space="0" w:color="auto"/>
              <w:right w:val="single" w:sz="4" w:space="0" w:color="auto"/>
            </w:tcBorders>
            <w:shd w:val="clear" w:color="auto" w:fill="auto"/>
            <w:noWrap/>
          </w:tcPr>
          <w:p w14:paraId="1C1D406D" w14:textId="345AFA89"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1</w:t>
            </w:r>
          </w:p>
        </w:tc>
        <w:tc>
          <w:tcPr>
            <w:tcW w:w="992" w:type="dxa"/>
            <w:tcBorders>
              <w:top w:val="nil"/>
              <w:left w:val="nil"/>
              <w:bottom w:val="single" w:sz="4" w:space="0" w:color="auto"/>
              <w:right w:val="single" w:sz="4" w:space="0" w:color="auto"/>
            </w:tcBorders>
            <w:shd w:val="clear" w:color="auto" w:fill="auto"/>
            <w:noWrap/>
          </w:tcPr>
          <w:p w14:paraId="293D46C1" w14:textId="214A346F"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1%</w:t>
            </w:r>
          </w:p>
        </w:tc>
        <w:tc>
          <w:tcPr>
            <w:tcW w:w="289" w:type="dxa"/>
            <w:tcBorders>
              <w:top w:val="nil"/>
              <w:left w:val="nil"/>
              <w:bottom w:val="nil"/>
              <w:right w:val="nil"/>
            </w:tcBorders>
            <w:shd w:val="clear" w:color="auto" w:fill="auto"/>
            <w:noWrap/>
            <w:vAlign w:val="bottom"/>
          </w:tcPr>
          <w:p w14:paraId="2ED01396" w14:textId="77777777"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p>
        </w:tc>
        <w:tc>
          <w:tcPr>
            <w:tcW w:w="1554" w:type="dxa"/>
            <w:tcBorders>
              <w:top w:val="nil"/>
              <w:left w:val="nil"/>
              <w:bottom w:val="nil"/>
              <w:right w:val="nil"/>
            </w:tcBorders>
            <w:shd w:val="clear" w:color="auto" w:fill="auto"/>
            <w:noWrap/>
            <w:vAlign w:val="bottom"/>
          </w:tcPr>
          <w:p w14:paraId="7F8C212D" w14:textId="77777777" w:rsidR="00DB153E" w:rsidRPr="00240E45" w:rsidRDefault="00DB153E" w:rsidP="00DB153E">
            <w:pPr>
              <w:spacing w:after="0" w:line="240" w:lineRule="auto"/>
              <w:jc w:val="center"/>
              <w:rPr>
                <w:rFonts w:ascii="Times New Roman" w:eastAsia="Times New Roman" w:hAnsi="Times New Roman" w:cs="Times New Roman"/>
                <w:sz w:val="18"/>
                <w:szCs w:val="18"/>
                <w:lang w:eastAsia="es-MX"/>
              </w:rPr>
            </w:pPr>
          </w:p>
        </w:tc>
        <w:tc>
          <w:tcPr>
            <w:tcW w:w="1125" w:type="dxa"/>
            <w:tcBorders>
              <w:top w:val="nil"/>
              <w:left w:val="nil"/>
              <w:bottom w:val="nil"/>
              <w:right w:val="nil"/>
            </w:tcBorders>
            <w:shd w:val="clear" w:color="auto" w:fill="auto"/>
            <w:noWrap/>
            <w:vAlign w:val="bottom"/>
          </w:tcPr>
          <w:p w14:paraId="3DE1CAB0" w14:textId="77777777" w:rsidR="00DB153E" w:rsidRPr="00240E45" w:rsidRDefault="00DB153E" w:rsidP="00DB153E">
            <w:pPr>
              <w:spacing w:after="0" w:line="240" w:lineRule="auto"/>
              <w:rPr>
                <w:rFonts w:ascii="Times New Roman" w:eastAsia="Times New Roman" w:hAnsi="Times New Roman" w:cs="Times New Roman"/>
                <w:sz w:val="18"/>
                <w:szCs w:val="18"/>
                <w:lang w:eastAsia="es-MX"/>
              </w:rPr>
            </w:pPr>
          </w:p>
        </w:tc>
        <w:tc>
          <w:tcPr>
            <w:tcW w:w="1126" w:type="dxa"/>
            <w:tcBorders>
              <w:top w:val="nil"/>
              <w:left w:val="nil"/>
              <w:bottom w:val="nil"/>
              <w:right w:val="nil"/>
            </w:tcBorders>
            <w:shd w:val="clear" w:color="auto" w:fill="auto"/>
            <w:noWrap/>
            <w:vAlign w:val="bottom"/>
          </w:tcPr>
          <w:p w14:paraId="1A2987D9" w14:textId="77777777" w:rsidR="00DB153E" w:rsidRPr="00240E45" w:rsidRDefault="00DB153E" w:rsidP="00DB153E">
            <w:pPr>
              <w:spacing w:after="0" w:line="240" w:lineRule="auto"/>
              <w:rPr>
                <w:rFonts w:ascii="Times New Roman" w:eastAsia="Times New Roman" w:hAnsi="Times New Roman" w:cs="Times New Roman"/>
                <w:sz w:val="18"/>
                <w:szCs w:val="18"/>
                <w:lang w:eastAsia="es-MX"/>
              </w:rPr>
            </w:pPr>
          </w:p>
        </w:tc>
      </w:tr>
      <w:tr w:rsidR="00DB153E" w:rsidRPr="00240E45" w14:paraId="3C581663" w14:textId="77777777" w:rsidTr="00DB153E">
        <w:trPr>
          <w:trHeight w:val="155"/>
          <w:jc w:val="center"/>
        </w:trPr>
        <w:tc>
          <w:tcPr>
            <w:tcW w:w="1560" w:type="dxa"/>
            <w:tcBorders>
              <w:top w:val="nil"/>
              <w:left w:val="single" w:sz="4" w:space="0" w:color="auto"/>
              <w:bottom w:val="single" w:sz="4" w:space="0" w:color="auto"/>
              <w:right w:val="single" w:sz="4" w:space="0" w:color="auto"/>
            </w:tcBorders>
            <w:shd w:val="clear" w:color="auto" w:fill="auto"/>
            <w:noWrap/>
          </w:tcPr>
          <w:p w14:paraId="1FD0C035" w14:textId="36CA57EC"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Finlandia</w:t>
            </w:r>
          </w:p>
        </w:tc>
        <w:tc>
          <w:tcPr>
            <w:tcW w:w="850" w:type="dxa"/>
            <w:tcBorders>
              <w:top w:val="nil"/>
              <w:left w:val="nil"/>
              <w:bottom w:val="single" w:sz="4" w:space="0" w:color="auto"/>
              <w:right w:val="single" w:sz="4" w:space="0" w:color="auto"/>
            </w:tcBorders>
            <w:shd w:val="clear" w:color="auto" w:fill="auto"/>
            <w:noWrap/>
          </w:tcPr>
          <w:p w14:paraId="266A688E" w14:textId="0B9BCB29"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1</w:t>
            </w:r>
          </w:p>
        </w:tc>
        <w:tc>
          <w:tcPr>
            <w:tcW w:w="992" w:type="dxa"/>
            <w:tcBorders>
              <w:top w:val="nil"/>
              <w:left w:val="nil"/>
              <w:bottom w:val="single" w:sz="4" w:space="0" w:color="auto"/>
              <w:right w:val="single" w:sz="4" w:space="0" w:color="auto"/>
            </w:tcBorders>
            <w:shd w:val="clear" w:color="auto" w:fill="auto"/>
            <w:noWrap/>
          </w:tcPr>
          <w:p w14:paraId="5B39C502" w14:textId="72CD8FE0"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r w:rsidRPr="00240E45">
              <w:rPr>
                <w:sz w:val="18"/>
                <w:szCs w:val="18"/>
              </w:rPr>
              <w:t>1%</w:t>
            </w:r>
          </w:p>
        </w:tc>
        <w:tc>
          <w:tcPr>
            <w:tcW w:w="289" w:type="dxa"/>
            <w:tcBorders>
              <w:top w:val="nil"/>
              <w:left w:val="nil"/>
              <w:bottom w:val="nil"/>
              <w:right w:val="nil"/>
            </w:tcBorders>
            <w:shd w:val="clear" w:color="auto" w:fill="auto"/>
            <w:noWrap/>
            <w:vAlign w:val="bottom"/>
          </w:tcPr>
          <w:p w14:paraId="5247CB1F" w14:textId="77777777" w:rsidR="00DB153E" w:rsidRPr="00240E45" w:rsidRDefault="00DB153E" w:rsidP="00DB153E">
            <w:pPr>
              <w:spacing w:after="0" w:line="240" w:lineRule="auto"/>
              <w:jc w:val="center"/>
              <w:rPr>
                <w:rFonts w:ascii="Calibri" w:eastAsia="Times New Roman" w:hAnsi="Calibri" w:cs="Calibri"/>
                <w:color w:val="000000"/>
                <w:sz w:val="18"/>
                <w:szCs w:val="18"/>
                <w:lang w:eastAsia="es-MX"/>
              </w:rPr>
            </w:pPr>
          </w:p>
        </w:tc>
        <w:tc>
          <w:tcPr>
            <w:tcW w:w="1554" w:type="dxa"/>
            <w:tcBorders>
              <w:top w:val="nil"/>
              <w:left w:val="nil"/>
              <w:bottom w:val="nil"/>
              <w:right w:val="nil"/>
            </w:tcBorders>
            <w:shd w:val="clear" w:color="auto" w:fill="auto"/>
            <w:noWrap/>
            <w:vAlign w:val="bottom"/>
          </w:tcPr>
          <w:p w14:paraId="27484598" w14:textId="77777777" w:rsidR="00DB153E" w:rsidRPr="00240E45" w:rsidRDefault="00DB153E" w:rsidP="00DB153E">
            <w:pPr>
              <w:spacing w:after="0" w:line="240" w:lineRule="auto"/>
              <w:jc w:val="center"/>
              <w:rPr>
                <w:rFonts w:ascii="Times New Roman" w:eastAsia="Times New Roman" w:hAnsi="Times New Roman" w:cs="Times New Roman"/>
                <w:sz w:val="18"/>
                <w:szCs w:val="18"/>
                <w:lang w:eastAsia="es-MX"/>
              </w:rPr>
            </w:pPr>
          </w:p>
        </w:tc>
        <w:tc>
          <w:tcPr>
            <w:tcW w:w="1125" w:type="dxa"/>
            <w:tcBorders>
              <w:top w:val="nil"/>
              <w:left w:val="nil"/>
              <w:bottom w:val="nil"/>
              <w:right w:val="nil"/>
            </w:tcBorders>
            <w:shd w:val="clear" w:color="auto" w:fill="auto"/>
            <w:noWrap/>
            <w:vAlign w:val="bottom"/>
          </w:tcPr>
          <w:p w14:paraId="1AA2B030" w14:textId="77777777" w:rsidR="00DB153E" w:rsidRPr="00240E45" w:rsidRDefault="00DB153E" w:rsidP="00DB153E">
            <w:pPr>
              <w:spacing w:after="0" w:line="240" w:lineRule="auto"/>
              <w:rPr>
                <w:rFonts w:ascii="Times New Roman" w:eastAsia="Times New Roman" w:hAnsi="Times New Roman" w:cs="Times New Roman"/>
                <w:sz w:val="18"/>
                <w:szCs w:val="18"/>
                <w:lang w:eastAsia="es-MX"/>
              </w:rPr>
            </w:pPr>
          </w:p>
        </w:tc>
        <w:tc>
          <w:tcPr>
            <w:tcW w:w="1126" w:type="dxa"/>
            <w:tcBorders>
              <w:top w:val="nil"/>
              <w:left w:val="nil"/>
              <w:bottom w:val="nil"/>
              <w:right w:val="nil"/>
            </w:tcBorders>
            <w:shd w:val="clear" w:color="auto" w:fill="auto"/>
            <w:noWrap/>
            <w:vAlign w:val="bottom"/>
          </w:tcPr>
          <w:p w14:paraId="6E4DDE5A" w14:textId="77777777" w:rsidR="00DB153E" w:rsidRPr="00240E45" w:rsidRDefault="00DB153E" w:rsidP="00DB153E">
            <w:pPr>
              <w:spacing w:after="0" w:line="240" w:lineRule="auto"/>
              <w:rPr>
                <w:rFonts w:ascii="Times New Roman" w:eastAsia="Times New Roman" w:hAnsi="Times New Roman" w:cs="Times New Roman"/>
                <w:sz w:val="18"/>
                <w:szCs w:val="18"/>
                <w:lang w:eastAsia="es-MX"/>
              </w:rPr>
            </w:pPr>
          </w:p>
        </w:tc>
      </w:tr>
      <w:tr w:rsidR="00057B8F" w:rsidRPr="00240E45" w14:paraId="4BBDF6E9" w14:textId="77777777" w:rsidTr="00922309">
        <w:trPr>
          <w:trHeight w:val="155"/>
          <w:jc w:val="center"/>
        </w:trPr>
        <w:tc>
          <w:tcPr>
            <w:tcW w:w="7496" w:type="dxa"/>
            <w:gridSpan w:val="7"/>
            <w:tcBorders>
              <w:top w:val="nil"/>
              <w:left w:val="nil"/>
              <w:bottom w:val="nil"/>
              <w:right w:val="nil"/>
            </w:tcBorders>
            <w:shd w:val="clear" w:color="auto" w:fill="auto"/>
            <w:noWrap/>
            <w:vAlign w:val="bottom"/>
            <w:hideMark/>
          </w:tcPr>
          <w:p w14:paraId="5833868F" w14:textId="787B1760" w:rsidR="00057B8F" w:rsidRPr="00240E45" w:rsidRDefault="00057B8F" w:rsidP="00057B8F">
            <w:pPr>
              <w:spacing w:after="0" w:line="240" w:lineRule="auto"/>
              <w:rPr>
                <w:rFonts w:ascii="Times New Roman" w:eastAsia="Times New Roman" w:hAnsi="Times New Roman" w:cs="Times New Roman"/>
                <w:sz w:val="18"/>
                <w:szCs w:val="18"/>
                <w:lang w:eastAsia="es-MX"/>
              </w:rPr>
            </w:pPr>
            <w:r w:rsidRPr="00240E45">
              <w:rPr>
                <w:rFonts w:ascii="Calibri" w:eastAsia="Times New Roman" w:hAnsi="Calibri" w:cs="Calibri"/>
                <w:color w:val="000000"/>
                <w:sz w:val="14"/>
                <w:szCs w:val="18"/>
                <w:lang w:eastAsia="es-MX"/>
              </w:rPr>
              <w:t>*Ordenando conforme al número de IES y alfabéticamente.</w:t>
            </w:r>
          </w:p>
        </w:tc>
      </w:tr>
    </w:tbl>
    <w:p w14:paraId="21935735" w14:textId="77777777" w:rsidR="00922309" w:rsidRPr="00240E45" w:rsidRDefault="00922309" w:rsidP="00922309">
      <w:pPr>
        <w:pStyle w:val="Prrafodelista"/>
        <w:spacing w:after="0" w:line="240" w:lineRule="auto"/>
        <w:jc w:val="both"/>
        <w:rPr>
          <w:sz w:val="24"/>
        </w:rPr>
      </w:pPr>
    </w:p>
    <w:p w14:paraId="239E8A65" w14:textId="4493E4B0" w:rsidR="000F054A" w:rsidRPr="00240E45" w:rsidRDefault="003C4631" w:rsidP="001011BD">
      <w:pPr>
        <w:pStyle w:val="Prrafodelista"/>
        <w:numPr>
          <w:ilvl w:val="0"/>
          <w:numId w:val="1"/>
        </w:numPr>
        <w:spacing w:after="0" w:line="240" w:lineRule="auto"/>
        <w:jc w:val="both"/>
        <w:rPr>
          <w:sz w:val="24"/>
        </w:rPr>
      </w:pPr>
      <w:r w:rsidRPr="00240E45">
        <w:rPr>
          <w:sz w:val="24"/>
        </w:rPr>
        <w:t>E</w:t>
      </w:r>
      <w:r w:rsidR="001011BD" w:rsidRPr="00240E45">
        <w:rPr>
          <w:sz w:val="24"/>
        </w:rPr>
        <w:t>l THE ranking mundial 20</w:t>
      </w:r>
      <w:r w:rsidR="00DB153E" w:rsidRPr="00240E45">
        <w:rPr>
          <w:sz w:val="24"/>
        </w:rPr>
        <w:t>20</w:t>
      </w:r>
      <w:r w:rsidR="001011BD" w:rsidRPr="00240E45">
        <w:rPr>
          <w:sz w:val="24"/>
        </w:rPr>
        <w:t xml:space="preserve"> </w:t>
      </w:r>
      <w:r w:rsidRPr="00240E45">
        <w:rPr>
          <w:sz w:val="24"/>
        </w:rPr>
        <w:t xml:space="preserve">clasificó </w:t>
      </w:r>
      <w:r w:rsidR="001011BD" w:rsidRPr="00240E45">
        <w:rPr>
          <w:sz w:val="24"/>
        </w:rPr>
        <w:t>1</w:t>
      </w:r>
      <w:r w:rsidR="00DB153E" w:rsidRPr="00240E45">
        <w:rPr>
          <w:sz w:val="24"/>
        </w:rPr>
        <w:t>5</w:t>
      </w:r>
      <w:r w:rsidR="00183CB5" w:rsidRPr="00240E45">
        <w:rPr>
          <w:sz w:val="24"/>
        </w:rPr>
        <w:t>7</w:t>
      </w:r>
      <w:r w:rsidR="001011BD" w:rsidRPr="00240E45">
        <w:rPr>
          <w:sz w:val="24"/>
        </w:rPr>
        <w:t xml:space="preserve"> universidades iberoamericanas de </w:t>
      </w:r>
      <w:r w:rsidR="00DB153E" w:rsidRPr="00240E45">
        <w:rPr>
          <w:sz w:val="24"/>
        </w:rPr>
        <w:t>once</w:t>
      </w:r>
      <w:r w:rsidR="001011BD" w:rsidRPr="00240E45">
        <w:rPr>
          <w:sz w:val="24"/>
        </w:rPr>
        <w:t xml:space="preserve"> países, a continuación se presentan los datos del número de universidades por país, así como el puntaje obtenido por las universidades en los diferentes indicadores.</w:t>
      </w:r>
    </w:p>
    <w:p w14:paraId="50594C7B" w14:textId="77777777" w:rsidR="00D81AEE" w:rsidRPr="00240E45" w:rsidRDefault="00D81AEE" w:rsidP="00D81AEE">
      <w:pPr>
        <w:pStyle w:val="Prrafodelista"/>
        <w:spacing w:after="0" w:line="240" w:lineRule="auto"/>
        <w:jc w:val="both"/>
        <w:rPr>
          <w:sz w:val="24"/>
        </w:rPr>
      </w:pPr>
    </w:p>
    <w:p w14:paraId="2AE6FE33" w14:textId="7AB2C6D6" w:rsidR="004A53F4" w:rsidRPr="00240E45" w:rsidRDefault="004A53F4">
      <w:pPr>
        <w:rPr>
          <w:sz w:val="24"/>
        </w:rPr>
      </w:pPr>
      <w:r w:rsidRPr="00240E45">
        <w:rPr>
          <w:sz w:val="24"/>
        </w:rPr>
        <w:br w:type="page"/>
      </w:r>
    </w:p>
    <w:tbl>
      <w:tblPr>
        <w:tblW w:w="9934" w:type="dxa"/>
        <w:jc w:val="center"/>
        <w:tblCellMar>
          <w:left w:w="70" w:type="dxa"/>
          <w:right w:w="70" w:type="dxa"/>
        </w:tblCellMar>
        <w:tblLook w:val="04A0" w:firstRow="1" w:lastRow="0" w:firstColumn="1" w:lastColumn="0" w:noHBand="0" w:noVBand="1"/>
      </w:tblPr>
      <w:tblGrid>
        <w:gridCol w:w="9934"/>
      </w:tblGrid>
      <w:tr w:rsidR="000F054A" w:rsidRPr="00240E45" w14:paraId="7B98ADB1" w14:textId="77777777" w:rsidTr="004A53F4">
        <w:trPr>
          <w:trHeight w:val="199"/>
          <w:jc w:val="center"/>
        </w:trPr>
        <w:tc>
          <w:tcPr>
            <w:tcW w:w="9934" w:type="dxa"/>
            <w:shd w:val="clear" w:color="auto" w:fill="auto"/>
            <w:noWrap/>
            <w:vAlign w:val="center"/>
          </w:tcPr>
          <w:p w14:paraId="3853A2C8" w14:textId="3C5EB268" w:rsidR="000F054A" w:rsidRPr="00240E45" w:rsidRDefault="000F054A" w:rsidP="00DB153E">
            <w:pPr>
              <w:spacing w:after="0" w:line="240" w:lineRule="auto"/>
              <w:jc w:val="center"/>
              <w:rPr>
                <w:rFonts w:ascii="Calibri" w:eastAsia="Times New Roman" w:hAnsi="Calibri" w:cs="Times New Roman"/>
                <w:b/>
                <w:color w:val="050505"/>
                <w:sz w:val="20"/>
                <w:szCs w:val="24"/>
                <w:lang w:eastAsia="es-MX"/>
              </w:rPr>
            </w:pPr>
            <w:r w:rsidRPr="00240E45">
              <w:rPr>
                <w:rFonts w:ascii="Calibri" w:eastAsia="Times New Roman" w:hAnsi="Calibri" w:cs="Times New Roman"/>
                <w:b/>
                <w:color w:val="050505"/>
                <w:sz w:val="20"/>
                <w:szCs w:val="24"/>
                <w:lang w:eastAsia="es-MX"/>
              </w:rPr>
              <w:lastRenderedPageBreak/>
              <w:t xml:space="preserve">Gráfico </w:t>
            </w:r>
            <w:r w:rsidR="009A4E37" w:rsidRPr="00240E45">
              <w:rPr>
                <w:rFonts w:ascii="Calibri" w:eastAsia="Times New Roman" w:hAnsi="Calibri" w:cs="Times New Roman"/>
                <w:b/>
                <w:color w:val="050505"/>
                <w:sz w:val="20"/>
                <w:szCs w:val="24"/>
                <w:lang w:eastAsia="es-MX"/>
              </w:rPr>
              <w:t>3</w:t>
            </w:r>
            <w:r w:rsidRPr="00240E45">
              <w:rPr>
                <w:rFonts w:ascii="Calibri" w:eastAsia="Times New Roman" w:hAnsi="Calibri" w:cs="Times New Roman"/>
                <w:b/>
                <w:color w:val="050505"/>
                <w:sz w:val="20"/>
                <w:szCs w:val="24"/>
                <w:lang w:eastAsia="es-MX"/>
              </w:rPr>
              <w:t>. Total de universidades iberoamericanas por país en el</w:t>
            </w:r>
            <w:r w:rsidR="007C0430" w:rsidRPr="00240E45">
              <w:rPr>
                <w:rFonts w:ascii="Calibri" w:eastAsia="Times New Roman" w:hAnsi="Calibri" w:cs="Times New Roman"/>
                <w:b/>
                <w:color w:val="050505"/>
                <w:sz w:val="20"/>
                <w:szCs w:val="24"/>
                <w:lang w:eastAsia="es-MX"/>
              </w:rPr>
              <w:t xml:space="preserve"> THE</w:t>
            </w:r>
            <w:r w:rsidR="00586586" w:rsidRPr="00240E45">
              <w:rPr>
                <w:rFonts w:ascii="Calibri" w:eastAsia="Times New Roman" w:hAnsi="Calibri" w:cs="Times New Roman"/>
                <w:b/>
                <w:color w:val="050505"/>
                <w:sz w:val="20"/>
                <w:szCs w:val="24"/>
                <w:lang w:eastAsia="es-MX"/>
              </w:rPr>
              <w:t xml:space="preserve"> ranking mundial,</w:t>
            </w:r>
            <w:r w:rsidR="00DB153E" w:rsidRPr="00240E45">
              <w:rPr>
                <w:rFonts w:ascii="Calibri" w:eastAsia="Times New Roman" w:hAnsi="Calibri" w:cs="Times New Roman"/>
                <w:b/>
                <w:color w:val="050505"/>
                <w:sz w:val="20"/>
                <w:szCs w:val="24"/>
                <w:lang w:eastAsia="es-MX"/>
              </w:rPr>
              <w:t xml:space="preserve"> 2020</w:t>
            </w:r>
            <w:r w:rsidRPr="00240E45">
              <w:rPr>
                <w:rFonts w:ascii="Calibri" w:eastAsia="Times New Roman" w:hAnsi="Calibri" w:cs="Times New Roman"/>
                <w:b/>
                <w:color w:val="050505"/>
                <w:sz w:val="20"/>
                <w:szCs w:val="24"/>
                <w:lang w:eastAsia="es-MX"/>
              </w:rPr>
              <w:t>.</w:t>
            </w:r>
          </w:p>
        </w:tc>
      </w:tr>
      <w:tr w:rsidR="000F054A" w:rsidRPr="00240E45" w14:paraId="2A355DFE" w14:textId="77777777" w:rsidTr="004A53F4">
        <w:trPr>
          <w:trHeight w:val="427"/>
          <w:jc w:val="center"/>
        </w:trPr>
        <w:tc>
          <w:tcPr>
            <w:tcW w:w="9934" w:type="dxa"/>
            <w:shd w:val="clear" w:color="auto" w:fill="auto"/>
            <w:noWrap/>
            <w:vAlign w:val="center"/>
          </w:tcPr>
          <w:p w14:paraId="2B4C53BE" w14:textId="1EFFD320" w:rsidR="000F054A" w:rsidRPr="00240E45" w:rsidRDefault="00DB153E" w:rsidP="00C91771">
            <w:pPr>
              <w:spacing w:after="0" w:line="240" w:lineRule="auto"/>
              <w:jc w:val="center"/>
              <w:rPr>
                <w:rFonts w:ascii="Calibri" w:eastAsia="Times New Roman" w:hAnsi="Calibri" w:cs="Times New Roman"/>
                <w:b/>
                <w:color w:val="050505"/>
                <w:sz w:val="16"/>
                <w:szCs w:val="18"/>
                <w:lang w:eastAsia="es-MX"/>
              </w:rPr>
            </w:pPr>
            <w:r w:rsidRPr="00240E45">
              <w:rPr>
                <w:noProof/>
                <w:lang w:eastAsia="es-MX"/>
              </w:rPr>
              <w:drawing>
                <wp:inline distT="0" distB="0" distL="0" distR="0" wp14:anchorId="57532EF1" wp14:editId="3C44C174">
                  <wp:extent cx="6219190" cy="2078966"/>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5C639511" w14:textId="06ED6740" w:rsidR="009103B0" w:rsidRPr="00240E45" w:rsidRDefault="009103B0" w:rsidP="000F054A">
      <w:pPr>
        <w:spacing w:after="0" w:line="240" w:lineRule="auto"/>
        <w:jc w:val="both"/>
        <w:rPr>
          <w:sz w:val="10"/>
        </w:rPr>
      </w:pPr>
    </w:p>
    <w:tbl>
      <w:tblPr>
        <w:tblW w:w="11667" w:type="dxa"/>
        <w:jc w:val="center"/>
        <w:tblCellMar>
          <w:left w:w="70" w:type="dxa"/>
          <w:right w:w="70" w:type="dxa"/>
        </w:tblCellMar>
        <w:tblLook w:val="04A0" w:firstRow="1" w:lastRow="0" w:firstColumn="1" w:lastColumn="0" w:noHBand="0" w:noVBand="1"/>
      </w:tblPr>
      <w:tblGrid>
        <w:gridCol w:w="766"/>
        <w:gridCol w:w="3345"/>
        <w:gridCol w:w="993"/>
        <w:gridCol w:w="1073"/>
        <w:gridCol w:w="1053"/>
        <w:gridCol w:w="1140"/>
        <w:gridCol w:w="854"/>
        <w:gridCol w:w="1140"/>
        <w:gridCol w:w="1303"/>
      </w:tblGrid>
      <w:tr w:rsidR="000F054A" w:rsidRPr="00240E45" w14:paraId="72AFB97C" w14:textId="77777777" w:rsidTr="00644B68">
        <w:trPr>
          <w:trHeight w:val="439"/>
          <w:tblHeader/>
          <w:jc w:val="center"/>
        </w:trPr>
        <w:tc>
          <w:tcPr>
            <w:tcW w:w="11667" w:type="dxa"/>
            <w:gridSpan w:val="9"/>
            <w:tcBorders>
              <w:bottom w:val="single" w:sz="4" w:space="0" w:color="auto"/>
            </w:tcBorders>
            <w:shd w:val="clear" w:color="auto" w:fill="auto"/>
            <w:noWrap/>
            <w:vAlign w:val="center"/>
          </w:tcPr>
          <w:p w14:paraId="735A8510" w14:textId="08812057" w:rsidR="000F054A" w:rsidRPr="00240E45" w:rsidRDefault="000F054A" w:rsidP="00DB153E">
            <w:pPr>
              <w:spacing w:after="0" w:line="240" w:lineRule="auto"/>
              <w:jc w:val="center"/>
              <w:rPr>
                <w:rFonts w:ascii="Calibri" w:eastAsia="Times New Roman" w:hAnsi="Calibri" w:cs="Times New Roman"/>
                <w:b/>
                <w:color w:val="050505"/>
                <w:sz w:val="20"/>
                <w:szCs w:val="24"/>
                <w:lang w:eastAsia="es-MX"/>
              </w:rPr>
            </w:pPr>
            <w:r w:rsidRPr="00240E45">
              <w:rPr>
                <w:rFonts w:ascii="Calibri" w:eastAsia="Times New Roman" w:hAnsi="Calibri" w:cs="Times New Roman"/>
                <w:b/>
                <w:color w:val="050505"/>
                <w:sz w:val="20"/>
                <w:szCs w:val="24"/>
                <w:lang w:eastAsia="es-MX"/>
              </w:rPr>
              <w:t xml:space="preserve">Tabla </w:t>
            </w:r>
            <w:r w:rsidR="009A4E37" w:rsidRPr="00240E45">
              <w:rPr>
                <w:rFonts w:ascii="Calibri" w:eastAsia="Times New Roman" w:hAnsi="Calibri" w:cs="Times New Roman"/>
                <w:b/>
                <w:color w:val="050505"/>
                <w:sz w:val="20"/>
                <w:szCs w:val="24"/>
                <w:lang w:eastAsia="es-MX"/>
              </w:rPr>
              <w:t>4</w:t>
            </w:r>
            <w:r w:rsidRPr="00240E45">
              <w:rPr>
                <w:rFonts w:ascii="Calibri" w:eastAsia="Times New Roman" w:hAnsi="Calibri" w:cs="Times New Roman"/>
                <w:b/>
                <w:color w:val="050505"/>
                <w:sz w:val="20"/>
                <w:szCs w:val="24"/>
                <w:lang w:eastAsia="es-MX"/>
              </w:rPr>
              <w:t xml:space="preserve">. Posición de las universidades iberoamericanas </w:t>
            </w:r>
            <w:r w:rsidR="00022797" w:rsidRPr="00240E45">
              <w:rPr>
                <w:rFonts w:ascii="Calibri" w:eastAsia="Times New Roman" w:hAnsi="Calibri" w:cs="Times New Roman"/>
                <w:b/>
                <w:color w:val="050505"/>
                <w:sz w:val="20"/>
                <w:szCs w:val="24"/>
                <w:lang w:eastAsia="es-MX"/>
              </w:rPr>
              <w:t>ubicadas en las primeras 1,000 posiciones de</w:t>
            </w:r>
            <w:r w:rsidRPr="00240E45">
              <w:rPr>
                <w:rFonts w:ascii="Calibri" w:eastAsia="Times New Roman" w:hAnsi="Calibri" w:cs="Times New Roman"/>
                <w:b/>
                <w:color w:val="050505"/>
                <w:sz w:val="20"/>
                <w:szCs w:val="24"/>
                <w:lang w:eastAsia="es-MX"/>
              </w:rPr>
              <w:t>l ranking THE 20</w:t>
            </w:r>
            <w:r w:rsidR="00DB153E" w:rsidRPr="00240E45">
              <w:rPr>
                <w:rFonts w:ascii="Calibri" w:eastAsia="Times New Roman" w:hAnsi="Calibri" w:cs="Times New Roman"/>
                <w:b/>
                <w:color w:val="050505"/>
                <w:sz w:val="20"/>
                <w:szCs w:val="24"/>
                <w:lang w:eastAsia="es-MX"/>
              </w:rPr>
              <w:t>20</w:t>
            </w:r>
            <w:r w:rsidRPr="00240E45">
              <w:rPr>
                <w:rFonts w:ascii="Calibri" w:eastAsia="Times New Roman" w:hAnsi="Calibri" w:cs="Times New Roman"/>
                <w:b/>
                <w:color w:val="050505"/>
                <w:sz w:val="20"/>
                <w:szCs w:val="24"/>
                <w:lang w:eastAsia="es-MX"/>
              </w:rPr>
              <w:t>.</w:t>
            </w:r>
          </w:p>
        </w:tc>
      </w:tr>
      <w:tr w:rsidR="000F054A" w:rsidRPr="00240E45" w14:paraId="2214DFFB" w14:textId="77777777" w:rsidTr="00644B68">
        <w:trPr>
          <w:trHeight w:val="439"/>
          <w:tblHeader/>
          <w:jc w:val="center"/>
        </w:trPr>
        <w:tc>
          <w:tcPr>
            <w:tcW w:w="766"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72F8D97A" w14:textId="77777777" w:rsidR="000F054A" w:rsidRPr="00240E45" w:rsidRDefault="000F054A" w:rsidP="00C91771">
            <w:pPr>
              <w:spacing w:after="0" w:line="240" w:lineRule="auto"/>
              <w:jc w:val="center"/>
              <w:rPr>
                <w:rFonts w:ascii="Calibri" w:eastAsia="Times New Roman" w:hAnsi="Calibri" w:cs="Times New Roman"/>
                <w:b/>
                <w:color w:val="050505"/>
                <w:sz w:val="18"/>
                <w:szCs w:val="20"/>
                <w:lang w:eastAsia="es-MX"/>
              </w:rPr>
            </w:pPr>
            <w:r w:rsidRPr="00240E45">
              <w:rPr>
                <w:b/>
                <w:sz w:val="18"/>
                <w:szCs w:val="20"/>
              </w:rPr>
              <w:t>Posición</w:t>
            </w:r>
          </w:p>
        </w:tc>
        <w:tc>
          <w:tcPr>
            <w:tcW w:w="3345"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4FBC253D" w14:textId="77777777" w:rsidR="000F054A" w:rsidRPr="00240E45" w:rsidRDefault="000F054A" w:rsidP="00C91771">
            <w:pPr>
              <w:spacing w:after="0" w:line="240" w:lineRule="auto"/>
              <w:jc w:val="center"/>
              <w:rPr>
                <w:rFonts w:ascii="Calibri" w:eastAsia="Times New Roman" w:hAnsi="Calibri" w:cs="Times New Roman"/>
                <w:b/>
                <w:color w:val="050505"/>
                <w:sz w:val="18"/>
                <w:szCs w:val="20"/>
                <w:lang w:eastAsia="es-MX"/>
              </w:rPr>
            </w:pPr>
            <w:r w:rsidRPr="00240E45">
              <w:rPr>
                <w:b/>
                <w:sz w:val="18"/>
                <w:szCs w:val="20"/>
              </w:rPr>
              <w:t>Institución</w:t>
            </w:r>
          </w:p>
        </w:tc>
        <w:tc>
          <w:tcPr>
            <w:tcW w:w="99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7FED822D" w14:textId="77777777" w:rsidR="000F054A" w:rsidRPr="00240E45" w:rsidRDefault="000F054A" w:rsidP="00C91771">
            <w:pPr>
              <w:spacing w:after="0" w:line="240" w:lineRule="auto"/>
              <w:jc w:val="center"/>
              <w:rPr>
                <w:rFonts w:ascii="Calibri" w:eastAsia="Times New Roman" w:hAnsi="Calibri" w:cs="Times New Roman"/>
                <w:b/>
                <w:color w:val="050505"/>
                <w:sz w:val="18"/>
                <w:szCs w:val="20"/>
                <w:lang w:eastAsia="es-MX"/>
              </w:rPr>
            </w:pPr>
            <w:r w:rsidRPr="00240E45">
              <w:rPr>
                <w:b/>
                <w:sz w:val="18"/>
                <w:szCs w:val="20"/>
              </w:rPr>
              <w:t>País</w:t>
            </w:r>
          </w:p>
        </w:tc>
        <w:tc>
          <w:tcPr>
            <w:tcW w:w="107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55A80390" w14:textId="77777777" w:rsidR="000F054A" w:rsidRPr="00240E45" w:rsidRDefault="000F054A" w:rsidP="00C91771">
            <w:pPr>
              <w:spacing w:after="0" w:line="240" w:lineRule="auto"/>
              <w:jc w:val="center"/>
              <w:rPr>
                <w:b/>
                <w:sz w:val="18"/>
                <w:szCs w:val="20"/>
              </w:rPr>
            </w:pPr>
            <w:r w:rsidRPr="00240E45">
              <w:rPr>
                <w:b/>
                <w:sz w:val="18"/>
                <w:szCs w:val="20"/>
              </w:rPr>
              <w:t>Puntaje</w:t>
            </w:r>
          </w:p>
          <w:p w14:paraId="299D9809" w14:textId="77777777" w:rsidR="000F054A" w:rsidRPr="00240E45" w:rsidRDefault="000F054A" w:rsidP="00C91771">
            <w:pPr>
              <w:spacing w:after="0" w:line="240" w:lineRule="auto"/>
              <w:jc w:val="center"/>
              <w:rPr>
                <w:rFonts w:ascii="Calibri" w:eastAsia="Times New Roman" w:hAnsi="Calibri" w:cs="Times New Roman"/>
                <w:b/>
                <w:color w:val="050505"/>
                <w:sz w:val="18"/>
                <w:szCs w:val="20"/>
                <w:lang w:eastAsia="es-MX"/>
              </w:rPr>
            </w:pPr>
            <w:r w:rsidRPr="00240E45">
              <w:rPr>
                <w:b/>
                <w:sz w:val="18"/>
                <w:szCs w:val="20"/>
              </w:rPr>
              <w:t>General</w:t>
            </w:r>
          </w:p>
        </w:tc>
        <w:tc>
          <w:tcPr>
            <w:tcW w:w="105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1DDE5A41" w14:textId="77777777" w:rsidR="000F054A" w:rsidRPr="00240E45" w:rsidRDefault="000F054A" w:rsidP="00C91771">
            <w:pPr>
              <w:spacing w:after="0" w:line="240" w:lineRule="auto"/>
              <w:jc w:val="center"/>
              <w:rPr>
                <w:rFonts w:ascii="Calibri" w:eastAsia="Times New Roman" w:hAnsi="Calibri" w:cs="Times New Roman"/>
                <w:b/>
                <w:color w:val="050505"/>
                <w:sz w:val="18"/>
                <w:szCs w:val="20"/>
                <w:lang w:eastAsia="es-MX"/>
              </w:rPr>
            </w:pPr>
            <w:r w:rsidRPr="00240E45">
              <w:rPr>
                <w:b/>
                <w:sz w:val="18"/>
                <w:szCs w:val="20"/>
              </w:rPr>
              <w:t>Docencia</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76391FF0" w14:textId="2EC8E45F" w:rsidR="000F054A" w:rsidRPr="00240E45" w:rsidRDefault="00FF028B" w:rsidP="00C91771">
            <w:pPr>
              <w:spacing w:after="0" w:line="240" w:lineRule="auto"/>
              <w:jc w:val="center"/>
              <w:rPr>
                <w:b/>
                <w:sz w:val="18"/>
                <w:szCs w:val="20"/>
              </w:rPr>
            </w:pPr>
            <w:r w:rsidRPr="00240E45">
              <w:rPr>
                <w:b/>
                <w:sz w:val="18"/>
                <w:szCs w:val="20"/>
              </w:rPr>
              <w:t>Investigación</w:t>
            </w:r>
          </w:p>
        </w:tc>
        <w:tc>
          <w:tcPr>
            <w:tcW w:w="854"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088B4076" w14:textId="4511F8FB" w:rsidR="000F054A" w:rsidRPr="00240E45" w:rsidRDefault="00FF028B" w:rsidP="00C91771">
            <w:pPr>
              <w:spacing w:after="0" w:line="240" w:lineRule="auto"/>
              <w:jc w:val="center"/>
              <w:rPr>
                <w:b/>
                <w:sz w:val="18"/>
                <w:szCs w:val="20"/>
              </w:rPr>
            </w:pPr>
            <w:r w:rsidRPr="00240E45">
              <w:rPr>
                <w:b/>
                <w:sz w:val="18"/>
                <w:szCs w:val="20"/>
              </w:rPr>
              <w:t>Citas</w:t>
            </w:r>
          </w:p>
        </w:tc>
        <w:tc>
          <w:tcPr>
            <w:tcW w:w="1140"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6134B586" w14:textId="280FB523" w:rsidR="000F054A" w:rsidRPr="00240E45" w:rsidRDefault="00FF028B" w:rsidP="00C91771">
            <w:pPr>
              <w:spacing w:after="0" w:line="240" w:lineRule="auto"/>
              <w:jc w:val="center"/>
              <w:rPr>
                <w:b/>
                <w:sz w:val="18"/>
                <w:szCs w:val="20"/>
              </w:rPr>
            </w:pPr>
            <w:r w:rsidRPr="00240E45">
              <w:rPr>
                <w:b/>
                <w:sz w:val="18"/>
                <w:szCs w:val="20"/>
              </w:rPr>
              <w:t>Perspectiva internacional</w:t>
            </w:r>
          </w:p>
        </w:tc>
        <w:tc>
          <w:tcPr>
            <w:tcW w:w="1303" w:type="dxa"/>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bottom"/>
          </w:tcPr>
          <w:p w14:paraId="3E24BA89" w14:textId="4CD558E7" w:rsidR="000F054A" w:rsidRPr="00240E45" w:rsidRDefault="00FF028B" w:rsidP="00C91771">
            <w:pPr>
              <w:spacing w:after="0" w:line="240" w:lineRule="auto"/>
              <w:jc w:val="center"/>
              <w:rPr>
                <w:b/>
                <w:sz w:val="18"/>
                <w:szCs w:val="20"/>
              </w:rPr>
            </w:pPr>
            <w:r w:rsidRPr="00240E45">
              <w:rPr>
                <w:b/>
                <w:sz w:val="18"/>
                <w:szCs w:val="20"/>
              </w:rPr>
              <w:t>Financiamiento de la industria</w:t>
            </w:r>
          </w:p>
        </w:tc>
      </w:tr>
      <w:tr w:rsidR="007F5BE0" w:rsidRPr="00240E45" w14:paraId="0DB98FD2"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E15B3B" w14:textId="3471AAAD"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143</w:t>
            </w:r>
          </w:p>
        </w:tc>
        <w:tc>
          <w:tcPr>
            <w:tcW w:w="3345" w:type="dxa"/>
            <w:tcBorders>
              <w:top w:val="single" w:sz="4" w:space="0" w:color="auto"/>
              <w:left w:val="nil"/>
              <w:bottom w:val="single" w:sz="4" w:space="0" w:color="auto"/>
              <w:right w:val="single" w:sz="4" w:space="0" w:color="auto"/>
            </w:tcBorders>
            <w:shd w:val="clear" w:color="auto" w:fill="auto"/>
            <w:noWrap/>
            <w:vAlign w:val="bottom"/>
          </w:tcPr>
          <w:p w14:paraId="01759F02" w14:textId="27A97661"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Pompeu Fabra</w:t>
            </w:r>
          </w:p>
        </w:tc>
        <w:tc>
          <w:tcPr>
            <w:tcW w:w="993" w:type="dxa"/>
            <w:tcBorders>
              <w:top w:val="single" w:sz="4" w:space="0" w:color="auto"/>
              <w:left w:val="nil"/>
              <w:bottom w:val="single" w:sz="4" w:space="0" w:color="auto"/>
              <w:right w:val="single" w:sz="4" w:space="0" w:color="auto"/>
            </w:tcBorders>
            <w:shd w:val="clear" w:color="auto" w:fill="auto"/>
            <w:noWrap/>
            <w:vAlign w:val="bottom"/>
          </w:tcPr>
          <w:p w14:paraId="1861C886" w14:textId="4ADE3C1B"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single" w:sz="4" w:space="0" w:color="auto"/>
              <w:left w:val="nil"/>
              <w:bottom w:val="single" w:sz="4" w:space="0" w:color="auto"/>
              <w:right w:val="single" w:sz="4" w:space="0" w:color="auto"/>
            </w:tcBorders>
            <w:shd w:val="clear" w:color="auto" w:fill="auto"/>
            <w:noWrap/>
            <w:vAlign w:val="bottom"/>
          </w:tcPr>
          <w:p w14:paraId="7A568A61" w14:textId="1301489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57.8</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65079E70" w14:textId="334B254C"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37.7</w:t>
            </w: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70562632" w14:textId="64E296E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40.1</w:t>
            </w:r>
          </w:p>
        </w:tc>
        <w:tc>
          <w:tcPr>
            <w:tcW w:w="854" w:type="dxa"/>
            <w:tcBorders>
              <w:top w:val="single" w:sz="4" w:space="0" w:color="auto"/>
              <w:left w:val="nil"/>
              <w:bottom w:val="single" w:sz="4" w:space="0" w:color="auto"/>
              <w:right w:val="single" w:sz="4" w:space="0" w:color="auto"/>
            </w:tcBorders>
            <w:shd w:val="clear" w:color="auto" w:fill="auto"/>
            <w:noWrap/>
            <w:vAlign w:val="bottom"/>
          </w:tcPr>
          <w:p w14:paraId="34044181" w14:textId="63C4AC0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94.4</w:t>
            </w:r>
          </w:p>
        </w:tc>
        <w:tc>
          <w:tcPr>
            <w:tcW w:w="1140" w:type="dxa"/>
            <w:tcBorders>
              <w:top w:val="single" w:sz="4" w:space="0" w:color="auto"/>
              <w:left w:val="nil"/>
              <w:bottom w:val="single" w:sz="4" w:space="0" w:color="auto"/>
              <w:right w:val="single" w:sz="4" w:space="0" w:color="auto"/>
            </w:tcBorders>
            <w:shd w:val="clear" w:color="auto" w:fill="auto"/>
            <w:noWrap/>
            <w:vAlign w:val="bottom"/>
          </w:tcPr>
          <w:p w14:paraId="2251B6B9" w14:textId="0B098A8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66.5</w:t>
            </w:r>
          </w:p>
        </w:tc>
        <w:tc>
          <w:tcPr>
            <w:tcW w:w="1303" w:type="dxa"/>
            <w:tcBorders>
              <w:top w:val="single" w:sz="4" w:space="0" w:color="auto"/>
              <w:left w:val="nil"/>
              <w:bottom w:val="single" w:sz="4" w:space="0" w:color="auto"/>
              <w:right w:val="single" w:sz="4" w:space="0" w:color="auto"/>
            </w:tcBorders>
            <w:shd w:val="clear" w:color="auto" w:fill="auto"/>
            <w:noWrap/>
            <w:vAlign w:val="bottom"/>
          </w:tcPr>
          <w:p w14:paraId="33DBAE46" w14:textId="08131C2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44.5</w:t>
            </w:r>
          </w:p>
        </w:tc>
      </w:tr>
      <w:tr w:rsidR="007F5BE0" w:rsidRPr="00240E45" w14:paraId="01165DDD"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22CF1D58" w14:textId="330FD8D9"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158</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7EA57954" w14:textId="27A3DFFD"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Autónoma de Barcelona</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2D2C8CD8" w14:textId="7CFA148D"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212401BA" w14:textId="30EC21EF"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56.9</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7D630C71" w14:textId="6DDEA14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40.9</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5BE13D04" w14:textId="10DEA16D"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36.1</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6AEEA6EE" w14:textId="47E38AB8"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92.9</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6086E88D" w14:textId="7F4D908D"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64.3</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32945F3C" w14:textId="5DAF7E03"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44.8</w:t>
            </w:r>
          </w:p>
        </w:tc>
      </w:tr>
      <w:tr w:rsidR="007F5BE0" w:rsidRPr="00240E45" w14:paraId="4E9D7D31"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1B8B53" w14:textId="0ADD71F6"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214</w:t>
            </w:r>
          </w:p>
        </w:tc>
        <w:tc>
          <w:tcPr>
            <w:tcW w:w="3345" w:type="dxa"/>
            <w:tcBorders>
              <w:top w:val="nil"/>
              <w:left w:val="nil"/>
              <w:bottom w:val="single" w:sz="4" w:space="0" w:color="auto"/>
              <w:right w:val="single" w:sz="4" w:space="0" w:color="auto"/>
            </w:tcBorders>
            <w:shd w:val="clear" w:color="auto" w:fill="auto"/>
            <w:noWrap/>
            <w:vAlign w:val="bottom"/>
          </w:tcPr>
          <w:p w14:paraId="05BCD728" w14:textId="2C2C69E2"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Barcelona</w:t>
            </w:r>
          </w:p>
        </w:tc>
        <w:tc>
          <w:tcPr>
            <w:tcW w:w="993" w:type="dxa"/>
            <w:tcBorders>
              <w:top w:val="nil"/>
              <w:left w:val="nil"/>
              <w:bottom w:val="single" w:sz="4" w:space="0" w:color="auto"/>
              <w:right w:val="single" w:sz="4" w:space="0" w:color="auto"/>
            </w:tcBorders>
            <w:shd w:val="clear" w:color="auto" w:fill="auto"/>
            <w:noWrap/>
            <w:vAlign w:val="bottom"/>
          </w:tcPr>
          <w:p w14:paraId="3896DCF8" w14:textId="35C308BF"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auto"/>
            <w:noWrap/>
            <w:vAlign w:val="bottom"/>
          </w:tcPr>
          <w:p w14:paraId="0EA7DBDB" w14:textId="4B008CEF"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52.4</w:t>
            </w:r>
          </w:p>
        </w:tc>
        <w:tc>
          <w:tcPr>
            <w:tcW w:w="1053" w:type="dxa"/>
            <w:tcBorders>
              <w:top w:val="nil"/>
              <w:left w:val="nil"/>
              <w:bottom w:val="single" w:sz="4" w:space="0" w:color="auto"/>
              <w:right w:val="single" w:sz="4" w:space="0" w:color="auto"/>
            </w:tcBorders>
            <w:shd w:val="clear" w:color="auto" w:fill="auto"/>
            <w:noWrap/>
            <w:vAlign w:val="bottom"/>
          </w:tcPr>
          <w:p w14:paraId="58AA1827" w14:textId="6F2B849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37.3</w:t>
            </w:r>
          </w:p>
        </w:tc>
        <w:tc>
          <w:tcPr>
            <w:tcW w:w="1140" w:type="dxa"/>
            <w:tcBorders>
              <w:top w:val="nil"/>
              <w:left w:val="nil"/>
              <w:bottom w:val="single" w:sz="4" w:space="0" w:color="auto"/>
              <w:right w:val="single" w:sz="4" w:space="0" w:color="auto"/>
            </w:tcBorders>
            <w:shd w:val="clear" w:color="auto" w:fill="auto"/>
            <w:noWrap/>
            <w:vAlign w:val="bottom"/>
          </w:tcPr>
          <w:p w14:paraId="106D87D5" w14:textId="73897D0C"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32.5</w:t>
            </w:r>
          </w:p>
        </w:tc>
        <w:tc>
          <w:tcPr>
            <w:tcW w:w="854" w:type="dxa"/>
            <w:tcBorders>
              <w:top w:val="nil"/>
              <w:left w:val="nil"/>
              <w:bottom w:val="single" w:sz="4" w:space="0" w:color="auto"/>
              <w:right w:val="single" w:sz="4" w:space="0" w:color="auto"/>
            </w:tcBorders>
            <w:shd w:val="clear" w:color="auto" w:fill="auto"/>
            <w:noWrap/>
            <w:vAlign w:val="bottom"/>
          </w:tcPr>
          <w:p w14:paraId="5500ACED" w14:textId="7C8F358F"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87.6</w:t>
            </w:r>
          </w:p>
        </w:tc>
        <w:tc>
          <w:tcPr>
            <w:tcW w:w="1140" w:type="dxa"/>
            <w:tcBorders>
              <w:top w:val="nil"/>
              <w:left w:val="nil"/>
              <w:bottom w:val="single" w:sz="4" w:space="0" w:color="auto"/>
              <w:right w:val="single" w:sz="4" w:space="0" w:color="auto"/>
            </w:tcBorders>
            <w:shd w:val="clear" w:color="auto" w:fill="auto"/>
            <w:noWrap/>
            <w:vAlign w:val="bottom"/>
          </w:tcPr>
          <w:p w14:paraId="15F6E2EE" w14:textId="1D06A71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54.7</w:t>
            </w:r>
          </w:p>
        </w:tc>
        <w:tc>
          <w:tcPr>
            <w:tcW w:w="1303" w:type="dxa"/>
            <w:tcBorders>
              <w:top w:val="nil"/>
              <w:left w:val="nil"/>
              <w:bottom w:val="single" w:sz="4" w:space="0" w:color="auto"/>
              <w:right w:val="single" w:sz="4" w:space="0" w:color="auto"/>
            </w:tcBorders>
            <w:shd w:val="clear" w:color="auto" w:fill="auto"/>
            <w:noWrap/>
            <w:vAlign w:val="bottom"/>
          </w:tcPr>
          <w:p w14:paraId="3B6C8E57" w14:textId="2343CAE2"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41.2</w:t>
            </w:r>
          </w:p>
        </w:tc>
      </w:tr>
      <w:tr w:rsidR="007F5BE0" w:rsidRPr="00240E45" w14:paraId="1FA4B58D"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0AD895A0" w14:textId="5B5EB35A"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267</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31F0BFEA" w14:textId="142E3D75"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Sao Paulo</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7BFF54F6" w14:textId="71CDB144"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Brasil</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0D6B6339" w14:textId="2556E828"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48.8</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6BCA2CF0" w14:textId="121506BF"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56.4</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462AEBF9" w14:textId="4BB09A6A"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54</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77AB81CD" w14:textId="5120A3D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40.6</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099F8738" w14:textId="6C3AF01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33.9</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481318A1" w14:textId="2C1A3D1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39.9</w:t>
            </w:r>
          </w:p>
        </w:tc>
      </w:tr>
      <w:tr w:rsidR="007F5BE0" w:rsidRPr="00240E45" w14:paraId="2B0AF5B6"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D5ACA1" w14:textId="31D58C92"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270</w:t>
            </w:r>
          </w:p>
        </w:tc>
        <w:tc>
          <w:tcPr>
            <w:tcW w:w="3345" w:type="dxa"/>
            <w:tcBorders>
              <w:top w:val="nil"/>
              <w:left w:val="nil"/>
              <w:bottom w:val="single" w:sz="4" w:space="0" w:color="auto"/>
              <w:right w:val="single" w:sz="4" w:space="0" w:color="auto"/>
            </w:tcBorders>
            <w:shd w:val="clear" w:color="auto" w:fill="auto"/>
            <w:noWrap/>
            <w:vAlign w:val="bottom"/>
          </w:tcPr>
          <w:p w14:paraId="7C4C5E1F" w14:textId="59DC9984"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Navarra</w:t>
            </w:r>
          </w:p>
        </w:tc>
        <w:tc>
          <w:tcPr>
            <w:tcW w:w="993" w:type="dxa"/>
            <w:tcBorders>
              <w:top w:val="nil"/>
              <w:left w:val="nil"/>
              <w:bottom w:val="single" w:sz="4" w:space="0" w:color="auto"/>
              <w:right w:val="single" w:sz="4" w:space="0" w:color="auto"/>
            </w:tcBorders>
            <w:shd w:val="clear" w:color="auto" w:fill="auto"/>
            <w:noWrap/>
            <w:vAlign w:val="bottom"/>
          </w:tcPr>
          <w:p w14:paraId="18C3CFF6" w14:textId="603D199B"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auto"/>
            <w:noWrap/>
            <w:vAlign w:val="bottom"/>
          </w:tcPr>
          <w:p w14:paraId="2B0DDE38" w14:textId="275C4868"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48.6</w:t>
            </w:r>
          </w:p>
        </w:tc>
        <w:tc>
          <w:tcPr>
            <w:tcW w:w="1053" w:type="dxa"/>
            <w:tcBorders>
              <w:top w:val="nil"/>
              <w:left w:val="nil"/>
              <w:bottom w:val="single" w:sz="4" w:space="0" w:color="auto"/>
              <w:right w:val="single" w:sz="4" w:space="0" w:color="auto"/>
            </w:tcBorders>
            <w:shd w:val="clear" w:color="auto" w:fill="auto"/>
            <w:noWrap/>
            <w:vAlign w:val="bottom"/>
          </w:tcPr>
          <w:p w14:paraId="4E12D99E" w14:textId="1A527E99"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30.4</w:t>
            </w:r>
          </w:p>
        </w:tc>
        <w:tc>
          <w:tcPr>
            <w:tcW w:w="1140" w:type="dxa"/>
            <w:tcBorders>
              <w:top w:val="nil"/>
              <w:left w:val="nil"/>
              <w:bottom w:val="single" w:sz="4" w:space="0" w:color="auto"/>
              <w:right w:val="single" w:sz="4" w:space="0" w:color="auto"/>
            </w:tcBorders>
            <w:shd w:val="clear" w:color="auto" w:fill="auto"/>
            <w:noWrap/>
            <w:vAlign w:val="bottom"/>
          </w:tcPr>
          <w:p w14:paraId="443362FB" w14:textId="69CF6BA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27.9</w:t>
            </w:r>
          </w:p>
        </w:tc>
        <w:tc>
          <w:tcPr>
            <w:tcW w:w="854" w:type="dxa"/>
            <w:tcBorders>
              <w:top w:val="nil"/>
              <w:left w:val="nil"/>
              <w:bottom w:val="single" w:sz="4" w:space="0" w:color="auto"/>
              <w:right w:val="single" w:sz="4" w:space="0" w:color="auto"/>
            </w:tcBorders>
            <w:shd w:val="clear" w:color="auto" w:fill="auto"/>
            <w:noWrap/>
            <w:vAlign w:val="bottom"/>
          </w:tcPr>
          <w:p w14:paraId="02691632" w14:textId="5560D43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80.3</w:t>
            </w:r>
          </w:p>
        </w:tc>
        <w:tc>
          <w:tcPr>
            <w:tcW w:w="1140" w:type="dxa"/>
            <w:tcBorders>
              <w:top w:val="nil"/>
              <w:left w:val="nil"/>
              <w:bottom w:val="single" w:sz="4" w:space="0" w:color="auto"/>
              <w:right w:val="single" w:sz="4" w:space="0" w:color="auto"/>
            </w:tcBorders>
            <w:shd w:val="clear" w:color="auto" w:fill="auto"/>
            <w:noWrap/>
            <w:vAlign w:val="bottom"/>
          </w:tcPr>
          <w:p w14:paraId="14853BEE" w14:textId="7EBAC5FA"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65.1</w:t>
            </w:r>
          </w:p>
        </w:tc>
        <w:tc>
          <w:tcPr>
            <w:tcW w:w="1303" w:type="dxa"/>
            <w:tcBorders>
              <w:top w:val="nil"/>
              <w:left w:val="nil"/>
              <w:bottom w:val="single" w:sz="4" w:space="0" w:color="auto"/>
              <w:right w:val="single" w:sz="4" w:space="0" w:color="auto"/>
            </w:tcBorders>
            <w:shd w:val="clear" w:color="auto" w:fill="auto"/>
            <w:noWrap/>
            <w:vAlign w:val="bottom"/>
          </w:tcPr>
          <w:p w14:paraId="5658E30B" w14:textId="5E4A1343"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85.5</w:t>
            </w:r>
          </w:p>
        </w:tc>
      </w:tr>
      <w:tr w:rsidR="007F5BE0" w:rsidRPr="00240E45" w14:paraId="297D7385"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5E81235A" w14:textId="3DA0330E"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288</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1B36248A" w14:textId="5D49C726"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Autónoma de Madrid</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07248ABE" w14:textId="613F8AE8"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1FEB4EE0" w14:textId="46F332CC"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47.8</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213DB587" w14:textId="7AF084B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40.1</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5769C0D3" w14:textId="78203AB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28.7</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0F17551E" w14:textId="07788CD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74.5</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0D291A0C" w14:textId="36BEF2C9"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51.5</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7CD8F009" w14:textId="5674E01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38.6</w:t>
            </w:r>
          </w:p>
        </w:tc>
      </w:tr>
      <w:tr w:rsidR="007F5BE0" w:rsidRPr="00240E45" w14:paraId="1369429F"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C57EAC" w14:textId="210DC9A8"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392</w:t>
            </w:r>
          </w:p>
        </w:tc>
        <w:tc>
          <w:tcPr>
            <w:tcW w:w="3345" w:type="dxa"/>
            <w:tcBorders>
              <w:top w:val="nil"/>
              <w:left w:val="nil"/>
              <w:bottom w:val="single" w:sz="4" w:space="0" w:color="auto"/>
              <w:right w:val="single" w:sz="4" w:space="0" w:color="auto"/>
            </w:tcBorders>
            <w:shd w:val="clear" w:color="auto" w:fill="auto"/>
            <w:noWrap/>
            <w:vAlign w:val="bottom"/>
          </w:tcPr>
          <w:p w14:paraId="4F995FA7" w14:textId="3148E7A8"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Católica de Portugal</w:t>
            </w:r>
          </w:p>
        </w:tc>
        <w:tc>
          <w:tcPr>
            <w:tcW w:w="993" w:type="dxa"/>
            <w:tcBorders>
              <w:top w:val="nil"/>
              <w:left w:val="nil"/>
              <w:bottom w:val="single" w:sz="4" w:space="0" w:color="auto"/>
              <w:right w:val="single" w:sz="4" w:space="0" w:color="auto"/>
            </w:tcBorders>
            <w:shd w:val="clear" w:color="auto" w:fill="auto"/>
            <w:noWrap/>
            <w:vAlign w:val="bottom"/>
          </w:tcPr>
          <w:p w14:paraId="49F77B55" w14:textId="77DC2A03"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Portugal</w:t>
            </w:r>
          </w:p>
        </w:tc>
        <w:tc>
          <w:tcPr>
            <w:tcW w:w="1073" w:type="dxa"/>
            <w:tcBorders>
              <w:top w:val="nil"/>
              <w:left w:val="nil"/>
              <w:bottom w:val="single" w:sz="4" w:space="0" w:color="auto"/>
              <w:right w:val="single" w:sz="4" w:space="0" w:color="auto"/>
            </w:tcBorders>
            <w:shd w:val="clear" w:color="auto" w:fill="auto"/>
            <w:noWrap/>
            <w:vAlign w:val="bottom"/>
          </w:tcPr>
          <w:p w14:paraId="36435AC6" w14:textId="6A05DA56"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42.8</w:t>
            </w:r>
          </w:p>
        </w:tc>
        <w:tc>
          <w:tcPr>
            <w:tcW w:w="1053" w:type="dxa"/>
            <w:tcBorders>
              <w:top w:val="nil"/>
              <w:left w:val="nil"/>
              <w:bottom w:val="single" w:sz="4" w:space="0" w:color="auto"/>
              <w:right w:val="single" w:sz="4" w:space="0" w:color="auto"/>
            </w:tcBorders>
            <w:shd w:val="clear" w:color="auto" w:fill="auto"/>
            <w:noWrap/>
            <w:vAlign w:val="bottom"/>
          </w:tcPr>
          <w:p w14:paraId="50FE312D" w14:textId="7D960C6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18.3</w:t>
            </w:r>
          </w:p>
        </w:tc>
        <w:tc>
          <w:tcPr>
            <w:tcW w:w="1140" w:type="dxa"/>
            <w:tcBorders>
              <w:top w:val="nil"/>
              <w:left w:val="nil"/>
              <w:bottom w:val="single" w:sz="4" w:space="0" w:color="auto"/>
              <w:right w:val="single" w:sz="4" w:space="0" w:color="auto"/>
            </w:tcBorders>
            <w:shd w:val="clear" w:color="auto" w:fill="auto"/>
            <w:noWrap/>
            <w:vAlign w:val="bottom"/>
          </w:tcPr>
          <w:p w14:paraId="42B15D9E" w14:textId="0065B7BD"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15</w:t>
            </w:r>
          </w:p>
        </w:tc>
        <w:tc>
          <w:tcPr>
            <w:tcW w:w="854" w:type="dxa"/>
            <w:tcBorders>
              <w:top w:val="nil"/>
              <w:left w:val="nil"/>
              <w:bottom w:val="single" w:sz="4" w:space="0" w:color="auto"/>
              <w:right w:val="single" w:sz="4" w:space="0" w:color="auto"/>
            </w:tcBorders>
            <w:shd w:val="clear" w:color="auto" w:fill="auto"/>
            <w:noWrap/>
            <w:vAlign w:val="bottom"/>
          </w:tcPr>
          <w:p w14:paraId="2961612C" w14:textId="594680AF"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94.6</w:t>
            </w:r>
          </w:p>
        </w:tc>
        <w:tc>
          <w:tcPr>
            <w:tcW w:w="1140" w:type="dxa"/>
            <w:tcBorders>
              <w:top w:val="nil"/>
              <w:left w:val="nil"/>
              <w:bottom w:val="single" w:sz="4" w:space="0" w:color="auto"/>
              <w:right w:val="single" w:sz="4" w:space="0" w:color="auto"/>
            </w:tcBorders>
            <w:shd w:val="clear" w:color="auto" w:fill="auto"/>
            <w:noWrap/>
            <w:vAlign w:val="bottom"/>
          </w:tcPr>
          <w:p w14:paraId="17D9A89B" w14:textId="00C3AE2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47.4</w:t>
            </w:r>
          </w:p>
        </w:tc>
        <w:tc>
          <w:tcPr>
            <w:tcW w:w="1303" w:type="dxa"/>
            <w:tcBorders>
              <w:top w:val="nil"/>
              <w:left w:val="nil"/>
              <w:bottom w:val="single" w:sz="4" w:space="0" w:color="auto"/>
              <w:right w:val="single" w:sz="4" w:space="0" w:color="auto"/>
            </w:tcBorders>
            <w:shd w:val="clear" w:color="auto" w:fill="auto"/>
            <w:noWrap/>
            <w:vAlign w:val="bottom"/>
          </w:tcPr>
          <w:p w14:paraId="14261110" w14:textId="6DFD5B65"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35.9</w:t>
            </w:r>
          </w:p>
        </w:tc>
      </w:tr>
      <w:tr w:rsidR="007F5BE0" w:rsidRPr="00240E45" w14:paraId="68462B41"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482D7CE4" w14:textId="6BC33B9A"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435</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141D1A56" w14:textId="1451CDE6"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Pontificia Universidad Javeriana</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3B88111C" w14:textId="4933A0E9"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Colombia</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6E053E07" w14:textId="0B2004DE"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41.1</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5A299118" w14:textId="666765C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15.3</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07B03DFB" w14:textId="27B7844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8.9</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0F468E1E" w14:textId="465AE94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98.6</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20C6D6C3" w14:textId="28B4B6F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44.6</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0729C3B8" w14:textId="37DCF27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34.8</w:t>
            </w:r>
          </w:p>
        </w:tc>
      </w:tr>
      <w:tr w:rsidR="007F5BE0" w:rsidRPr="00240E45" w14:paraId="3138D29D"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F64C67" w14:textId="0282CA3F"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439</w:t>
            </w:r>
          </w:p>
        </w:tc>
        <w:tc>
          <w:tcPr>
            <w:tcW w:w="3345" w:type="dxa"/>
            <w:tcBorders>
              <w:top w:val="nil"/>
              <w:left w:val="nil"/>
              <w:bottom w:val="single" w:sz="4" w:space="0" w:color="auto"/>
              <w:right w:val="single" w:sz="4" w:space="0" w:color="auto"/>
            </w:tcBorders>
            <w:shd w:val="clear" w:color="auto" w:fill="auto"/>
            <w:noWrap/>
            <w:vAlign w:val="bottom"/>
          </w:tcPr>
          <w:p w14:paraId="11DE0BEC" w14:textId="789877BC"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del Desarrollo</w:t>
            </w:r>
          </w:p>
        </w:tc>
        <w:tc>
          <w:tcPr>
            <w:tcW w:w="993" w:type="dxa"/>
            <w:tcBorders>
              <w:top w:val="nil"/>
              <w:left w:val="nil"/>
              <w:bottom w:val="single" w:sz="4" w:space="0" w:color="auto"/>
              <w:right w:val="single" w:sz="4" w:space="0" w:color="auto"/>
            </w:tcBorders>
            <w:shd w:val="clear" w:color="auto" w:fill="auto"/>
            <w:noWrap/>
            <w:vAlign w:val="bottom"/>
          </w:tcPr>
          <w:p w14:paraId="0E7C23EB" w14:textId="1B19CEAF"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Chile</w:t>
            </w:r>
          </w:p>
        </w:tc>
        <w:tc>
          <w:tcPr>
            <w:tcW w:w="1073" w:type="dxa"/>
            <w:tcBorders>
              <w:top w:val="nil"/>
              <w:left w:val="nil"/>
              <w:bottom w:val="single" w:sz="4" w:space="0" w:color="auto"/>
              <w:right w:val="single" w:sz="4" w:space="0" w:color="auto"/>
            </w:tcBorders>
            <w:shd w:val="clear" w:color="auto" w:fill="auto"/>
            <w:noWrap/>
            <w:vAlign w:val="bottom"/>
          </w:tcPr>
          <w:p w14:paraId="4B7AB747" w14:textId="4931D36F"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40.9</w:t>
            </w:r>
          </w:p>
        </w:tc>
        <w:tc>
          <w:tcPr>
            <w:tcW w:w="1053" w:type="dxa"/>
            <w:tcBorders>
              <w:top w:val="nil"/>
              <w:left w:val="nil"/>
              <w:bottom w:val="single" w:sz="4" w:space="0" w:color="auto"/>
              <w:right w:val="single" w:sz="4" w:space="0" w:color="auto"/>
            </w:tcBorders>
            <w:shd w:val="clear" w:color="auto" w:fill="auto"/>
            <w:noWrap/>
            <w:vAlign w:val="bottom"/>
          </w:tcPr>
          <w:p w14:paraId="3DD5EE84" w14:textId="17891B4C"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13.5</w:t>
            </w:r>
          </w:p>
        </w:tc>
        <w:tc>
          <w:tcPr>
            <w:tcW w:w="1140" w:type="dxa"/>
            <w:tcBorders>
              <w:top w:val="nil"/>
              <w:left w:val="nil"/>
              <w:bottom w:val="single" w:sz="4" w:space="0" w:color="auto"/>
              <w:right w:val="single" w:sz="4" w:space="0" w:color="auto"/>
            </w:tcBorders>
            <w:shd w:val="clear" w:color="auto" w:fill="auto"/>
            <w:noWrap/>
            <w:vAlign w:val="bottom"/>
          </w:tcPr>
          <w:p w14:paraId="532C21FB" w14:textId="01E90183"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8.8</w:t>
            </w:r>
          </w:p>
        </w:tc>
        <w:tc>
          <w:tcPr>
            <w:tcW w:w="854" w:type="dxa"/>
            <w:tcBorders>
              <w:top w:val="nil"/>
              <w:left w:val="nil"/>
              <w:bottom w:val="single" w:sz="4" w:space="0" w:color="auto"/>
              <w:right w:val="single" w:sz="4" w:space="0" w:color="auto"/>
            </w:tcBorders>
            <w:shd w:val="clear" w:color="auto" w:fill="auto"/>
            <w:noWrap/>
            <w:vAlign w:val="bottom"/>
          </w:tcPr>
          <w:p w14:paraId="5F2086D4" w14:textId="62EBBC54"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99.1</w:t>
            </w:r>
          </w:p>
        </w:tc>
        <w:tc>
          <w:tcPr>
            <w:tcW w:w="1140" w:type="dxa"/>
            <w:tcBorders>
              <w:top w:val="nil"/>
              <w:left w:val="nil"/>
              <w:bottom w:val="single" w:sz="4" w:space="0" w:color="auto"/>
              <w:right w:val="single" w:sz="4" w:space="0" w:color="auto"/>
            </w:tcBorders>
            <w:shd w:val="clear" w:color="auto" w:fill="auto"/>
            <w:noWrap/>
            <w:vAlign w:val="bottom"/>
          </w:tcPr>
          <w:p w14:paraId="7DE15B63" w14:textId="08A4D623"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48.1</w:t>
            </w:r>
          </w:p>
        </w:tc>
        <w:tc>
          <w:tcPr>
            <w:tcW w:w="1303" w:type="dxa"/>
            <w:tcBorders>
              <w:top w:val="nil"/>
              <w:left w:val="nil"/>
              <w:bottom w:val="single" w:sz="4" w:space="0" w:color="auto"/>
              <w:right w:val="single" w:sz="4" w:space="0" w:color="auto"/>
            </w:tcBorders>
            <w:shd w:val="clear" w:color="auto" w:fill="auto"/>
            <w:noWrap/>
            <w:vAlign w:val="bottom"/>
          </w:tcPr>
          <w:p w14:paraId="497BE624" w14:textId="36B7AB3F"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36.8</w:t>
            </w:r>
          </w:p>
        </w:tc>
      </w:tr>
      <w:tr w:rsidR="007F5BE0" w:rsidRPr="00240E45" w14:paraId="0E48819E"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6BF49B36" w14:textId="6489C390"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442</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21F36014" w14:textId="35575759"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Diego Portales</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10B9A3AE" w14:textId="1D0682D7"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Chile</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3CC8F778" w14:textId="3C528C75"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40.8</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04CA8559" w14:textId="45E3271D"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14.7</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686A5722" w14:textId="36606FBC"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10.5</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529DAF35" w14:textId="2CAB3DDD"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95.3</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065767C3" w14:textId="4071147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50.4</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62345FB5" w14:textId="4D2AD027"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34.4</w:t>
            </w:r>
          </w:p>
        </w:tc>
      </w:tr>
      <w:tr w:rsidR="007F5BE0" w:rsidRPr="00240E45" w14:paraId="7C1F7E67"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13C3B" w14:textId="1A42EEF6"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459</w:t>
            </w:r>
          </w:p>
        </w:tc>
        <w:tc>
          <w:tcPr>
            <w:tcW w:w="3345" w:type="dxa"/>
            <w:tcBorders>
              <w:top w:val="nil"/>
              <w:left w:val="nil"/>
              <w:bottom w:val="single" w:sz="4" w:space="0" w:color="auto"/>
              <w:right w:val="single" w:sz="4" w:space="0" w:color="auto"/>
            </w:tcBorders>
            <w:shd w:val="clear" w:color="auto" w:fill="auto"/>
            <w:noWrap/>
            <w:vAlign w:val="bottom"/>
          </w:tcPr>
          <w:p w14:paraId="5A904EE4" w14:textId="72ABD44F"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Oporto</w:t>
            </w:r>
          </w:p>
        </w:tc>
        <w:tc>
          <w:tcPr>
            <w:tcW w:w="993" w:type="dxa"/>
            <w:tcBorders>
              <w:top w:val="nil"/>
              <w:left w:val="nil"/>
              <w:bottom w:val="single" w:sz="4" w:space="0" w:color="auto"/>
              <w:right w:val="single" w:sz="4" w:space="0" w:color="auto"/>
            </w:tcBorders>
            <w:shd w:val="clear" w:color="auto" w:fill="auto"/>
            <w:noWrap/>
            <w:vAlign w:val="bottom"/>
          </w:tcPr>
          <w:p w14:paraId="6D2F6827" w14:textId="3263ED4E"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Portugal</w:t>
            </w:r>
          </w:p>
        </w:tc>
        <w:tc>
          <w:tcPr>
            <w:tcW w:w="1073" w:type="dxa"/>
            <w:tcBorders>
              <w:top w:val="nil"/>
              <w:left w:val="nil"/>
              <w:bottom w:val="single" w:sz="4" w:space="0" w:color="auto"/>
              <w:right w:val="single" w:sz="4" w:space="0" w:color="auto"/>
            </w:tcBorders>
            <w:shd w:val="clear" w:color="auto" w:fill="auto"/>
            <w:noWrap/>
            <w:vAlign w:val="bottom"/>
          </w:tcPr>
          <w:p w14:paraId="4EBB8C84" w14:textId="3FF931C1"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40.2</w:t>
            </w:r>
          </w:p>
        </w:tc>
        <w:tc>
          <w:tcPr>
            <w:tcW w:w="1053" w:type="dxa"/>
            <w:tcBorders>
              <w:top w:val="nil"/>
              <w:left w:val="nil"/>
              <w:bottom w:val="single" w:sz="4" w:space="0" w:color="auto"/>
              <w:right w:val="single" w:sz="4" w:space="0" w:color="auto"/>
            </w:tcBorders>
            <w:shd w:val="clear" w:color="auto" w:fill="auto"/>
            <w:noWrap/>
            <w:vAlign w:val="bottom"/>
          </w:tcPr>
          <w:p w14:paraId="0C0A709C" w14:textId="55F68F48"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27.4</w:t>
            </w:r>
          </w:p>
        </w:tc>
        <w:tc>
          <w:tcPr>
            <w:tcW w:w="1140" w:type="dxa"/>
            <w:tcBorders>
              <w:top w:val="nil"/>
              <w:left w:val="nil"/>
              <w:bottom w:val="single" w:sz="4" w:space="0" w:color="auto"/>
              <w:right w:val="single" w:sz="4" w:space="0" w:color="auto"/>
            </w:tcBorders>
            <w:shd w:val="clear" w:color="auto" w:fill="auto"/>
            <w:noWrap/>
            <w:vAlign w:val="bottom"/>
          </w:tcPr>
          <w:p w14:paraId="078EBD2F" w14:textId="6EE392A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27.9</w:t>
            </w:r>
          </w:p>
        </w:tc>
        <w:tc>
          <w:tcPr>
            <w:tcW w:w="854" w:type="dxa"/>
            <w:tcBorders>
              <w:top w:val="nil"/>
              <w:left w:val="nil"/>
              <w:bottom w:val="single" w:sz="4" w:space="0" w:color="auto"/>
              <w:right w:val="single" w:sz="4" w:space="0" w:color="auto"/>
            </w:tcBorders>
            <w:shd w:val="clear" w:color="auto" w:fill="auto"/>
            <w:noWrap/>
            <w:vAlign w:val="bottom"/>
          </w:tcPr>
          <w:p w14:paraId="09FC6382" w14:textId="2B7DCDD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62.1</w:t>
            </w:r>
          </w:p>
        </w:tc>
        <w:tc>
          <w:tcPr>
            <w:tcW w:w="1140" w:type="dxa"/>
            <w:tcBorders>
              <w:top w:val="nil"/>
              <w:left w:val="nil"/>
              <w:bottom w:val="single" w:sz="4" w:space="0" w:color="auto"/>
              <w:right w:val="single" w:sz="4" w:space="0" w:color="auto"/>
            </w:tcBorders>
            <w:shd w:val="clear" w:color="auto" w:fill="auto"/>
            <w:noWrap/>
            <w:vAlign w:val="bottom"/>
          </w:tcPr>
          <w:p w14:paraId="328224E1" w14:textId="144D606F"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53.9</w:t>
            </w:r>
          </w:p>
        </w:tc>
        <w:tc>
          <w:tcPr>
            <w:tcW w:w="1303" w:type="dxa"/>
            <w:tcBorders>
              <w:top w:val="nil"/>
              <w:left w:val="nil"/>
              <w:bottom w:val="single" w:sz="4" w:space="0" w:color="auto"/>
              <w:right w:val="single" w:sz="4" w:space="0" w:color="auto"/>
            </w:tcBorders>
            <w:shd w:val="clear" w:color="auto" w:fill="auto"/>
            <w:noWrap/>
            <w:vAlign w:val="bottom"/>
          </w:tcPr>
          <w:p w14:paraId="45CD9D7C" w14:textId="77793AD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38.7</w:t>
            </w:r>
          </w:p>
        </w:tc>
      </w:tr>
      <w:tr w:rsidR="007F5BE0" w:rsidRPr="00240E45" w14:paraId="4B565841"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5F4125E2" w14:textId="2218DA95"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482</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615741AA" w14:textId="716D892C"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Valencia</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6B7F0C8B" w14:textId="7E28793C"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04111F05" w14:textId="69E8CF31"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39.3</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1FDFB34C" w14:textId="2361889C"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24.6</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63EE3217" w14:textId="6FC27B2C"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20.8</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44048122" w14:textId="12FC3129"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70.8</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7BDADAF3" w14:textId="6FF6B434"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47</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160EA82C" w14:textId="666C2593"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37</w:t>
            </w:r>
          </w:p>
        </w:tc>
      </w:tr>
      <w:tr w:rsidR="007F5BE0" w:rsidRPr="00240E45" w14:paraId="692AC8A0"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849F43" w14:textId="0583B69B"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506</w:t>
            </w:r>
          </w:p>
        </w:tc>
        <w:tc>
          <w:tcPr>
            <w:tcW w:w="3345" w:type="dxa"/>
            <w:tcBorders>
              <w:top w:val="nil"/>
              <w:left w:val="nil"/>
              <w:bottom w:val="single" w:sz="4" w:space="0" w:color="auto"/>
              <w:right w:val="single" w:sz="4" w:space="0" w:color="auto"/>
            </w:tcBorders>
            <w:shd w:val="clear" w:color="auto" w:fill="auto"/>
            <w:noWrap/>
            <w:vAlign w:val="bottom"/>
          </w:tcPr>
          <w:p w14:paraId="5CDEAB86" w14:textId="2ACE916E"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Campinas</w:t>
            </w:r>
          </w:p>
        </w:tc>
        <w:tc>
          <w:tcPr>
            <w:tcW w:w="993" w:type="dxa"/>
            <w:tcBorders>
              <w:top w:val="nil"/>
              <w:left w:val="nil"/>
              <w:bottom w:val="single" w:sz="4" w:space="0" w:color="auto"/>
              <w:right w:val="single" w:sz="4" w:space="0" w:color="auto"/>
            </w:tcBorders>
            <w:shd w:val="clear" w:color="auto" w:fill="auto"/>
            <w:noWrap/>
            <w:vAlign w:val="bottom"/>
          </w:tcPr>
          <w:p w14:paraId="656719E1" w14:textId="1AD3CDFA"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Brasil</w:t>
            </w:r>
          </w:p>
        </w:tc>
        <w:tc>
          <w:tcPr>
            <w:tcW w:w="1073" w:type="dxa"/>
            <w:tcBorders>
              <w:top w:val="nil"/>
              <w:left w:val="nil"/>
              <w:bottom w:val="single" w:sz="4" w:space="0" w:color="auto"/>
              <w:right w:val="single" w:sz="4" w:space="0" w:color="auto"/>
            </w:tcBorders>
            <w:shd w:val="clear" w:color="auto" w:fill="auto"/>
            <w:noWrap/>
            <w:vAlign w:val="bottom"/>
          </w:tcPr>
          <w:p w14:paraId="3F58C3A6" w14:textId="5112A231"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38.6</w:t>
            </w:r>
          </w:p>
        </w:tc>
        <w:tc>
          <w:tcPr>
            <w:tcW w:w="1053" w:type="dxa"/>
            <w:tcBorders>
              <w:top w:val="nil"/>
              <w:left w:val="nil"/>
              <w:bottom w:val="single" w:sz="4" w:space="0" w:color="auto"/>
              <w:right w:val="single" w:sz="4" w:space="0" w:color="auto"/>
            </w:tcBorders>
            <w:shd w:val="clear" w:color="auto" w:fill="auto"/>
            <w:noWrap/>
            <w:vAlign w:val="bottom"/>
          </w:tcPr>
          <w:p w14:paraId="4B569B42" w14:textId="52E52304"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44.6</w:t>
            </w:r>
          </w:p>
        </w:tc>
        <w:tc>
          <w:tcPr>
            <w:tcW w:w="1140" w:type="dxa"/>
            <w:tcBorders>
              <w:top w:val="nil"/>
              <w:left w:val="nil"/>
              <w:bottom w:val="single" w:sz="4" w:space="0" w:color="auto"/>
              <w:right w:val="single" w:sz="4" w:space="0" w:color="auto"/>
            </w:tcBorders>
            <w:shd w:val="clear" w:color="auto" w:fill="auto"/>
            <w:noWrap/>
            <w:vAlign w:val="bottom"/>
          </w:tcPr>
          <w:p w14:paraId="548F18A7" w14:textId="3B7D3BE7"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38</w:t>
            </w:r>
          </w:p>
        </w:tc>
        <w:tc>
          <w:tcPr>
            <w:tcW w:w="854" w:type="dxa"/>
            <w:tcBorders>
              <w:top w:val="nil"/>
              <w:left w:val="nil"/>
              <w:bottom w:val="single" w:sz="4" w:space="0" w:color="auto"/>
              <w:right w:val="single" w:sz="4" w:space="0" w:color="auto"/>
            </w:tcBorders>
            <w:shd w:val="clear" w:color="auto" w:fill="auto"/>
            <w:noWrap/>
            <w:vAlign w:val="bottom"/>
          </w:tcPr>
          <w:p w14:paraId="10B1AB2B" w14:textId="4E6FD287"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34.8</w:t>
            </w:r>
          </w:p>
        </w:tc>
        <w:tc>
          <w:tcPr>
            <w:tcW w:w="1140" w:type="dxa"/>
            <w:tcBorders>
              <w:top w:val="nil"/>
              <w:left w:val="nil"/>
              <w:bottom w:val="single" w:sz="4" w:space="0" w:color="auto"/>
              <w:right w:val="single" w:sz="4" w:space="0" w:color="auto"/>
            </w:tcBorders>
            <w:shd w:val="clear" w:color="auto" w:fill="auto"/>
            <w:noWrap/>
            <w:vAlign w:val="bottom"/>
          </w:tcPr>
          <w:p w14:paraId="0B0044B3" w14:textId="32EC551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30.6</w:t>
            </w:r>
          </w:p>
        </w:tc>
        <w:tc>
          <w:tcPr>
            <w:tcW w:w="1303" w:type="dxa"/>
            <w:tcBorders>
              <w:top w:val="nil"/>
              <w:left w:val="nil"/>
              <w:bottom w:val="single" w:sz="4" w:space="0" w:color="auto"/>
              <w:right w:val="single" w:sz="4" w:space="0" w:color="auto"/>
            </w:tcBorders>
            <w:shd w:val="clear" w:color="auto" w:fill="auto"/>
            <w:noWrap/>
            <w:vAlign w:val="bottom"/>
          </w:tcPr>
          <w:p w14:paraId="245843B9" w14:textId="2F8846B7"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44.8</w:t>
            </w:r>
          </w:p>
        </w:tc>
      </w:tr>
      <w:tr w:rsidR="007F5BE0" w:rsidRPr="00240E45" w14:paraId="7B119D04"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295F99B6" w14:textId="1B249B74"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510</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5398B10F" w14:textId="6B25877C"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Rovira i Virgili</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23CD7367" w14:textId="3296372B"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1BD0FFED" w14:textId="76280A87"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38.4</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3BF6E1D8" w14:textId="7928D02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23.7</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0942DE89" w14:textId="2DC5823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21</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655FD0AF" w14:textId="0D20638D"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67.6</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27D5BC24" w14:textId="2E97D238"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51.1</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4D9F8080" w14:textId="11687873"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36.6</w:t>
            </w:r>
          </w:p>
        </w:tc>
      </w:tr>
      <w:tr w:rsidR="007F5BE0" w:rsidRPr="00240E45" w14:paraId="76715FF3"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C19F95" w14:textId="3DC04FBD"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529</w:t>
            </w:r>
          </w:p>
        </w:tc>
        <w:tc>
          <w:tcPr>
            <w:tcW w:w="3345" w:type="dxa"/>
            <w:tcBorders>
              <w:top w:val="nil"/>
              <w:left w:val="nil"/>
              <w:bottom w:val="single" w:sz="4" w:space="0" w:color="auto"/>
              <w:right w:val="single" w:sz="4" w:space="0" w:color="auto"/>
            </w:tcBorders>
            <w:shd w:val="clear" w:color="auto" w:fill="auto"/>
            <w:noWrap/>
            <w:vAlign w:val="bottom"/>
          </w:tcPr>
          <w:p w14:paraId="3813FE28" w14:textId="7AE89A72"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Peruana Cayetano Heredia</w:t>
            </w:r>
          </w:p>
        </w:tc>
        <w:tc>
          <w:tcPr>
            <w:tcW w:w="993" w:type="dxa"/>
            <w:tcBorders>
              <w:top w:val="nil"/>
              <w:left w:val="nil"/>
              <w:bottom w:val="single" w:sz="4" w:space="0" w:color="auto"/>
              <w:right w:val="single" w:sz="4" w:space="0" w:color="auto"/>
            </w:tcBorders>
            <w:shd w:val="clear" w:color="auto" w:fill="auto"/>
            <w:noWrap/>
            <w:vAlign w:val="bottom"/>
          </w:tcPr>
          <w:p w14:paraId="720A1514" w14:textId="0E6034AE"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Perú</w:t>
            </w:r>
          </w:p>
        </w:tc>
        <w:tc>
          <w:tcPr>
            <w:tcW w:w="1073" w:type="dxa"/>
            <w:tcBorders>
              <w:top w:val="nil"/>
              <w:left w:val="nil"/>
              <w:bottom w:val="single" w:sz="4" w:space="0" w:color="auto"/>
              <w:right w:val="single" w:sz="4" w:space="0" w:color="auto"/>
            </w:tcBorders>
            <w:shd w:val="clear" w:color="auto" w:fill="auto"/>
            <w:noWrap/>
            <w:vAlign w:val="bottom"/>
          </w:tcPr>
          <w:p w14:paraId="07D78439" w14:textId="577F3D3C"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37.8</w:t>
            </w:r>
          </w:p>
        </w:tc>
        <w:tc>
          <w:tcPr>
            <w:tcW w:w="1053" w:type="dxa"/>
            <w:tcBorders>
              <w:top w:val="nil"/>
              <w:left w:val="nil"/>
              <w:bottom w:val="single" w:sz="4" w:space="0" w:color="auto"/>
              <w:right w:val="single" w:sz="4" w:space="0" w:color="auto"/>
            </w:tcBorders>
            <w:shd w:val="clear" w:color="auto" w:fill="auto"/>
            <w:noWrap/>
            <w:vAlign w:val="bottom"/>
          </w:tcPr>
          <w:p w14:paraId="71F83E2B" w14:textId="475D1025"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17</w:t>
            </w:r>
          </w:p>
        </w:tc>
        <w:tc>
          <w:tcPr>
            <w:tcW w:w="1140" w:type="dxa"/>
            <w:tcBorders>
              <w:top w:val="nil"/>
              <w:left w:val="nil"/>
              <w:bottom w:val="single" w:sz="4" w:space="0" w:color="auto"/>
              <w:right w:val="single" w:sz="4" w:space="0" w:color="auto"/>
            </w:tcBorders>
            <w:shd w:val="clear" w:color="auto" w:fill="auto"/>
            <w:noWrap/>
            <w:vAlign w:val="bottom"/>
          </w:tcPr>
          <w:p w14:paraId="5B75F20D" w14:textId="5841441D"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11.3</w:t>
            </w:r>
          </w:p>
        </w:tc>
        <w:tc>
          <w:tcPr>
            <w:tcW w:w="854" w:type="dxa"/>
            <w:tcBorders>
              <w:top w:val="nil"/>
              <w:left w:val="nil"/>
              <w:bottom w:val="single" w:sz="4" w:space="0" w:color="auto"/>
              <w:right w:val="single" w:sz="4" w:space="0" w:color="auto"/>
            </w:tcBorders>
            <w:shd w:val="clear" w:color="auto" w:fill="auto"/>
            <w:noWrap/>
            <w:vAlign w:val="bottom"/>
          </w:tcPr>
          <w:p w14:paraId="56D3D56E" w14:textId="5ADF0338"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83.1</w:t>
            </w:r>
          </w:p>
        </w:tc>
        <w:tc>
          <w:tcPr>
            <w:tcW w:w="1140" w:type="dxa"/>
            <w:tcBorders>
              <w:top w:val="nil"/>
              <w:left w:val="nil"/>
              <w:bottom w:val="single" w:sz="4" w:space="0" w:color="auto"/>
              <w:right w:val="single" w:sz="4" w:space="0" w:color="auto"/>
            </w:tcBorders>
            <w:shd w:val="clear" w:color="auto" w:fill="auto"/>
            <w:noWrap/>
            <w:vAlign w:val="bottom"/>
          </w:tcPr>
          <w:p w14:paraId="17AFCEB4" w14:textId="388B70C2"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46.4</w:t>
            </w:r>
          </w:p>
        </w:tc>
        <w:tc>
          <w:tcPr>
            <w:tcW w:w="1303" w:type="dxa"/>
            <w:tcBorders>
              <w:top w:val="nil"/>
              <w:left w:val="nil"/>
              <w:bottom w:val="single" w:sz="4" w:space="0" w:color="auto"/>
              <w:right w:val="single" w:sz="4" w:space="0" w:color="auto"/>
            </w:tcBorders>
            <w:shd w:val="clear" w:color="auto" w:fill="auto"/>
            <w:noWrap/>
            <w:vAlign w:val="bottom"/>
          </w:tcPr>
          <w:p w14:paraId="4E999EE4" w14:textId="58718E27"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34.7</w:t>
            </w:r>
          </w:p>
        </w:tc>
      </w:tr>
      <w:tr w:rsidR="007F5BE0" w:rsidRPr="00240E45" w14:paraId="29AE36D1"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767AE649" w14:textId="72E2E822"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532</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63E165D8" w14:textId="70DA8329"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Complutense de Madrid</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590CFBE4" w14:textId="6FF6A900"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62282D4C" w14:textId="77236EE0"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37.7</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3A5EA3C9" w14:textId="25616D6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35.4</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5BBE346E" w14:textId="25AFD7B9"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28.9</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2AEE34B5" w14:textId="65F3A7FA"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47.2</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0F68C7F1" w14:textId="4F7FFE82"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44</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41CB2744" w14:textId="7C538F2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36.1</w:t>
            </w:r>
          </w:p>
        </w:tc>
      </w:tr>
      <w:tr w:rsidR="007F5BE0" w:rsidRPr="00240E45" w14:paraId="13DB1AF5"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79C4F9" w14:textId="35E815AF"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539</w:t>
            </w:r>
          </w:p>
        </w:tc>
        <w:tc>
          <w:tcPr>
            <w:tcW w:w="3345" w:type="dxa"/>
            <w:tcBorders>
              <w:top w:val="nil"/>
              <w:left w:val="nil"/>
              <w:bottom w:val="single" w:sz="4" w:space="0" w:color="auto"/>
              <w:right w:val="single" w:sz="4" w:space="0" w:color="auto"/>
            </w:tcBorders>
            <w:shd w:val="clear" w:color="auto" w:fill="auto"/>
            <w:noWrap/>
            <w:vAlign w:val="bottom"/>
          </w:tcPr>
          <w:p w14:paraId="29863E27" w14:textId="16FA64CD"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Lisboa</w:t>
            </w:r>
          </w:p>
        </w:tc>
        <w:tc>
          <w:tcPr>
            <w:tcW w:w="993" w:type="dxa"/>
            <w:tcBorders>
              <w:top w:val="nil"/>
              <w:left w:val="nil"/>
              <w:bottom w:val="single" w:sz="4" w:space="0" w:color="auto"/>
              <w:right w:val="single" w:sz="4" w:space="0" w:color="auto"/>
            </w:tcBorders>
            <w:shd w:val="clear" w:color="auto" w:fill="auto"/>
            <w:noWrap/>
            <w:vAlign w:val="bottom"/>
          </w:tcPr>
          <w:p w14:paraId="1E0B32C4" w14:textId="6E8D7BB7"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Portugal</w:t>
            </w:r>
          </w:p>
        </w:tc>
        <w:tc>
          <w:tcPr>
            <w:tcW w:w="1073" w:type="dxa"/>
            <w:tcBorders>
              <w:top w:val="nil"/>
              <w:left w:val="nil"/>
              <w:bottom w:val="single" w:sz="4" w:space="0" w:color="auto"/>
              <w:right w:val="single" w:sz="4" w:space="0" w:color="auto"/>
            </w:tcBorders>
            <w:shd w:val="clear" w:color="auto" w:fill="auto"/>
            <w:noWrap/>
            <w:vAlign w:val="bottom"/>
          </w:tcPr>
          <w:p w14:paraId="2EA73F74" w14:textId="7AC0A890"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37.3</w:t>
            </w:r>
          </w:p>
        </w:tc>
        <w:tc>
          <w:tcPr>
            <w:tcW w:w="1053" w:type="dxa"/>
            <w:tcBorders>
              <w:top w:val="nil"/>
              <w:left w:val="nil"/>
              <w:bottom w:val="single" w:sz="4" w:space="0" w:color="auto"/>
              <w:right w:val="single" w:sz="4" w:space="0" w:color="auto"/>
            </w:tcBorders>
            <w:shd w:val="clear" w:color="auto" w:fill="auto"/>
            <w:noWrap/>
            <w:vAlign w:val="bottom"/>
          </w:tcPr>
          <w:p w14:paraId="613A0C19" w14:textId="4C0F910D"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25.2</w:t>
            </w:r>
          </w:p>
        </w:tc>
        <w:tc>
          <w:tcPr>
            <w:tcW w:w="1140" w:type="dxa"/>
            <w:tcBorders>
              <w:top w:val="nil"/>
              <w:left w:val="nil"/>
              <w:bottom w:val="single" w:sz="4" w:space="0" w:color="auto"/>
              <w:right w:val="single" w:sz="4" w:space="0" w:color="auto"/>
            </w:tcBorders>
            <w:shd w:val="clear" w:color="auto" w:fill="auto"/>
            <w:noWrap/>
            <w:vAlign w:val="bottom"/>
          </w:tcPr>
          <w:p w14:paraId="0AEEF573" w14:textId="0C3C799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29.8</w:t>
            </w:r>
          </w:p>
        </w:tc>
        <w:tc>
          <w:tcPr>
            <w:tcW w:w="854" w:type="dxa"/>
            <w:tcBorders>
              <w:top w:val="nil"/>
              <w:left w:val="nil"/>
              <w:bottom w:val="single" w:sz="4" w:space="0" w:color="auto"/>
              <w:right w:val="single" w:sz="4" w:space="0" w:color="auto"/>
            </w:tcBorders>
            <w:shd w:val="clear" w:color="auto" w:fill="auto"/>
            <w:noWrap/>
            <w:vAlign w:val="bottom"/>
          </w:tcPr>
          <w:p w14:paraId="0C4AF281" w14:textId="07105AFD"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52.7</w:t>
            </w:r>
          </w:p>
        </w:tc>
        <w:tc>
          <w:tcPr>
            <w:tcW w:w="1140" w:type="dxa"/>
            <w:tcBorders>
              <w:top w:val="nil"/>
              <w:left w:val="nil"/>
              <w:bottom w:val="single" w:sz="4" w:space="0" w:color="auto"/>
              <w:right w:val="single" w:sz="4" w:space="0" w:color="auto"/>
            </w:tcBorders>
            <w:shd w:val="clear" w:color="auto" w:fill="auto"/>
            <w:noWrap/>
            <w:vAlign w:val="bottom"/>
          </w:tcPr>
          <w:p w14:paraId="3245FB68" w14:textId="197F4EF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53.8</w:t>
            </w:r>
          </w:p>
        </w:tc>
        <w:tc>
          <w:tcPr>
            <w:tcW w:w="1303" w:type="dxa"/>
            <w:tcBorders>
              <w:top w:val="nil"/>
              <w:left w:val="nil"/>
              <w:bottom w:val="single" w:sz="4" w:space="0" w:color="auto"/>
              <w:right w:val="single" w:sz="4" w:space="0" w:color="auto"/>
            </w:tcBorders>
            <w:shd w:val="clear" w:color="auto" w:fill="auto"/>
            <w:noWrap/>
            <w:vAlign w:val="bottom"/>
          </w:tcPr>
          <w:p w14:paraId="41CA95A1" w14:textId="44041B6A"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39.2</w:t>
            </w:r>
          </w:p>
        </w:tc>
      </w:tr>
      <w:tr w:rsidR="007F5BE0" w:rsidRPr="00240E45" w14:paraId="7E517F55"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57A5D7D5" w14:textId="4A7E3F51"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571</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1055F460" w14:textId="5C6F55F5"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Pontificia Universidad Católica de Chile</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4C8CD33A" w14:textId="0B9BD066"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Chile</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5190356E" w14:textId="70919AF9"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36.2</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245EA33D" w14:textId="1CF33DD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24.2</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5DA932AD" w14:textId="3A99276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28.3</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3F09F6AE" w14:textId="208A0F7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48.6</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7C495743" w14:textId="6B7EEDD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57.1</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24A58E51" w14:textId="7F76324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64.5</w:t>
            </w:r>
          </w:p>
        </w:tc>
      </w:tr>
      <w:tr w:rsidR="007F5BE0" w:rsidRPr="00240E45" w14:paraId="6BEAA1F6"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8ECBC7" w14:textId="76C113D8"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594</w:t>
            </w:r>
          </w:p>
        </w:tc>
        <w:tc>
          <w:tcPr>
            <w:tcW w:w="3345" w:type="dxa"/>
            <w:tcBorders>
              <w:top w:val="nil"/>
              <w:left w:val="nil"/>
              <w:bottom w:val="single" w:sz="4" w:space="0" w:color="auto"/>
              <w:right w:val="single" w:sz="4" w:space="0" w:color="auto"/>
            </w:tcBorders>
            <w:shd w:val="clear" w:color="auto" w:fill="auto"/>
            <w:noWrap/>
            <w:vAlign w:val="bottom"/>
          </w:tcPr>
          <w:p w14:paraId="5C2C5A59" w14:textId="2926CC69"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Autónoma de Chile</w:t>
            </w:r>
          </w:p>
        </w:tc>
        <w:tc>
          <w:tcPr>
            <w:tcW w:w="993" w:type="dxa"/>
            <w:tcBorders>
              <w:top w:val="nil"/>
              <w:left w:val="nil"/>
              <w:bottom w:val="single" w:sz="4" w:space="0" w:color="auto"/>
              <w:right w:val="single" w:sz="4" w:space="0" w:color="auto"/>
            </w:tcBorders>
            <w:shd w:val="clear" w:color="auto" w:fill="auto"/>
            <w:noWrap/>
            <w:vAlign w:val="bottom"/>
          </w:tcPr>
          <w:p w14:paraId="2C92E5FE" w14:textId="57412AB2"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Chile</w:t>
            </w:r>
          </w:p>
        </w:tc>
        <w:tc>
          <w:tcPr>
            <w:tcW w:w="1073" w:type="dxa"/>
            <w:tcBorders>
              <w:top w:val="nil"/>
              <w:left w:val="nil"/>
              <w:bottom w:val="single" w:sz="4" w:space="0" w:color="auto"/>
              <w:right w:val="single" w:sz="4" w:space="0" w:color="auto"/>
            </w:tcBorders>
            <w:shd w:val="clear" w:color="auto" w:fill="auto"/>
            <w:noWrap/>
            <w:vAlign w:val="bottom"/>
          </w:tcPr>
          <w:p w14:paraId="1A8E1D10" w14:textId="4E0F860E"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35.5</w:t>
            </w:r>
          </w:p>
        </w:tc>
        <w:tc>
          <w:tcPr>
            <w:tcW w:w="1053" w:type="dxa"/>
            <w:tcBorders>
              <w:top w:val="nil"/>
              <w:left w:val="nil"/>
              <w:bottom w:val="single" w:sz="4" w:space="0" w:color="auto"/>
              <w:right w:val="single" w:sz="4" w:space="0" w:color="auto"/>
            </w:tcBorders>
            <w:shd w:val="clear" w:color="auto" w:fill="auto"/>
            <w:noWrap/>
            <w:vAlign w:val="bottom"/>
          </w:tcPr>
          <w:p w14:paraId="58FDB5D8" w14:textId="4496AF03"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12.3</w:t>
            </w:r>
          </w:p>
        </w:tc>
        <w:tc>
          <w:tcPr>
            <w:tcW w:w="1140" w:type="dxa"/>
            <w:tcBorders>
              <w:top w:val="nil"/>
              <w:left w:val="nil"/>
              <w:bottom w:val="single" w:sz="4" w:space="0" w:color="auto"/>
              <w:right w:val="single" w:sz="4" w:space="0" w:color="auto"/>
            </w:tcBorders>
            <w:shd w:val="clear" w:color="auto" w:fill="auto"/>
            <w:noWrap/>
            <w:vAlign w:val="bottom"/>
          </w:tcPr>
          <w:p w14:paraId="183600CE" w14:textId="63C4DD74"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8.9</w:t>
            </w:r>
          </w:p>
        </w:tc>
        <w:tc>
          <w:tcPr>
            <w:tcW w:w="854" w:type="dxa"/>
            <w:tcBorders>
              <w:top w:val="nil"/>
              <w:left w:val="nil"/>
              <w:bottom w:val="single" w:sz="4" w:space="0" w:color="auto"/>
              <w:right w:val="single" w:sz="4" w:space="0" w:color="auto"/>
            </w:tcBorders>
            <w:shd w:val="clear" w:color="auto" w:fill="auto"/>
            <w:noWrap/>
            <w:vAlign w:val="bottom"/>
          </w:tcPr>
          <w:p w14:paraId="6AC99070" w14:textId="1270A367"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81.6</w:t>
            </w:r>
          </w:p>
        </w:tc>
        <w:tc>
          <w:tcPr>
            <w:tcW w:w="1140" w:type="dxa"/>
            <w:tcBorders>
              <w:top w:val="nil"/>
              <w:left w:val="nil"/>
              <w:bottom w:val="single" w:sz="4" w:space="0" w:color="auto"/>
              <w:right w:val="single" w:sz="4" w:space="0" w:color="auto"/>
            </w:tcBorders>
            <w:shd w:val="clear" w:color="auto" w:fill="auto"/>
            <w:noWrap/>
            <w:vAlign w:val="bottom"/>
          </w:tcPr>
          <w:p w14:paraId="51B6FBF7" w14:textId="06396E5A"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50.7</w:t>
            </w:r>
          </w:p>
        </w:tc>
        <w:tc>
          <w:tcPr>
            <w:tcW w:w="1303" w:type="dxa"/>
            <w:tcBorders>
              <w:top w:val="nil"/>
              <w:left w:val="nil"/>
              <w:bottom w:val="single" w:sz="4" w:space="0" w:color="auto"/>
              <w:right w:val="single" w:sz="4" w:space="0" w:color="auto"/>
            </w:tcBorders>
            <w:shd w:val="clear" w:color="auto" w:fill="auto"/>
            <w:noWrap/>
            <w:vAlign w:val="bottom"/>
          </w:tcPr>
          <w:p w14:paraId="73ED267E" w14:textId="644B348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34.4</w:t>
            </w:r>
          </w:p>
        </w:tc>
      </w:tr>
      <w:tr w:rsidR="007F5BE0" w:rsidRPr="00240E45" w14:paraId="03642857"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235453AE" w14:textId="1BA76C6E"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598</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751AF0AE" w14:textId="322BB378"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Abierta de Cataluña</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25904570" w14:textId="3A99ABB3"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2AC4A7D7" w14:textId="67B52D6E"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35.4</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5567A7E3" w14:textId="2C9CBF83"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16.5</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04A0A5EE" w14:textId="146BC34F"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14.2</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220A559C" w14:textId="05306274"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74.2</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0182F35A" w14:textId="2C3DAAD3"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40.2</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17BE8795" w14:textId="54CF1A59"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35.8</w:t>
            </w:r>
          </w:p>
        </w:tc>
      </w:tr>
      <w:tr w:rsidR="007F5BE0" w:rsidRPr="00240E45" w14:paraId="08E43C80"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C3BFA" w14:textId="38BB0CB6"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604</w:t>
            </w:r>
          </w:p>
        </w:tc>
        <w:tc>
          <w:tcPr>
            <w:tcW w:w="3345" w:type="dxa"/>
            <w:tcBorders>
              <w:top w:val="nil"/>
              <w:left w:val="nil"/>
              <w:bottom w:val="single" w:sz="4" w:space="0" w:color="auto"/>
              <w:right w:val="single" w:sz="4" w:space="0" w:color="auto"/>
            </w:tcBorders>
            <w:shd w:val="clear" w:color="auto" w:fill="auto"/>
            <w:noWrap/>
            <w:vAlign w:val="bottom"/>
          </w:tcPr>
          <w:p w14:paraId="3745C804" w14:textId="0142D845"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Coimbra</w:t>
            </w:r>
          </w:p>
        </w:tc>
        <w:tc>
          <w:tcPr>
            <w:tcW w:w="993" w:type="dxa"/>
            <w:tcBorders>
              <w:top w:val="nil"/>
              <w:left w:val="nil"/>
              <w:bottom w:val="single" w:sz="4" w:space="0" w:color="auto"/>
              <w:right w:val="single" w:sz="4" w:space="0" w:color="auto"/>
            </w:tcBorders>
            <w:shd w:val="clear" w:color="auto" w:fill="auto"/>
            <w:noWrap/>
            <w:vAlign w:val="bottom"/>
          </w:tcPr>
          <w:p w14:paraId="0B1709A6" w14:textId="5D4BDC07"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Portugal</w:t>
            </w:r>
          </w:p>
        </w:tc>
        <w:tc>
          <w:tcPr>
            <w:tcW w:w="1073" w:type="dxa"/>
            <w:tcBorders>
              <w:top w:val="nil"/>
              <w:left w:val="nil"/>
              <w:bottom w:val="single" w:sz="4" w:space="0" w:color="auto"/>
              <w:right w:val="single" w:sz="4" w:space="0" w:color="auto"/>
            </w:tcBorders>
            <w:shd w:val="clear" w:color="auto" w:fill="auto"/>
            <w:noWrap/>
            <w:vAlign w:val="bottom"/>
          </w:tcPr>
          <w:p w14:paraId="0DD9EC57" w14:textId="6A2D12E3"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35.2</w:t>
            </w:r>
          </w:p>
        </w:tc>
        <w:tc>
          <w:tcPr>
            <w:tcW w:w="1053" w:type="dxa"/>
            <w:tcBorders>
              <w:top w:val="nil"/>
              <w:left w:val="nil"/>
              <w:bottom w:val="single" w:sz="4" w:space="0" w:color="auto"/>
              <w:right w:val="single" w:sz="4" w:space="0" w:color="auto"/>
            </w:tcBorders>
            <w:shd w:val="clear" w:color="auto" w:fill="auto"/>
            <w:noWrap/>
            <w:vAlign w:val="bottom"/>
          </w:tcPr>
          <w:p w14:paraId="7C4C8092" w14:textId="5E3A6E2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23.7</w:t>
            </w:r>
          </w:p>
        </w:tc>
        <w:tc>
          <w:tcPr>
            <w:tcW w:w="1140" w:type="dxa"/>
            <w:tcBorders>
              <w:top w:val="nil"/>
              <w:left w:val="nil"/>
              <w:bottom w:val="single" w:sz="4" w:space="0" w:color="auto"/>
              <w:right w:val="single" w:sz="4" w:space="0" w:color="auto"/>
            </w:tcBorders>
            <w:shd w:val="clear" w:color="auto" w:fill="auto"/>
            <w:noWrap/>
            <w:vAlign w:val="bottom"/>
          </w:tcPr>
          <w:p w14:paraId="1DED5F5F" w14:textId="02A07FED"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28.1</w:t>
            </w:r>
          </w:p>
        </w:tc>
        <w:tc>
          <w:tcPr>
            <w:tcW w:w="854" w:type="dxa"/>
            <w:tcBorders>
              <w:top w:val="nil"/>
              <w:left w:val="nil"/>
              <w:bottom w:val="single" w:sz="4" w:space="0" w:color="auto"/>
              <w:right w:val="single" w:sz="4" w:space="0" w:color="auto"/>
            </w:tcBorders>
            <w:shd w:val="clear" w:color="auto" w:fill="auto"/>
            <w:noWrap/>
            <w:vAlign w:val="bottom"/>
          </w:tcPr>
          <w:p w14:paraId="36707C94" w14:textId="62584B9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47.4</w:t>
            </w:r>
          </w:p>
        </w:tc>
        <w:tc>
          <w:tcPr>
            <w:tcW w:w="1140" w:type="dxa"/>
            <w:tcBorders>
              <w:top w:val="nil"/>
              <w:left w:val="nil"/>
              <w:bottom w:val="single" w:sz="4" w:space="0" w:color="auto"/>
              <w:right w:val="single" w:sz="4" w:space="0" w:color="auto"/>
            </w:tcBorders>
            <w:shd w:val="clear" w:color="auto" w:fill="auto"/>
            <w:noWrap/>
            <w:vAlign w:val="bottom"/>
          </w:tcPr>
          <w:p w14:paraId="14681508" w14:textId="7058A4F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58.7</w:t>
            </w:r>
          </w:p>
        </w:tc>
        <w:tc>
          <w:tcPr>
            <w:tcW w:w="1303" w:type="dxa"/>
            <w:tcBorders>
              <w:top w:val="nil"/>
              <w:left w:val="nil"/>
              <w:bottom w:val="single" w:sz="4" w:space="0" w:color="auto"/>
              <w:right w:val="single" w:sz="4" w:space="0" w:color="auto"/>
            </w:tcBorders>
            <w:shd w:val="clear" w:color="auto" w:fill="auto"/>
            <w:noWrap/>
            <w:vAlign w:val="bottom"/>
          </w:tcPr>
          <w:p w14:paraId="77FB9085" w14:textId="13BC8E2A"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41</w:t>
            </w:r>
          </w:p>
        </w:tc>
      </w:tr>
      <w:tr w:rsidR="007F5BE0" w:rsidRPr="00240E45" w14:paraId="343B8B61"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36F1A97B" w14:textId="6B902057"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613</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6FFFA940" w14:textId="0D167812"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Lisboa</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3E0CE6B9" w14:textId="1DB8149F"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Portugal</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0FFC2565" w14:textId="0B0CDC35"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34.8</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57335387" w14:textId="0768950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24.9</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671858F4" w14:textId="5229003C"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25.7</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2C196C99" w14:textId="09FAD278"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46.6</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6667E8E5" w14:textId="766902CF"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60.2</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3B5E85B0" w14:textId="359DA86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46.7</w:t>
            </w:r>
          </w:p>
        </w:tc>
      </w:tr>
      <w:tr w:rsidR="007F5BE0" w:rsidRPr="00240E45" w14:paraId="003530D7"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5EC4EE" w14:textId="7766E34F"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615</w:t>
            </w:r>
          </w:p>
        </w:tc>
        <w:tc>
          <w:tcPr>
            <w:tcW w:w="3345" w:type="dxa"/>
            <w:tcBorders>
              <w:top w:val="nil"/>
              <w:left w:val="nil"/>
              <w:bottom w:val="single" w:sz="4" w:space="0" w:color="auto"/>
              <w:right w:val="single" w:sz="4" w:space="0" w:color="auto"/>
            </w:tcBorders>
            <w:shd w:val="clear" w:color="auto" w:fill="auto"/>
            <w:noWrap/>
            <w:vAlign w:val="bottom"/>
          </w:tcPr>
          <w:p w14:paraId="2DB5BD3F" w14:textId="33A37C53"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Costa Rica</w:t>
            </w:r>
          </w:p>
        </w:tc>
        <w:tc>
          <w:tcPr>
            <w:tcW w:w="993" w:type="dxa"/>
            <w:tcBorders>
              <w:top w:val="nil"/>
              <w:left w:val="nil"/>
              <w:bottom w:val="single" w:sz="4" w:space="0" w:color="auto"/>
              <w:right w:val="single" w:sz="4" w:space="0" w:color="auto"/>
            </w:tcBorders>
            <w:shd w:val="clear" w:color="auto" w:fill="auto"/>
            <w:noWrap/>
            <w:vAlign w:val="bottom"/>
          </w:tcPr>
          <w:p w14:paraId="3029EB2F" w14:textId="733E042E"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Costa Rica</w:t>
            </w:r>
          </w:p>
        </w:tc>
        <w:tc>
          <w:tcPr>
            <w:tcW w:w="1073" w:type="dxa"/>
            <w:tcBorders>
              <w:top w:val="nil"/>
              <w:left w:val="nil"/>
              <w:bottom w:val="single" w:sz="4" w:space="0" w:color="auto"/>
              <w:right w:val="single" w:sz="4" w:space="0" w:color="auto"/>
            </w:tcBorders>
            <w:shd w:val="clear" w:color="auto" w:fill="auto"/>
            <w:noWrap/>
            <w:vAlign w:val="bottom"/>
          </w:tcPr>
          <w:p w14:paraId="533046FC" w14:textId="2393D574"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34.8</w:t>
            </w:r>
          </w:p>
        </w:tc>
        <w:tc>
          <w:tcPr>
            <w:tcW w:w="1053" w:type="dxa"/>
            <w:tcBorders>
              <w:top w:val="nil"/>
              <w:left w:val="nil"/>
              <w:bottom w:val="single" w:sz="4" w:space="0" w:color="auto"/>
              <w:right w:val="single" w:sz="4" w:space="0" w:color="auto"/>
            </w:tcBorders>
            <w:shd w:val="clear" w:color="auto" w:fill="auto"/>
            <w:noWrap/>
            <w:vAlign w:val="bottom"/>
          </w:tcPr>
          <w:p w14:paraId="7E201460" w14:textId="79707F3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16.2</w:t>
            </w:r>
          </w:p>
        </w:tc>
        <w:tc>
          <w:tcPr>
            <w:tcW w:w="1140" w:type="dxa"/>
            <w:tcBorders>
              <w:top w:val="nil"/>
              <w:left w:val="nil"/>
              <w:bottom w:val="single" w:sz="4" w:space="0" w:color="auto"/>
              <w:right w:val="single" w:sz="4" w:space="0" w:color="auto"/>
            </w:tcBorders>
            <w:shd w:val="clear" w:color="auto" w:fill="auto"/>
            <w:noWrap/>
            <w:vAlign w:val="bottom"/>
          </w:tcPr>
          <w:p w14:paraId="2FBA971E" w14:textId="6BCDEE32"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7.9</w:t>
            </w:r>
          </w:p>
        </w:tc>
        <w:tc>
          <w:tcPr>
            <w:tcW w:w="854" w:type="dxa"/>
            <w:tcBorders>
              <w:top w:val="nil"/>
              <w:left w:val="nil"/>
              <w:bottom w:val="single" w:sz="4" w:space="0" w:color="auto"/>
              <w:right w:val="single" w:sz="4" w:space="0" w:color="auto"/>
            </w:tcBorders>
            <w:shd w:val="clear" w:color="auto" w:fill="auto"/>
            <w:noWrap/>
            <w:vAlign w:val="bottom"/>
          </w:tcPr>
          <w:p w14:paraId="244437A3" w14:textId="5637E66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77.1</w:t>
            </w:r>
          </w:p>
        </w:tc>
        <w:tc>
          <w:tcPr>
            <w:tcW w:w="1140" w:type="dxa"/>
            <w:tcBorders>
              <w:top w:val="nil"/>
              <w:left w:val="nil"/>
              <w:bottom w:val="single" w:sz="4" w:space="0" w:color="auto"/>
              <w:right w:val="single" w:sz="4" w:space="0" w:color="auto"/>
            </w:tcBorders>
            <w:shd w:val="clear" w:color="auto" w:fill="auto"/>
            <w:noWrap/>
            <w:vAlign w:val="bottom"/>
          </w:tcPr>
          <w:p w14:paraId="6817249B" w14:textId="398FE3F3"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48.2</w:t>
            </w:r>
          </w:p>
        </w:tc>
        <w:tc>
          <w:tcPr>
            <w:tcW w:w="1303" w:type="dxa"/>
            <w:tcBorders>
              <w:top w:val="nil"/>
              <w:left w:val="nil"/>
              <w:bottom w:val="single" w:sz="4" w:space="0" w:color="auto"/>
              <w:right w:val="single" w:sz="4" w:space="0" w:color="auto"/>
            </w:tcBorders>
            <w:shd w:val="clear" w:color="auto" w:fill="auto"/>
            <w:noWrap/>
            <w:vAlign w:val="bottom"/>
          </w:tcPr>
          <w:p w14:paraId="5AE43795" w14:textId="6028C0E2"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34.4</w:t>
            </w:r>
          </w:p>
        </w:tc>
      </w:tr>
      <w:tr w:rsidR="007F5BE0" w:rsidRPr="00240E45" w14:paraId="0F66F83F"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139F5630" w14:textId="44847702"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617</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62BA3E1D" w14:textId="45FEEB9A"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Politécnica de Cataluña</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1DEDBC1B" w14:textId="4BA97A11"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44560E22" w14:textId="48E8E0B9"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34.8</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3468FC47" w14:textId="290202EF"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23.7</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3AA30609" w14:textId="4D37499D"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17.2</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1B2B63BC" w14:textId="5D0FEE1D"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56.9</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6A9DDC51" w14:textId="472EC5D2"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59.1</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4519F208" w14:textId="6867E9B8"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41.2</w:t>
            </w:r>
          </w:p>
        </w:tc>
      </w:tr>
      <w:tr w:rsidR="007F5BE0" w:rsidRPr="00240E45" w14:paraId="4F906D39"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E4C78" w14:textId="04E8A52B"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638</w:t>
            </w:r>
          </w:p>
        </w:tc>
        <w:tc>
          <w:tcPr>
            <w:tcW w:w="3345" w:type="dxa"/>
            <w:tcBorders>
              <w:top w:val="nil"/>
              <w:left w:val="nil"/>
              <w:bottom w:val="single" w:sz="4" w:space="0" w:color="auto"/>
              <w:right w:val="single" w:sz="4" w:space="0" w:color="auto"/>
            </w:tcBorders>
            <w:shd w:val="clear" w:color="auto" w:fill="auto"/>
            <w:noWrap/>
            <w:vAlign w:val="bottom"/>
          </w:tcPr>
          <w:p w14:paraId="62D891A6" w14:textId="7D73EBFA"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La Laguna</w:t>
            </w:r>
          </w:p>
        </w:tc>
        <w:tc>
          <w:tcPr>
            <w:tcW w:w="993" w:type="dxa"/>
            <w:tcBorders>
              <w:top w:val="nil"/>
              <w:left w:val="nil"/>
              <w:bottom w:val="single" w:sz="4" w:space="0" w:color="auto"/>
              <w:right w:val="single" w:sz="4" w:space="0" w:color="auto"/>
            </w:tcBorders>
            <w:shd w:val="clear" w:color="auto" w:fill="auto"/>
            <w:noWrap/>
            <w:vAlign w:val="bottom"/>
          </w:tcPr>
          <w:p w14:paraId="29588976" w14:textId="65166456"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auto"/>
            <w:noWrap/>
            <w:vAlign w:val="bottom"/>
          </w:tcPr>
          <w:p w14:paraId="449E4CE2" w14:textId="4B191F2F"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34.0</w:t>
            </w:r>
          </w:p>
        </w:tc>
        <w:tc>
          <w:tcPr>
            <w:tcW w:w="1053" w:type="dxa"/>
            <w:tcBorders>
              <w:top w:val="nil"/>
              <w:left w:val="nil"/>
              <w:bottom w:val="single" w:sz="4" w:space="0" w:color="auto"/>
              <w:right w:val="single" w:sz="4" w:space="0" w:color="auto"/>
            </w:tcBorders>
            <w:shd w:val="clear" w:color="auto" w:fill="auto"/>
            <w:noWrap/>
            <w:vAlign w:val="bottom"/>
          </w:tcPr>
          <w:p w14:paraId="07F84BDA" w14:textId="1DCE2DFC"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19.3</w:t>
            </w:r>
          </w:p>
        </w:tc>
        <w:tc>
          <w:tcPr>
            <w:tcW w:w="1140" w:type="dxa"/>
            <w:tcBorders>
              <w:top w:val="nil"/>
              <w:left w:val="nil"/>
              <w:bottom w:val="single" w:sz="4" w:space="0" w:color="auto"/>
              <w:right w:val="single" w:sz="4" w:space="0" w:color="auto"/>
            </w:tcBorders>
            <w:shd w:val="clear" w:color="auto" w:fill="auto"/>
            <w:noWrap/>
            <w:vAlign w:val="bottom"/>
          </w:tcPr>
          <w:p w14:paraId="5B82A430" w14:textId="09C6E335"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11.5</w:t>
            </w:r>
          </w:p>
        </w:tc>
        <w:tc>
          <w:tcPr>
            <w:tcW w:w="854" w:type="dxa"/>
            <w:tcBorders>
              <w:top w:val="nil"/>
              <w:left w:val="nil"/>
              <w:bottom w:val="single" w:sz="4" w:space="0" w:color="auto"/>
              <w:right w:val="single" w:sz="4" w:space="0" w:color="auto"/>
            </w:tcBorders>
            <w:shd w:val="clear" w:color="auto" w:fill="auto"/>
            <w:noWrap/>
            <w:vAlign w:val="bottom"/>
          </w:tcPr>
          <w:p w14:paraId="3DE1B5E8" w14:textId="2E0726BF"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67.8</w:t>
            </w:r>
          </w:p>
        </w:tc>
        <w:tc>
          <w:tcPr>
            <w:tcW w:w="1140" w:type="dxa"/>
            <w:tcBorders>
              <w:top w:val="nil"/>
              <w:left w:val="nil"/>
              <w:bottom w:val="single" w:sz="4" w:space="0" w:color="auto"/>
              <w:right w:val="single" w:sz="4" w:space="0" w:color="auto"/>
            </w:tcBorders>
            <w:shd w:val="clear" w:color="auto" w:fill="auto"/>
            <w:noWrap/>
            <w:vAlign w:val="bottom"/>
          </w:tcPr>
          <w:p w14:paraId="170C5169" w14:textId="63663398"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46.9</w:t>
            </w:r>
          </w:p>
        </w:tc>
        <w:tc>
          <w:tcPr>
            <w:tcW w:w="1303" w:type="dxa"/>
            <w:tcBorders>
              <w:top w:val="nil"/>
              <w:left w:val="nil"/>
              <w:bottom w:val="single" w:sz="4" w:space="0" w:color="auto"/>
              <w:right w:val="single" w:sz="4" w:space="0" w:color="auto"/>
            </w:tcBorders>
            <w:shd w:val="clear" w:color="auto" w:fill="auto"/>
            <w:noWrap/>
            <w:vAlign w:val="bottom"/>
          </w:tcPr>
          <w:p w14:paraId="4E9BF19A" w14:textId="62D62FA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35.2</w:t>
            </w:r>
          </w:p>
        </w:tc>
      </w:tr>
      <w:tr w:rsidR="007F5BE0" w:rsidRPr="00240E45" w14:paraId="028243E9"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72BAFA19" w14:textId="3B85DA9C"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656</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0A197B7C" w14:textId="0A1E0437"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Girona</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0EA2F4D4" w14:textId="2643F150"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1C972602" w14:textId="23644771"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33.4</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6D99EF05" w14:textId="59157804"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18.9</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457379EB" w14:textId="27AA139C"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18.2</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7A1903CF" w14:textId="42BF1F9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57.6</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2CB41B6E" w14:textId="392AB3A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53.9</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148D0EED" w14:textId="3639D293"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37.4</w:t>
            </w:r>
          </w:p>
        </w:tc>
      </w:tr>
      <w:tr w:rsidR="007F5BE0" w:rsidRPr="00240E45" w14:paraId="7AEC2ABA"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7402C2" w14:textId="1264800E"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657</w:t>
            </w:r>
          </w:p>
        </w:tc>
        <w:tc>
          <w:tcPr>
            <w:tcW w:w="3345" w:type="dxa"/>
            <w:tcBorders>
              <w:top w:val="nil"/>
              <w:left w:val="nil"/>
              <w:bottom w:val="single" w:sz="4" w:space="0" w:color="auto"/>
              <w:right w:val="single" w:sz="4" w:space="0" w:color="auto"/>
            </w:tcBorders>
            <w:shd w:val="clear" w:color="auto" w:fill="auto"/>
            <w:noWrap/>
            <w:vAlign w:val="bottom"/>
          </w:tcPr>
          <w:p w14:paraId="2F9AA066" w14:textId="48AB3A06"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Autónoma Metropolitana</w:t>
            </w:r>
          </w:p>
        </w:tc>
        <w:tc>
          <w:tcPr>
            <w:tcW w:w="993" w:type="dxa"/>
            <w:tcBorders>
              <w:top w:val="nil"/>
              <w:left w:val="nil"/>
              <w:bottom w:val="single" w:sz="4" w:space="0" w:color="auto"/>
              <w:right w:val="single" w:sz="4" w:space="0" w:color="auto"/>
            </w:tcBorders>
            <w:shd w:val="clear" w:color="auto" w:fill="auto"/>
            <w:noWrap/>
            <w:vAlign w:val="bottom"/>
          </w:tcPr>
          <w:p w14:paraId="5A084451" w14:textId="36A10912"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México</w:t>
            </w:r>
          </w:p>
        </w:tc>
        <w:tc>
          <w:tcPr>
            <w:tcW w:w="1073" w:type="dxa"/>
            <w:tcBorders>
              <w:top w:val="nil"/>
              <w:left w:val="nil"/>
              <w:bottom w:val="single" w:sz="4" w:space="0" w:color="auto"/>
              <w:right w:val="single" w:sz="4" w:space="0" w:color="auto"/>
            </w:tcBorders>
            <w:shd w:val="clear" w:color="auto" w:fill="auto"/>
            <w:noWrap/>
            <w:vAlign w:val="bottom"/>
          </w:tcPr>
          <w:p w14:paraId="0A31BA69" w14:textId="396B3847"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33.2</w:t>
            </w:r>
          </w:p>
        </w:tc>
        <w:tc>
          <w:tcPr>
            <w:tcW w:w="1053" w:type="dxa"/>
            <w:tcBorders>
              <w:top w:val="nil"/>
              <w:left w:val="nil"/>
              <w:bottom w:val="single" w:sz="4" w:space="0" w:color="auto"/>
              <w:right w:val="single" w:sz="4" w:space="0" w:color="auto"/>
            </w:tcBorders>
            <w:shd w:val="clear" w:color="auto" w:fill="auto"/>
            <w:noWrap/>
            <w:vAlign w:val="bottom"/>
          </w:tcPr>
          <w:p w14:paraId="30C8FF99" w14:textId="615ADBED"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16.6</w:t>
            </w:r>
          </w:p>
        </w:tc>
        <w:tc>
          <w:tcPr>
            <w:tcW w:w="1140" w:type="dxa"/>
            <w:tcBorders>
              <w:top w:val="nil"/>
              <w:left w:val="nil"/>
              <w:bottom w:val="single" w:sz="4" w:space="0" w:color="auto"/>
              <w:right w:val="single" w:sz="4" w:space="0" w:color="auto"/>
            </w:tcBorders>
            <w:shd w:val="clear" w:color="auto" w:fill="auto"/>
            <w:noWrap/>
            <w:vAlign w:val="bottom"/>
          </w:tcPr>
          <w:p w14:paraId="2A0265ED" w14:textId="75B3EEA8"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16.3</w:t>
            </w:r>
          </w:p>
        </w:tc>
        <w:tc>
          <w:tcPr>
            <w:tcW w:w="854" w:type="dxa"/>
            <w:tcBorders>
              <w:top w:val="nil"/>
              <w:left w:val="nil"/>
              <w:bottom w:val="single" w:sz="4" w:space="0" w:color="auto"/>
              <w:right w:val="single" w:sz="4" w:space="0" w:color="auto"/>
            </w:tcBorders>
            <w:shd w:val="clear" w:color="auto" w:fill="auto"/>
            <w:noWrap/>
            <w:vAlign w:val="bottom"/>
          </w:tcPr>
          <w:p w14:paraId="390D0AAB" w14:textId="12D7A1E3"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68.6</w:t>
            </w:r>
          </w:p>
        </w:tc>
        <w:tc>
          <w:tcPr>
            <w:tcW w:w="1140" w:type="dxa"/>
            <w:tcBorders>
              <w:top w:val="nil"/>
              <w:left w:val="nil"/>
              <w:bottom w:val="single" w:sz="4" w:space="0" w:color="auto"/>
              <w:right w:val="single" w:sz="4" w:space="0" w:color="auto"/>
            </w:tcBorders>
            <w:shd w:val="clear" w:color="auto" w:fill="auto"/>
            <w:noWrap/>
            <w:vAlign w:val="bottom"/>
          </w:tcPr>
          <w:p w14:paraId="445F063B" w14:textId="756A48D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25.1</w:t>
            </w:r>
          </w:p>
        </w:tc>
        <w:tc>
          <w:tcPr>
            <w:tcW w:w="1303" w:type="dxa"/>
            <w:tcBorders>
              <w:top w:val="nil"/>
              <w:left w:val="nil"/>
              <w:bottom w:val="single" w:sz="4" w:space="0" w:color="auto"/>
              <w:right w:val="single" w:sz="4" w:space="0" w:color="auto"/>
            </w:tcBorders>
            <w:shd w:val="clear" w:color="auto" w:fill="auto"/>
            <w:noWrap/>
            <w:vAlign w:val="bottom"/>
          </w:tcPr>
          <w:p w14:paraId="0C7EE38C" w14:textId="097A70D3"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36.4</w:t>
            </w:r>
          </w:p>
        </w:tc>
      </w:tr>
      <w:tr w:rsidR="007F5BE0" w:rsidRPr="00240E45" w14:paraId="1390540F"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51301C9A" w14:textId="768AE23D"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658</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3DC623AD" w14:textId="769F794E"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Federal de Minas Gerais</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7553749E" w14:textId="400CFB9D"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Brasil</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1DADCA43" w14:textId="7F87942D"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33.2</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2F351F5E" w14:textId="0F4C833A"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30.2</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24012760" w14:textId="05530BBC"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17.9</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5B5059A0" w14:textId="5DF5DF98"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52</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348B4177" w14:textId="3C8FC22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29.6</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5D5B531C" w14:textId="7219312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38.8</w:t>
            </w:r>
          </w:p>
        </w:tc>
      </w:tr>
      <w:tr w:rsidR="007F5BE0" w:rsidRPr="00240E45" w14:paraId="397063DA"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572BB" w14:textId="575A197B"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678</w:t>
            </w:r>
          </w:p>
        </w:tc>
        <w:tc>
          <w:tcPr>
            <w:tcW w:w="3345" w:type="dxa"/>
            <w:tcBorders>
              <w:top w:val="nil"/>
              <w:left w:val="nil"/>
              <w:bottom w:val="single" w:sz="4" w:space="0" w:color="auto"/>
              <w:right w:val="single" w:sz="4" w:space="0" w:color="auto"/>
            </w:tcBorders>
            <w:shd w:val="clear" w:color="auto" w:fill="auto"/>
            <w:noWrap/>
            <w:vAlign w:val="bottom"/>
          </w:tcPr>
          <w:p w14:paraId="3D3F3B03" w14:textId="5ADF552B"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Federal de Río Grande del Sur</w:t>
            </w:r>
          </w:p>
        </w:tc>
        <w:tc>
          <w:tcPr>
            <w:tcW w:w="993" w:type="dxa"/>
            <w:tcBorders>
              <w:top w:val="nil"/>
              <w:left w:val="nil"/>
              <w:bottom w:val="single" w:sz="4" w:space="0" w:color="auto"/>
              <w:right w:val="single" w:sz="4" w:space="0" w:color="auto"/>
            </w:tcBorders>
            <w:shd w:val="clear" w:color="auto" w:fill="auto"/>
            <w:noWrap/>
            <w:vAlign w:val="bottom"/>
          </w:tcPr>
          <w:p w14:paraId="3DC7BC14" w14:textId="7917A617"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Brasil</w:t>
            </w:r>
          </w:p>
        </w:tc>
        <w:tc>
          <w:tcPr>
            <w:tcW w:w="1073" w:type="dxa"/>
            <w:tcBorders>
              <w:top w:val="nil"/>
              <w:left w:val="nil"/>
              <w:bottom w:val="single" w:sz="4" w:space="0" w:color="auto"/>
              <w:right w:val="single" w:sz="4" w:space="0" w:color="auto"/>
            </w:tcBorders>
            <w:shd w:val="clear" w:color="auto" w:fill="auto"/>
            <w:noWrap/>
            <w:vAlign w:val="bottom"/>
          </w:tcPr>
          <w:p w14:paraId="32872AE0" w14:textId="42CB2F6B"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32.3</w:t>
            </w:r>
          </w:p>
        </w:tc>
        <w:tc>
          <w:tcPr>
            <w:tcW w:w="1053" w:type="dxa"/>
            <w:tcBorders>
              <w:top w:val="nil"/>
              <w:left w:val="nil"/>
              <w:bottom w:val="single" w:sz="4" w:space="0" w:color="auto"/>
              <w:right w:val="single" w:sz="4" w:space="0" w:color="auto"/>
            </w:tcBorders>
            <w:shd w:val="clear" w:color="auto" w:fill="auto"/>
            <w:noWrap/>
            <w:vAlign w:val="bottom"/>
          </w:tcPr>
          <w:p w14:paraId="0684A487" w14:textId="07E7032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29.6</w:t>
            </w:r>
          </w:p>
        </w:tc>
        <w:tc>
          <w:tcPr>
            <w:tcW w:w="1140" w:type="dxa"/>
            <w:tcBorders>
              <w:top w:val="nil"/>
              <w:left w:val="nil"/>
              <w:bottom w:val="single" w:sz="4" w:space="0" w:color="auto"/>
              <w:right w:val="single" w:sz="4" w:space="0" w:color="auto"/>
            </w:tcBorders>
            <w:shd w:val="clear" w:color="auto" w:fill="auto"/>
            <w:noWrap/>
            <w:vAlign w:val="bottom"/>
          </w:tcPr>
          <w:p w14:paraId="29A877A8" w14:textId="446FA1A4"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18.3</w:t>
            </w:r>
          </w:p>
        </w:tc>
        <w:tc>
          <w:tcPr>
            <w:tcW w:w="854" w:type="dxa"/>
            <w:tcBorders>
              <w:top w:val="nil"/>
              <w:left w:val="nil"/>
              <w:bottom w:val="single" w:sz="4" w:space="0" w:color="auto"/>
              <w:right w:val="single" w:sz="4" w:space="0" w:color="auto"/>
            </w:tcBorders>
            <w:shd w:val="clear" w:color="auto" w:fill="auto"/>
            <w:noWrap/>
            <w:vAlign w:val="bottom"/>
          </w:tcPr>
          <w:p w14:paraId="3F032CBE" w14:textId="0998E134"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49.3</w:t>
            </w:r>
          </w:p>
        </w:tc>
        <w:tc>
          <w:tcPr>
            <w:tcW w:w="1140" w:type="dxa"/>
            <w:tcBorders>
              <w:top w:val="nil"/>
              <w:left w:val="nil"/>
              <w:bottom w:val="single" w:sz="4" w:space="0" w:color="auto"/>
              <w:right w:val="single" w:sz="4" w:space="0" w:color="auto"/>
            </w:tcBorders>
            <w:shd w:val="clear" w:color="auto" w:fill="auto"/>
            <w:noWrap/>
            <w:vAlign w:val="bottom"/>
          </w:tcPr>
          <w:p w14:paraId="77D83E26" w14:textId="49044C73"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26.3</w:t>
            </w:r>
          </w:p>
        </w:tc>
        <w:tc>
          <w:tcPr>
            <w:tcW w:w="1303" w:type="dxa"/>
            <w:tcBorders>
              <w:top w:val="nil"/>
              <w:left w:val="nil"/>
              <w:bottom w:val="single" w:sz="4" w:space="0" w:color="auto"/>
              <w:right w:val="single" w:sz="4" w:space="0" w:color="auto"/>
            </w:tcBorders>
            <w:shd w:val="clear" w:color="auto" w:fill="auto"/>
            <w:noWrap/>
            <w:vAlign w:val="bottom"/>
          </w:tcPr>
          <w:p w14:paraId="3DD542CC" w14:textId="44F5B95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46.5</w:t>
            </w:r>
          </w:p>
        </w:tc>
      </w:tr>
      <w:tr w:rsidR="007F5BE0" w:rsidRPr="00240E45" w14:paraId="102FE835"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27B37092" w14:textId="581542AA"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680</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29F26ABB" w14:textId="44D789B2"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las Islas Baleares</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53F54BAB" w14:textId="3C911096"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0464C0C2" w14:textId="49BB3DF8"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32.3</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28437997" w14:textId="2F4523C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20.3</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3F9C68A7" w14:textId="0A7AEE47"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13.6</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6E679D7D" w14:textId="2913D0D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59.1</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1811C7E9" w14:textId="78409B87"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46.7</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7D2F0717" w14:textId="619B83CD"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34.7</w:t>
            </w:r>
          </w:p>
        </w:tc>
      </w:tr>
      <w:tr w:rsidR="007F5BE0" w:rsidRPr="00240E45" w14:paraId="65BCF394"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EBEDA2" w14:textId="2260E89D"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681</w:t>
            </w:r>
          </w:p>
        </w:tc>
        <w:tc>
          <w:tcPr>
            <w:tcW w:w="3345" w:type="dxa"/>
            <w:tcBorders>
              <w:top w:val="nil"/>
              <w:left w:val="nil"/>
              <w:bottom w:val="single" w:sz="4" w:space="0" w:color="auto"/>
              <w:right w:val="single" w:sz="4" w:space="0" w:color="auto"/>
            </w:tcBorders>
            <w:shd w:val="clear" w:color="auto" w:fill="auto"/>
            <w:noWrap/>
            <w:vAlign w:val="bottom"/>
          </w:tcPr>
          <w:p w14:paraId="2E08120E" w14:textId="7D937B99"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Aveiro</w:t>
            </w:r>
          </w:p>
        </w:tc>
        <w:tc>
          <w:tcPr>
            <w:tcW w:w="993" w:type="dxa"/>
            <w:tcBorders>
              <w:top w:val="nil"/>
              <w:left w:val="nil"/>
              <w:bottom w:val="single" w:sz="4" w:space="0" w:color="auto"/>
              <w:right w:val="single" w:sz="4" w:space="0" w:color="auto"/>
            </w:tcBorders>
            <w:shd w:val="clear" w:color="auto" w:fill="auto"/>
            <w:noWrap/>
            <w:vAlign w:val="bottom"/>
          </w:tcPr>
          <w:p w14:paraId="06A97164" w14:textId="0A852DD7"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Portugal</w:t>
            </w:r>
          </w:p>
        </w:tc>
        <w:tc>
          <w:tcPr>
            <w:tcW w:w="1073" w:type="dxa"/>
            <w:tcBorders>
              <w:top w:val="nil"/>
              <w:left w:val="nil"/>
              <w:bottom w:val="single" w:sz="4" w:space="0" w:color="auto"/>
              <w:right w:val="single" w:sz="4" w:space="0" w:color="auto"/>
            </w:tcBorders>
            <w:shd w:val="clear" w:color="auto" w:fill="auto"/>
            <w:noWrap/>
            <w:vAlign w:val="bottom"/>
          </w:tcPr>
          <w:p w14:paraId="2D6FB5B0" w14:textId="4F2262A7"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32.2</w:t>
            </w:r>
          </w:p>
        </w:tc>
        <w:tc>
          <w:tcPr>
            <w:tcW w:w="1053" w:type="dxa"/>
            <w:tcBorders>
              <w:top w:val="nil"/>
              <w:left w:val="nil"/>
              <w:bottom w:val="single" w:sz="4" w:space="0" w:color="auto"/>
              <w:right w:val="single" w:sz="4" w:space="0" w:color="auto"/>
            </w:tcBorders>
            <w:shd w:val="clear" w:color="auto" w:fill="auto"/>
            <w:noWrap/>
            <w:vAlign w:val="bottom"/>
          </w:tcPr>
          <w:p w14:paraId="3199E8CC" w14:textId="752F714A"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24.7</w:t>
            </w:r>
          </w:p>
        </w:tc>
        <w:tc>
          <w:tcPr>
            <w:tcW w:w="1140" w:type="dxa"/>
            <w:tcBorders>
              <w:top w:val="nil"/>
              <w:left w:val="nil"/>
              <w:bottom w:val="single" w:sz="4" w:space="0" w:color="auto"/>
              <w:right w:val="single" w:sz="4" w:space="0" w:color="auto"/>
            </w:tcBorders>
            <w:shd w:val="clear" w:color="auto" w:fill="auto"/>
            <w:noWrap/>
            <w:vAlign w:val="bottom"/>
          </w:tcPr>
          <w:p w14:paraId="78849500" w14:textId="381A0EC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25.5</w:t>
            </w:r>
          </w:p>
        </w:tc>
        <w:tc>
          <w:tcPr>
            <w:tcW w:w="854" w:type="dxa"/>
            <w:tcBorders>
              <w:top w:val="nil"/>
              <w:left w:val="nil"/>
              <w:bottom w:val="single" w:sz="4" w:space="0" w:color="auto"/>
              <w:right w:val="single" w:sz="4" w:space="0" w:color="auto"/>
            </w:tcBorders>
            <w:shd w:val="clear" w:color="auto" w:fill="auto"/>
            <w:noWrap/>
            <w:vAlign w:val="bottom"/>
          </w:tcPr>
          <w:p w14:paraId="1155185D" w14:textId="5AB6D677"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40.7</w:t>
            </w:r>
          </w:p>
        </w:tc>
        <w:tc>
          <w:tcPr>
            <w:tcW w:w="1140" w:type="dxa"/>
            <w:tcBorders>
              <w:top w:val="nil"/>
              <w:left w:val="nil"/>
              <w:bottom w:val="single" w:sz="4" w:space="0" w:color="auto"/>
              <w:right w:val="single" w:sz="4" w:space="0" w:color="auto"/>
            </w:tcBorders>
            <w:shd w:val="clear" w:color="auto" w:fill="auto"/>
            <w:noWrap/>
            <w:vAlign w:val="bottom"/>
          </w:tcPr>
          <w:p w14:paraId="089468E7" w14:textId="334E8712"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52.5</w:t>
            </w:r>
          </w:p>
        </w:tc>
        <w:tc>
          <w:tcPr>
            <w:tcW w:w="1303" w:type="dxa"/>
            <w:tcBorders>
              <w:top w:val="nil"/>
              <w:left w:val="nil"/>
              <w:bottom w:val="single" w:sz="4" w:space="0" w:color="auto"/>
              <w:right w:val="single" w:sz="4" w:space="0" w:color="auto"/>
            </w:tcBorders>
            <w:shd w:val="clear" w:color="auto" w:fill="auto"/>
            <w:noWrap/>
            <w:vAlign w:val="bottom"/>
          </w:tcPr>
          <w:p w14:paraId="4089137A" w14:textId="66A09055"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41.4</w:t>
            </w:r>
          </w:p>
        </w:tc>
      </w:tr>
      <w:tr w:rsidR="007F5BE0" w:rsidRPr="00240E45" w14:paraId="2C71D5E3"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1CD960D1" w14:textId="52322350"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684</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5A63E28E" w14:textId="4BE8D734"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Granada</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44F73701" w14:textId="6C471232"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5B05FDE6" w14:textId="66606F95"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32.2</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0FEA46E9" w14:textId="1CA5822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19.4</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29AF10C4" w14:textId="147F79B3"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20.9</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3C230AEA" w14:textId="796C85D7"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52</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27669970" w14:textId="535783B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48.1</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26191CC7" w14:textId="5F63D712"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35.6</w:t>
            </w:r>
          </w:p>
        </w:tc>
      </w:tr>
      <w:tr w:rsidR="007F5BE0" w:rsidRPr="00240E45" w14:paraId="68557564"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2725E8" w14:textId="42EA22F0"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lastRenderedPageBreak/>
              <w:t>705</w:t>
            </w:r>
          </w:p>
        </w:tc>
        <w:tc>
          <w:tcPr>
            <w:tcW w:w="3345" w:type="dxa"/>
            <w:tcBorders>
              <w:top w:val="nil"/>
              <w:left w:val="nil"/>
              <w:bottom w:val="single" w:sz="4" w:space="0" w:color="auto"/>
              <w:right w:val="single" w:sz="4" w:space="0" w:color="auto"/>
            </w:tcBorders>
            <w:shd w:val="clear" w:color="auto" w:fill="auto"/>
            <w:noWrap/>
            <w:vAlign w:val="bottom"/>
          </w:tcPr>
          <w:p w14:paraId="46E5F0D9" w14:textId="7AF87D28"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Federal de Santa Catarina</w:t>
            </w:r>
          </w:p>
        </w:tc>
        <w:tc>
          <w:tcPr>
            <w:tcW w:w="993" w:type="dxa"/>
            <w:tcBorders>
              <w:top w:val="nil"/>
              <w:left w:val="nil"/>
              <w:bottom w:val="single" w:sz="4" w:space="0" w:color="auto"/>
              <w:right w:val="single" w:sz="4" w:space="0" w:color="auto"/>
            </w:tcBorders>
            <w:shd w:val="clear" w:color="auto" w:fill="auto"/>
            <w:noWrap/>
            <w:vAlign w:val="bottom"/>
          </w:tcPr>
          <w:p w14:paraId="7E559E2D" w14:textId="046628CF"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Brasil</w:t>
            </w:r>
          </w:p>
        </w:tc>
        <w:tc>
          <w:tcPr>
            <w:tcW w:w="1073" w:type="dxa"/>
            <w:tcBorders>
              <w:top w:val="nil"/>
              <w:left w:val="nil"/>
              <w:bottom w:val="single" w:sz="4" w:space="0" w:color="auto"/>
              <w:right w:val="single" w:sz="4" w:space="0" w:color="auto"/>
            </w:tcBorders>
            <w:shd w:val="clear" w:color="auto" w:fill="auto"/>
            <w:noWrap/>
            <w:vAlign w:val="bottom"/>
          </w:tcPr>
          <w:p w14:paraId="35A23363" w14:textId="2D303461"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31.4</w:t>
            </w:r>
          </w:p>
        </w:tc>
        <w:tc>
          <w:tcPr>
            <w:tcW w:w="1053" w:type="dxa"/>
            <w:tcBorders>
              <w:top w:val="nil"/>
              <w:left w:val="nil"/>
              <w:bottom w:val="single" w:sz="4" w:space="0" w:color="auto"/>
              <w:right w:val="single" w:sz="4" w:space="0" w:color="auto"/>
            </w:tcBorders>
            <w:shd w:val="clear" w:color="auto" w:fill="auto"/>
            <w:noWrap/>
            <w:vAlign w:val="bottom"/>
          </w:tcPr>
          <w:p w14:paraId="2A9A2D5D" w14:textId="2D56262F"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28.4</w:t>
            </w:r>
          </w:p>
        </w:tc>
        <w:tc>
          <w:tcPr>
            <w:tcW w:w="1140" w:type="dxa"/>
            <w:tcBorders>
              <w:top w:val="nil"/>
              <w:left w:val="nil"/>
              <w:bottom w:val="single" w:sz="4" w:space="0" w:color="auto"/>
              <w:right w:val="single" w:sz="4" w:space="0" w:color="auto"/>
            </w:tcBorders>
            <w:shd w:val="clear" w:color="auto" w:fill="auto"/>
            <w:noWrap/>
            <w:vAlign w:val="bottom"/>
          </w:tcPr>
          <w:p w14:paraId="77CB1ECD" w14:textId="5D03B4B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13.1</w:t>
            </w:r>
          </w:p>
        </w:tc>
        <w:tc>
          <w:tcPr>
            <w:tcW w:w="854" w:type="dxa"/>
            <w:tcBorders>
              <w:top w:val="nil"/>
              <w:left w:val="nil"/>
              <w:bottom w:val="single" w:sz="4" w:space="0" w:color="auto"/>
              <w:right w:val="single" w:sz="4" w:space="0" w:color="auto"/>
            </w:tcBorders>
            <w:shd w:val="clear" w:color="auto" w:fill="auto"/>
            <w:noWrap/>
            <w:vAlign w:val="bottom"/>
          </w:tcPr>
          <w:p w14:paraId="46698C64" w14:textId="72388993"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52.6</w:t>
            </w:r>
          </w:p>
        </w:tc>
        <w:tc>
          <w:tcPr>
            <w:tcW w:w="1140" w:type="dxa"/>
            <w:tcBorders>
              <w:top w:val="nil"/>
              <w:left w:val="nil"/>
              <w:bottom w:val="single" w:sz="4" w:space="0" w:color="auto"/>
              <w:right w:val="single" w:sz="4" w:space="0" w:color="auto"/>
            </w:tcBorders>
            <w:shd w:val="clear" w:color="auto" w:fill="auto"/>
            <w:noWrap/>
            <w:vAlign w:val="bottom"/>
          </w:tcPr>
          <w:p w14:paraId="5A3BC426" w14:textId="7E02B5F9"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29.4</w:t>
            </w:r>
          </w:p>
        </w:tc>
        <w:tc>
          <w:tcPr>
            <w:tcW w:w="1303" w:type="dxa"/>
            <w:tcBorders>
              <w:top w:val="nil"/>
              <w:left w:val="nil"/>
              <w:bottom w:val="single" w:sz="4" w:space="0" w:color="auto"/>
              <w:right w:val="single" w:sz="4" w:space="0" w:color="auto"/>
            </w:tcBorders>
            <w:shd w:val="clear" w:color="auto" w:fill="auto"/>
            <w:noWrap/>
            <w:vAlign w:val="bottom"/>
          </w:tcPr>
          <w:p w14:paraId="41E0CE41" w14:textId="490C0F1D"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38.7</w:t>
            </w:r>
          </w:p>
        </w:tc>
      </w:tr>
      <w:tr w:rsidR="007F5BE0" w:rsidRPr="00240E45" w14:paraId="62B52610"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31857F1B" w14:textId="6E17FF27"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711</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6969F95C" w14:textId="21D96E68"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Federal de Sao Paulo</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2190345C" w14:textId="5312394B"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Brasil</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34358384" w14:textId="3DA376E0"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31.1</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04032D7B" w14:textId="43144CD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32.6</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08F488F3" w14:textId="7CD38E7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17.8</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28368DC6" w14:textId="5B0C7ECF"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43.3</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4FE9A0F2" w14:textId="0969AB7C"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28.6</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50D050B6" w14:textId="35E4772F"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35.7</w:t>
            </w:r>
          </w:p>
        </w:tc>
      </w:tr>
      <w:tr w:rsidR="007F5BE0" w:rsidRPr="00240E45" w14:paraId="3B77A084"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822CBF" w14:textId="290E363C"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726</w:t>
            </w:r>
          </w:p>
        </w:tc>
        <w:tc>
          <w:tcPr>
            <w:tcW w:w="3345" w:type="dxa"/>
            <w:tcBorders>
              <w:top w:val="nil"/>
              <w:left w:val="nil"/>
              <w:bottom w:val="single" w:sz="4" w:space="0" w:color="auto"/>
              <w:right w:val="single" w:sz="4" w:space="0" w:color="auto"/>
            </w:tcBorders>
            <w:shd w:val="clear" w:color="auto" w:fill="auto"/>
            <w:noWrap/>
            <w:vAlign w:val="bottom"/>
          </w:tcPr>
          <w:p w14:paraId="4EFB7BAB" w14:textId="32839138"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Jaime I </w:t>
            </w:r>
          </w:p>
        </w:tc>
        <w:tc>
          <w:tcPr>
            <w:tcW w:w="993" w:type="dxa"/>
            <w:tcBorders>
              <w:top w:val="nil"/>
              <w:left w:val="nil"/>
              <w:bottom w:val="single" w:sz="4" w:space="0" w:color="auto"/>
              <w:right w:val="single" w:sz="4" w:space="0" w:color="auto"/>
            </w:tcBorders>
            <w:shd w:val="clear" w:color="auto" w:fill="auto"/>
            <w:noWrap/>
            <w:vAlign w:val="bottom"/>
          </w:tcPr>
          <w:p w14:paraId="20C4389F" w14:textId="0FCCE49E"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auto"/>
            <w:noWrap/>
            <w:vAlign w:val="bottom"/>
          </w:tcPr>
          <w:p w14:paraId="22BCFC03" w14:textId="257C4B30"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30.7</w:t>
            </w:r>
          </w:p>
        </w:tc>
        <w:tc>
          <w:tcPr>
            <w:tcW w:w="1053" w:type="dxa"/>
            <w:tcBorders>
              <w:top w:val="nil"/>
              <w:left w:val="nil"/>
              <w:bottom w:val="single" w:sz="4" w:space="0" w:color="auto"/>
              <w:right w:val="single" w:sz="4" w:space="0" w:color="auto"/>
            </w:tcBorders>
            <w:shd w:val="clear" w:color="auto" w:fill="auto"/>
            <w:noWrap/>
            <w:vAlign w:val="bottom"/>
          </w:tcPr>
          <w:p w14:paraId="471CC72C" w14:textId="2C5D344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22.5</w:t>
            </w:r>
          </w:p>
        </w:tc>
        <w:tc>
          <w:tcPr>
            <w:tcW w:w="1140" w:type="dxa"/>
            <w:tcBorders>
              <w:top w:val="nil"/>
              <w:left w:val="nil"/>
              <w:bottom w:val="single" w:sz="4" w:space="0" w:color="auto"/>
              <w:right w:val="single" w:sz="4" w:space="0" w:color="auto"/>
            </w:tcBorders>
            <w:shd w:val="clear" w:color="auto" w:fill="auto"/>
            <w:noWrap/>
            <w:vAlign w:val="bottom"/>
          </w:tcPr>
          <w:p w14:paraId="3611B2C9" w14:textId="0EAA3D7D"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16.3</w:t>
            </w:r>
          </w:p>
        </w:tc>
        <w:tc>
          <w:tcPr>
            <w:tcW w:w="854" w:type="dxa"/>
            <w:tcBorders>
              <w:top w:val="nil"/>
              <w:left w:val="nil"/>
              <w:bottom w:val="single" w:sz="4" w:space="0" w:color="auto"/>
              <w:right w:val="single" w:sz="4" w:space="0" w:color="auto"/>
            </w:tcBorders>
            <w:shd w:val="clear" w:color="auto" w:fill="auto"/>
            <w:noWrap/>
            <w:vAlign w:val="bottom"/>
          </w:tcPr>
          <w:p w14:paraId="60048DA7" w14:textId="3405ADC4"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49.6</w:t>
            </w:r>
          </w:p>
        </w:tc>
        <w:tc>
          <w:tcPr>
            <w:tcW w:w="1140" w:type="dxa"/>
            <w:tcBorders>
              <w:top w:val="nil"/>
              <w:left w:val="nil"/>
              <w:bottom w:val="single" w:sz="4" w:space="0" w:color="auto"/>
              <w:right w:val="single" w:sz="4" w:space="0" w:color="auto"/>
            </w:tcBorders>
            <w:shd w:val="clear" w:color="auto" w:fill="auto"/>
            <w:noWrap/>
            <w:vAlign w:val="bottom"/>
          </w:tcPr>
          <w:p w14:paraId="29BB2832" w14:textId="58E80B5F"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43.5</w:t>
            </w:r>
          </w:p>
        </w:tc>
        <w:tc>
          <w:tcPr>
            <w:tcW w:w="1303" w:type="dxa"/>
            <w:tcBorders>
              <w:top w:val="nil"/>
              <w:left w:val="nil"/>
              <w:bottom w:val="single" w:sz="4" w:space="0" w:color="auto"/>
              <w:right w:val="single" w:sz="4" w:space="0" w:color="auto"/>
            </w:tcBorders>
            <w:shd w:val="clear" w:color="auto" w:fill="auto"/>
            <w:noWrap/>
            <w:vAlign w:val="bottom"/>
          </w:tcPr>
          <w:p w14:paraId="0C01C88E" w14:textId="59092D2D"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37.5</w:t>
            </w:r>
          </w:p>
        </w:tc>
      </w:tr>
      <w:tr w:rsidR="007F5BE0" w:rsidRPr="00240E45" w14:paraId="283B3731"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7755B2E1" w14:textId="1E574BC5"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736</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2DBC5428" w14:textId="7C617A83"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Lérida</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2CF54418" w14:textId="7297EF26"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58422415" w14:textId="2C7495E3"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30.3</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7C6F31E3" w14:textId="0FA6F08C"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23.6</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50D9BFC2" w14:textId="1266DE7D"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15.2</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4C9E5DB4" w14:textId="0F721AA9"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48.8</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727D8F44" w14:textId="2775702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41.6</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55EE0B7A" w14:textId="5F5D63AF"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37.8</w:t>
            </w:r>
          </w:p>
        </w:tc>
      </w:tr>
      <w:tr w:rsidR="007F5BE0" w:rsidRPr="00240E45" w14:paraId="22314E40"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C10D8C" w14:textId="771F786F"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737</w:t>
            </w:r>
          </w:p>
        </w:tc>
        <w:tc>
          <w:tcPr>
            <w:tcW w:w="3345" w:type="dxa"/>
            <w:tcBorders>
              <w:top w:val="nil"/>
              <w:left w:val="nil"/>
              <w:bottom w:val="single" w:sz="4" w:space="0" w:color="auto"/>
              <w:right w:val="single" w:sz="4" w:space="0" w:color="auto"/>
            </w:tcBorders>
            <w:shd w:val="clear" w:color="auto" w:fill="auto"/>
            <w:noWrap/>
            <w:vAlign w:val="bottom"/>
          </w:tcPr>
          <w:p w14:paraId="433176EC" w14:textId="221C4E62"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Instituto Tecnológico y de Estudios Superiores de Monterrey</w:t>
            </w:r>
          </w:p>
        </w:tc>
        <w:tc>
          <w:tcPr>
            <w:tcW w:w="993" w:type="dxa"/>
            <w:tcBorders>
              <w:top w:val="nil"/>
              <w:left w:val="nil"/>
              <w:bottom w:val="single" w:sz="4" w:space="0" w:color="auto"/>
              <w:right w:val="single" w:sz="4" w:space="0" w:color="auto"/>
            </w:tcBorders>
            <w:shd w:val="clear" w:color="auto" w:fill="auto"/>
            <w:noWrap/>
            <w:vAlign w:val="bottom"/>
          </w:tcPr>
          <w:p w14:paraId="5BAC0504" w14:textId="688BF782"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México</w:t>
            </w:r>
          </w:p>
        </w:tc>
        <w:tc>
          <w:tcPr>
            <w:tcW w:w="1073" w:type="dxa"/>
            <w:tcBorders>
              <w:top w:val="nil"/>
              <w:left w:val="nil"/>
              <w:bottom w:val="single" w:sz="4" w:space="0" w:color="auto"/>
              <w:right w:val="single" w:sz="4" w:space="0" w:color="auto"/>
            </w:tcBorders>
            <w:shd w:val="clear" w:color="auto" w:fill="auto"/>
            <w:noWrap/>
            <w:vAlign w:val="bottom"/>
          </w:tcPr>
          <w:p w14:paraId="71494DA8" w14:textId="791BF1C8"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30.3</w:t>
            </w:r>
          </w:p>
        </w:tc>
        <w:tc>
          <w:tcPr>
            <w:tcW w:w="1053" w:type="dxa"/>
            <w:tcBorders>
              <w:top w:val="nil"/>
              <w:left w:val="nil"/>
              <w:bottom w:val="single" w:sz="4" w:space="0" w:color="auto"/>
              <w:right w:val="single" w:sz="4" w:space="0" w:color="auto"/>
            </w:tcBorders>
            <w:shd w:val="clear" w:color="auto" w:fill="auto"/>
            <w:noWrap/>
            <w:vAlign w:val="bottom"/>
          </w:tcPr>
          <w:p w14:paraId="243512C1" w14:textId="4017797F"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20.5</w:t>
            </w:r>
          </w:p>
        </w:tc>
        <w:tc>
          <w:tcPr>
            <w:tcW w:w="1140" w:type="dxa"/>
            <w:tcBorders>
              <w:top w:val="nil"/>
              <w:left w:val="nil"/>
              <w:bottom w:val="single" w:sz="4" w:space="0" w:color="auto"/>
              <w:right w:val="single" w:sz="4" w:space="0" w:color="auto"/>
            </w:tcBorders>
            <w:shd w:val="clear" w:color="auto" w:fill="auto"/>
            <w:noWrap/>
            <w:vAlign w:val="bottom"/>
          </w:tcPr>
          <w:p w14:paraId="231D3F2C" w14:textId="5F9CD015"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18.2</w:t>
            </w:r>
          </w:p>
        </w:tc>
        <w:tc>
          <w:tcPr>
            <w:tcW w:w="854" w:type="dxa"/>
            <w:tcBorders>
              <w:top w:val="nil"/>
              <w:left w:val="nil"/>
              <w:bottom w:val="single" w:sz="4" w:space="0" w:color="auto"/>
              <w:right w:val="single" w:sz="4" w:space="0" w:color="auto"/>
            </w:tcBorders>
            <w:shd w:val="clear" w:color="auto" w:fill="auto"/>
            <w:noWrap/>
            <w:vAlign w:val="bottom"/>
          </w:tcPr>
          <w:p w14:paraId="340D3248" w14:textId="1DE79264"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41.8</w:t>
            </w:r>
          </w:p>
        </w:tc>
        <w:tc>
          <w:tcPr>
            <w:tcW w:w="1140" w:type="dxa"/>
            <w:tcBorders>
              <w:top w:val="nil"/>
              <w:left w:val="nil"/>
              <w:bottom w:val="single" w:sz="4" w:space="0" w:color="auto"/>
              <w:right w:val="single" w:sz="4" w:space="0" w:color="auto"/>
            </w:tcBorders>
            <w:shd w:val="clear" w:color="auto" w:fill="auto"/>
            <w:noWrap/>
            <w:vAlign w:val="bottom"/>
          </w:tcPr>
          <w:p w14:paraId="794ECFF1" w14:textId="57E7DB39"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57.3</w:t>
            </w:r>
          </w:p>
        </w:tc>
        <w:tc>
          <w:tcPr>
            <w:tcW w:w="1303" w:type="dxa"/>
            <w:tcBorders>
              <w:top w:val="nil"/>
              <w:left w:val="nil"/>
              <w:bottom w:val="single" w:sz="4" w:space="0" w:color="auto"/>
              <w:right w:val="single" w:sz="4" w:space="0" w:color="auto"/>
            </w:tcBorders>
            <w:shd w:val="clear" w:color="auto" w:fill="auto"/>
            <w:noWrap/>
            <w:vAlign w:val="bottom"/>
          </w:tcPr>
          <w:p w14:paraId="5F8C3DF2" w14:textId="74D1EBD3"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74.7</w:t>
            </w:r>
          </w:p>
        </w:tc>
      </w:tr>
      <w:tr w:rsidR="007F5BE0" w:rsidRPr="00240E45" w14:paraId="72AC278E"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58939EDA" w14:textId="229A8722"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742</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3241F47A" w14:textId="13C93AE2"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Miguel Hernández (Elche)</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274CB9A6" w14:textId="43391861"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457ADA2A" w14:textId="58F35A73"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30.0</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15105454" w14:textId="0AE1C7FF"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30.3</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2E7FD08A" w14:textId="12C237D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12.7</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7870168C" w14:textId="3FE3E68D"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45.4</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7F1DDF95" w14:textId="25108DB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34.2</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38175888" w14:textId="07193478"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38</w:t>
            </w:r>
          </w:p>
        </w:tc>
      </w:tr>
      <w:tr w:rsidR="007F5BE0" w:rsidRPr="00240E45" w14:paraId="1DC38B30"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765DBC" w14:textId="7F3FD57B"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744</w:t>
            </w:r>
          </w:p>
        </w:tc>
        <w:tc>
          <w:tcPr>
            <w:tcW w:w="3345" w:type="dxa"/>
            <w:tcBorders>
              <w:top w:val="nil"/>
              <w:left w:val="nil"/>
              <w:bottom w:val="single" w:sz="4" w:space="0" w:color="auto"/>
              <w:right w:val="single" w:sz="4" w:space="0" w:color="auto"/>
            </w:tcBorders>
            <w:shd w:val="clear" w:color="auto" w:fill="auto"/>
            <w:noWrap/>
            <w:vAlign w:val="bottom"/>
          </w:tcPr>
          <w:p w14:paraId="44F6C58C" w14:textId="13FC8CD6"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del País Vasco</w:t>
            </w:r>
          </w:p>
        </w:tc>
        <w:tc>
          <w:tcPr>
            <w:tcW w:w="993" w:type="dxa"/>
            <w:tcBorders>
              <w:top w:val="nil"/>
              <w:left w:val="nil"/>
              <w:bottom w:val="single" w:sz="4" w:space="0" w:color="auto"/>
              <w:right w:val="single" w:sz="4" w:space="0" w:color="auto"/>
            </w:tcBorders>
            <w:shd w:val="clear" w:color="auto" w:fill="auto"/>
            <w:noWrap/>
            <w:vAlign w:val="bottom"/>
          </w:tcPr>
          <w:p w14:paraId="4A0553F1" w14:textId="3942473F"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auto"/>
            <w:noWrap/>
            <w:vAlign w:val="bottom"/>
          </w:tcPr>
          <w:p w14:paraId="49721459" w14:textId="1EEBA426"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30.0</w:t>
            </w:r>
          </w:p>
        </w:tc>
        <w:tc>
          <w:tcPr>
            <w:tcW w:w="1053" w:type="dxa"/>
            <w:tcBorders>
              <w:top w:val="nil"/>
              <w:left w:val="nil"/>
              <w:bottom w:val="single" w:sz="4" w:space="0" w:color="auto"/>
              <w:right w:val="single" w:sz="4" w:space="0" w:color="auto"/>
            </w:tcBorders>
            <w:shd w:val="clear" w:color="auto" w:fill="auto"/>
            <w:noWrap/>
            <w:vAlign w:val="bottom"/>
          </w:tcPr>
          <w:p w14:paraId="38838555" w14:textId="510503FF"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22</w:t>
            </w:r>
          </w:p>
        </w:tc>
        <w:tc>
          <w:tcPr>
            <w:tcW w:w="1140" w:type="dxa"/>
            <w:tcBorders>
              <w:top w:val="nil"/>
              <w:left w:val="nil"/>
              <w:bottom w:val="single" w:sz="4" w:space="0" w:color="auto"/>
              <w:right w:val="single" w:sz="4" w:space="0" w:color="auto"/>
            </w:tcBorders>
            <w:shd w:val="clear" w:color="auto" w:fill="auto"/>
            <w:noWrap/>
            <w:vAlign w:val="bottom"/>
          </w:tcPr>
          <w:p w14:paraId="289ED00B" w14:textId="48771E5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17.1</w:t>
            </w:r>
          </w:p>
        </w:tc>
        <w:tc>
          <w:tcPr>
            <w:tcW w:w="854" w:type="dxa"/>
            <w:tcBorders>
              <w:top w:val="nil"/>
              <w:left w:val="nil"/>
              <w:bottom w:val="single" w:sz="4" w:space="0" w:color="auto"/>
              <w:right w:val="single" w:sz="4" w:space="0" w:color="auto"/>
            </w:tcBorders>
            <w:shd w:val="clear" w:color="auto" w:fill="auto"/>
            <w:noWrap/>
            <w:vAlign w:val="bottom"/>
          </w:tcPr>
          <w:p w14:paraId="6F9FF861" w14:textId="1CD394C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47.3</w:t>
            </w:r>
          </w:p>
        </w:tc>
        <w:tc>
          <w:tcPr>
            <w:tcW w:w="1140" w:type="dxa"/>
            <w:tcBorders>
              <w:top w:val="nil"/>
              <w:left w:val="nil"/>
              <w:bottom w:val="single" w:sz="4" w:space="0" w:color="auto"/>
              <w:right w:val="single" w:sz="4" w:space="0" w:color="auto"/>
            </w:tcBorders>
            <w:shd w:val="clear" w:color="auto" w:fill="auto"/>
            <w:noWrap/>
            <w:vAlign w:val="bottom"/>
          </w:tcPr>
          <w:p w14:paraId="67089EE4" w14:textId="7BFF270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41.5</w:t>
            </w:r>
          </w:p>
        </w:tc>
        <w:tc>
          <w:tcPr>
            <w:tcW w:w="1303" w:type="dxa"/>
            <w:tcBorders>
              <w:top w:val="nil"/>
              <w:left w:val="nil"/>
              <w:bottom w:val="single" w:sz="4" w:space="0" w:color="auto"/>
              <w:right w:val="single" w:sz="4" w:space="0" w:color="auto"/>
            </w:tcBorders>
            <w:shd w:val="clear" w:color="auto" w:fill="auto"/>
            <w:noWrap/>
            <w:vAlign w:val="bottom"/>
          </w:tcPr>
          <w:p w14:paraId="50C48232" w14:textId="0688184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37.1</w:t>
            </w:r>
          </w:p>
        </w:tc>
      </w:tr>
      <w:tr w:rsidR="007F5BE0" w:rsidRPr="00240E45" w14:paraId="54B45C6C"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71BF6DCD" w14:textId="42DEF61B"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745</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57E4489C" w14:textId="19054834"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Santiago de Compostela</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6BC25B51" w14:textId="41881F0F"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1A3619AE" w14:textId="418BCEDD"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30.0</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2883E761" w14:textId="2B8BD82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21.8</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67502C6F" w14:textId="2EF0A1F8"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16.6</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09C58102" w14:textId="60827159"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46.9</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78F2E5AB" w14:textId="07433D6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44.7</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1961B6F4" w14:textId="39973245"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40.3</w:t>
            </w:r>
          </w:p>
        </w:tc>
      </w:tr>
      <w:tr w:rsidR="007F5BE0" w:rsidRPr="00240E45" w14:paraId="645396AC"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4A7467" w14:textId="0770BE12"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747</w:t>
            </w:r>
          </w:p>
        </w:tc>
        <w:tc>
          <w:tcPr>
            <w:tcW w:w="3345" w:type="dxa"/>
            <w:tcBorders>
              <w:top w:val="nil"/>
              <w:left w:val="nil"/>
              <w:bottom w:val="single" w:sz="4" w:space="0" w:color="auto"/>
              <w:right w:val="single" w:sz="4" w:space="0" w:color="auto"/>
            </w:tcBorders>
            <w:shd w:val="clear" w:color="auto" w:fill="auto"/>
            <w:noWrap/>
            <w:vAlign w:val="bottom"/>
          </w:tcPr>
          <w:p w14:paraId="11604CBE" w14:textId="10A58F55"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Pontificia Universidad Católica de Río de Janeiro</w:t>
            </w:r>
          </w:p>
        </w:tc>
        <w:tc>
          <w:tcPr>
            <w:tcW w:w="993" w:type="dxa"/>
            <w:tcBorders>
              <w:top w:val="nil"/>
              <w:left w:val="nil"/>
              <w:bottom w:val="single" w:sz="4" w:space="0" w:color="auto"/>
              <w:right w:val="single" w:sz="4" w:space="0" w:color="auto"/>
            </w:tcBorders>
            <w:shd w:val="clear" w:color="auto" w:fill="auto"/>
            <w:noWrap/>
            <w:vAlign w:val="bottom"/>
          </w:tcPr>
          <w:p w14:paraId="366CC6C7" w14:textId="38D01CFD"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Brasil</w:t>
            </w:r>
          </w:p>
        </w:tc>
        <w:tc>
          <w:tcPr>
            <w:tcW w:w="1073" w:type="dxa"/>
            <w:tcBorders>
              <w:top w:val="nil"/>
              <w:left w:val="nil"/>
              <w:bottom w:val="single" w:sz="4" w:space="0" w:color="auto"/>
              <w:right w:val="single" w:sz="4" w:space="0" w:color="auto"/>
            </w:tcBorders>
            <w:shd w:val="clear" w:color="auto" w:fill="auto"/>
            <w:noWrap/>
            <w:vAlign w:val="bottom"/>
          </w:tcPr>
          <w:p w14:paraId="06128B26" w14:textId="2822FB7F"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29.9</w:t>
            </w:r>
          </w:p>
        </w:tc>
        <w:tc>
          <w:tcPr>
            <w:tcW w:w="1053" w:type="dxa"/>
            <w:tcBorders>
              <w:top w:val="nil"/>
              <w:left w:val="nil"/>
              <w:bottom w:val="single" w:sz="4" w:space="0" w:color="auto"/>
              <w:right w:val="single" w:sz="4" w:space="0" w:color="auto"/>
            </w:tcBorders>
            <w:shd w:val="clear" w:color="auto" w:fill="auto"/>
            <w:noWrap/>
            <w:vAlign w:val="bottom"/>
          </w:tcPr>
          <w:p w14:paraId="1070F5E4" w14:textId="6116F10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27.4</w:t>
            </w:r>
          </w:p>
        </w:tc>
        <w:tc>
          <w:tcPr>
            <w:tcW w:w="1140" w:type="dxa"/>
            <w:tcBorders>
              <w:top w:val="nil"/>
              <w:left w:val="nil"/>
              <w:bottom w:val="single" w:sz="4" w:space="0" w:color="auto"/>
              <w:right w:val="single" w:sz="4" w:space="0" w:color="auto"/>
            </w:tcBorders>
            <w:shd w:val="clear" w:color="auto" w:fill="auto"/>
            <w:noWrap/>
            <w:vAlign w:val="bottom"/>
          </w:tcPr>
          <w:p w14:paraId="5895F16F" w14:textId="482A8F9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25.6</w:t>
            </w:r>
          </w:p>
        </w:tc>
        <w:tc>
          <w:tcPr>
            <w:tcW w:w="854" w:type="dxa"/>
            <w:tcBorders>
              <w:top w:val="nil"/>
              <w:left w:val="nil"/>
              <w:bottom w:val="single" w:sz="4" w:space="0" w:color="auto"/>
              <w:right w:val="single" w:sz="4" w:space="0" w:color="auto"/>
            </w:tcBorders>
            <w:shd w:val="clear" w:color="auto" w:fill="auto"/>
            <w:noWrap/>
            <w:vAlign w:val="bottom"/>
          </w:tcPr>
          <w:p w14:paraId="0B5C25B7" w14:textId="23D33DB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27.9</w:t>
            </w:r>
          </w:p>
        </w:tc>
        <w:tc>
          <w:tcPr>
            <w:tcW w:w="1140" w:type="dxa"/>
            <w:tcBorders>
              <w:top w:val="nil"/>
              <w:left w:val="nil"/>
              <w:bottom w:val="single" w:sz="4" w:space="0" w:color="auto"/>
              <w:right w:val="single" w:sz="4" w:space="0" w:color="auto"/>
            </w:tcBorders>
            <w:shd w:val="clear" w:color="auto" w:fill="auto"/>
            <w:noWrap/>
            <w:vAlign w:val="bottom"/>
          </w:tcPr>
          <w:p w14:paraId="691F90A8" w14:textId="79F46A1A"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41.5</w:t>
            </w:r>
          </w:p>
        </w:tc>
        <w:tc>
          <w:tcPr>
            <w:tcW w:w="1303" w:type="dxa"/>
            <w:tcBorders>
              <w:top w:val="nil"/>
              <w:left w:val="nil"/>
              <w:bottom w:val="single" w:sz="4" w:space="0" w:color="auto"/>
              <w:right w:val="single" w:sz="4" w:space="0" w:color="auto"/>
            </w:tcBorders>
            <w:shd w:val="clear" w:color="auto" w:fill="auto"/>
            <w:noWrap/>
            <w:vAlign w:val="bottom"/>
          </w:tcPr>
          <w:p w14:paraId="7AFD5931" w14:textId="30975D9C"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99.5</w:t>
            </w:r>
          </w:p>
        </w:tc>
      </w:tr>
      <w:tr w:rsidR="007F5BE0" w:rsidRPr="00240E45" w14:paraId="61DB63E4"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75C837A5" w14:textId="1E3BEEBC"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751</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1D0BBC1D" w14:textId="197F4BFB"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Beira Interior</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663C7215" w14:textId="6BA07568"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Portugal</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37F18FC2" w14:textId="70750851"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29.8</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4924D02E" w14:textId="54CCED6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17.9</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24535239" w14:textId="54BD8547"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16.5</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2B86228F" w14:textId="05AED95A"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48.7</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53E89739" w14:textId="1FD4FC08"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52.7</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1CFE464B" w14:textId="48D58A6F"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34.7</w:t>
            </w:r>
          </w:p>
        </w:tc>
      </w:tr>
      <w:tr w:rsidR="007F5BE0" w:rsidRPr="00240E45" w14:paraId="4ECE5D9E"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9407F5" w14:textId="22467CB9"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752</w:t>
            </w:r>
          </w:p>
        </w:tc>
        <w:tc>
          <w:tcPr>
            <w:tcW w:w="3345" w:type="dxa"/>
            <w:tcBorders>
              <w:top w:val="nil"/>
              <w:left w:val="nil"/>
              <w:bottom w:val="single" w:sz="4" w:space="0" w:color="auto"/>
              <w:right w:val="single" w:sz="4" w:space="0" w:color="auto"/>
            </w:tcBorders>
            <w:shd w:val="clear" w:color="auto" w:fill="auto"/>
            <w:noWrap/>
            <w:vAlign w:val="bottom"/>
          </w:tcPr>
          <w:p w14:paraId="22020B96" w14:textId="748A2C26"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los Andes</w:t>
            </w:r>
          </w:p>
        </w:tc>
        <w:tc>
          <w:tcPr>
            <w:tcW w:w="993" w:type="dxa"/>
            <w:tcBorders>
              <w:top w:val="nil"/>
              <w:left w:val="nil"/>
              <w:bottom w:val="single" w:sz="4" w:space="0" w:color="auto"/>
              <w:right w:val="single" w:sz="4" w:space="0" w:color="auto"/>
            </w:tcBorders>
            <w:shd w:val="clear" w:color="auto" w:fill="auto"/>
            <w:noWrap/>
            <w:vAlign w:val="bottom"/>
          </w:tcPr>
          <w:p w14:paraId="43833B34" w14:textId="0F89C57A"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Colombia</w:t>
            </w:r>
          </w:p>
        </w:tc>
        <w:tc>
          <w:tcPr>
            <w:tcW w:w="1073" w:type="dxa"/>
            <w:tcBorders>
              <w:top w:val="nil"/>
              <w:left w:val="nil"/>
              <w:bottom w:val="single" w:sz="4" w:space="0" w:color="auto"/>
              <w:right w:val="single" w:sz="4" w:space="0" w:color="auto"/>
            </w:tcBorders>
            <w:shd w:val="clear" w:color="auto" w:fill="auto"/>
            <w:noWrap/>
            <w:vAlign w:val="bottom"/>
          </w:tcPr>
          <w:p w14:paraId="1C831F32" w14:textId="71A1D2EB"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29.7</w:t>
            </w:r>
          </w:p>
        </w:tc>
        <w:tc>
          <w:tcPr>
            <w:tcW w:w="1053" w:type="dxa"/>
            <w:tcBorders>
              <w:top w:val="nil"/>
              <w:left w:val="nil"/>
              <w:bottom w:val="single" w:sz="4" w:space="0" w:color="auto"/>
              <w:right w:val="single" w:sz="4" w:space="0" w:color="auto"/>
            </w:tcBorders>
            <w:shd w:val="clear" w:color="auto" w:fill="auto"/>
            <w:noWrap/>
            <w:vAlign w:val="bottom"/>
          </w:tcPr>
          <w:p w14:paraId="6D508AD1" w14:textId="68257D3A"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21.1</w:t>
            </w:r>
          </w:p>
        </w:tc>
        <w:tc>
          <w:tcPr>
            <w:tcW w:w="1140" w:type="dxa"/>
            <w:tcBorders>
              <w:top w:val="nil"/>
              <w:left w:val="nil"/>
              <w:bottom w:val="single" w:sz="4" w:space="0" w:color="auto"/>
              <w:right w:val="single" w:sz="4" w:space="0" w:color="auto"/>
            </w:tcBorders>
            <w:shd w:val="clear" w:color="auto" w:fill="auto"/>
            <w:noWrap/>
            <w:vAlign w:val="bottom"/>
          </w:tcPr>
          <w:p w14:paraId="45EA62F8" w14:textId="0141FDA7"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15.9</w:t>
            </w:r>
          </w:p>
        </w:tc>
        <w:tc>
          <w:tcPr>
            <w:tcW w:w="854" w:type="dxa"/>
            <w:tcBorders>
              <w:top w:val="nil"/>
              <w:left w:val="nil"/>
              <w:bottom w:val="single" w:sz="4" w:space="0" w:color="auto"/>
              <w:right w:val="single" w:sz="4" w:space="0" w:color="auto"/>
            </w:tcBorders>
            <w:shd w:val="clear" w:color="auto" w:fill="auto"/>
            <w:noWrap/>
            <w:vAlign w:val="bottom"/>
          </w:tcPr>
          <w:p w14:paraId="4BE3A56D" w14:textId="5BACB28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45</w:t>
            </w:r>
          </w:p>
        </w:tc>
        <w:tc>
          <w:tcPr>
            <w:tcW w:w="1140" w:type="dxa"/>
            <w:tcBorders>
              <w:top w:val="nil"/>
              <w:left w:val="nil"/>
              <w:bottom w:val="single" w:sz="4" w:space="0" w:color="auto"/>
              <w:right w:val="single" w:sz="4" w:space="0" w:color="auto"/>
            </w:tcBorders>
            <w:shd w:val="clear" w:color="auto" w:fill="auto"/>
            <w:noWrap/>
            <w:vAlign w:val="bottom"/>
          </w:tcPr>
          <w:p w14:paraId="774E1E8F" w14:textId="0B48D99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55.7</w:t>
            </w:r>
          </w:p>
        </w:tc>
        <w:tc>
          <w:tcPr>
            <w:tcW w:w="1303" w:type="dxa"/>
            <w:tcBorders>
              <w:top w:val="nil"/>
              <w:left w:val="nil"/>
              <w:bottom w:val="single" w:sz="4" w:space="0" w:color="auto"/>
              <w:right w:val="single" w:sz="4" w:space="0" w:color="auto"/>
            </w:tcBorders>
            <w:shd w:val="clear" w:color="auto" w:fill="auto"/>
            <w:noWrap/>
            <w:vAlign w:val="bottom"/>
          </w:tcPr>
          <w:p w14:paraId="0AF75D99" w14:textId="04D0CCF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37.4</w:t>
            </w:r>
          </w:p>
        </w:tc>
      </w:tr>
      <w:tr w:rsidR="007F5BE0" w:rsidRPr="00240E45" w14:paraId="649550F8"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5DEA6896" w14:textId="13EB22D3"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756</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04BB3BCE" w14:textId="28349DFB"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Oviedo</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1DF2043C" w14:textId="03EC72E2"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689946B0" w14:textId="19E9F157"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29.6</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5B39C66C" w14:textId="3EDC697A"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16.8</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527DFA12" w14:textId="28C7431D"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15.2</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45EF6067" w14:textId="7F66888C"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54.8</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0B521D6C" w14:textId="1B915AF9"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34.4</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683F6F14" w14:textId="325BBC87"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38.5</w:t>
            </w:r>
          </w:p>
        </w:tc>
      </w:tr>
      <w:tr w:rsidR="007F5BE0" w:rsidRPr="00240E45" w14:paraId="48D80E71"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5019DA" w14:textId="65AD3EE7"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767</w:t>
            </w:r>
          </w:p>
        </w:tc>
        <w:tc>
          <w:tcPr>
            <w:tcW w:w="3345" w:type="dxa"/>
            <w:tcBorders>
              <w:top w:val="nil"/>
              <w:left w:val="nil"/>
              <w:bottom w:val="single" w:sz="4" w:space="0" w:color="auto"/>
              <w:right w:val="single" w:sz="4" w:space="0" w:color="auto"/>
            </w:tcBorders>
            <w:shd w:val="clear" w:color="auto" w:fill="auto"/>
            <w:noWrap/>
            <w:vAlign w:val="bottom"/>
          </w:tcPr>
          <w:p w14:paraId="4EFC9F47" w14:textId="0811084B"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Salamanca</w:t>
            </w:r>
          </w:p>
        </w:tc>
        <w:tc>
          <w:tcPr>
            <w:tcW w:w="993" w:type="dxa"/>
            <w:tcBorders>
              <w:top w:val="nil"/>
              <w:left w:val="nil"/>
              <w:bottom w:val="single" w:sz="4" w:space="0" w:color="auto"/>
              <w:right w:val="single" w:sz="4" w:space="0" w:color="auto"/>
            </w:tcBorders>
            <w:shd w:val="clear" w:color="auto" w:fill="auto"/>
            <w:noWrap/>
            <w:vAlign w:val="bottom"/>
          </w:tcPr>
          <w:p w14:paraId="4C7753E3" w14:textId="62E70A2D"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auto"/>
            <w:noWrap/>
            <w:vAlign w:val="bottom"/>
          </w:tcPr>
          <w:p w14:paraId="18DA174A" w14:textId="0C3FD5F2"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29.3</w:t>
            </w:r>
          </w:p>
        </w:tc>
        <w:tc>
          <w:tcPr>
            <w:tcW w:w="1053" w:type="dxa"/>
            <w:tcBorders>
              <w:top w:val="nil"/>
              <w:left w:val="nil"/>
              <w:bottom w:val="single" w:sz="4" w:space="0" w:color="auto"/>
              <w:right w:val="single" w:sz="4" w:space="0" w:color="auto"/>
            </w:tcBorders>
            <w:shd w:val="clear" w:color="auto" w:fill="auto"/>
            <w:noWrap/>
            <w:vAlign w:val="bottom"/>
          </w:tcPr>
          <w:p w14:paraId="01BC33F9" w14:textId="07FF5C37"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26.4</w:t>
            </w:r>
          </w:p>
        </w:tc>
        <w:tc>
          <w:tcPr>
            <w:tcW w:w="1140" w:type="dxa"/>
            <w:tcBorders>
              <w:top w:val="nil"/>
              <w:left w:val="nil"/>
              <w:bottom w:val="single" w:sz="4" w:space="0" w:color="auto"/>
              <w:right w:val="single" w:sz="4" w:space="0" w:color="auto"/>
            </w:tcBorders>
            <w:shd w:val="clear" w:color="auto" w:fill="auto"/>
            <w:noWrap/>
            <w:vAlign w:val="bottom"/>
          </w:tcPr>
          <w:p w14:paraId="2C2292E0" w14:textId="6A815F67"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17.5</w:t>
            </w:r>
          </w:p>
        </w:tc>
        <w:tc>
          <w:tcPr>
            <w:tcW w:w="854" w:type="dxa"/>
            <w:tcBorders>
              <w:top w:val="nil"/>
              <w:left w:val="nil"/>
              <w:bottom w:val="single" w:sz="4" w:space="0" w:color="auto"/>
              <w:right w:val="single" w:sz="4" w:space="0" w:color="auto"/>
            </w:tcBorders>
            <w:shd w:val="clear" w:color="auto" w:fill="auto"/>
            <w:noWrap/>
            <w:vAlign w:val="bottom"/>
          </w:tcPr>
          <w:p w14:paraId="456976CA" w14:textId="0035DFD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37.9</w:t>
            </w:r>
          </w:p>
        </w:tc>
        <w:tc>
          <w:tcPr>
            <w:tcW w:w="1140" w:type="dxa"/>
            <w:tcBorders>
              <w:top w:val="nil"/>
              <w:left w:val="nil"/>
              <w:bottom w:val="single" w:sz="4" w:space="0" w:color="auto"/>
              <w:right w:val="single" w:sz="4" w:space="0" w:color="auto"/>
            </w:tcBorders>
            <w:shd w:val="clear" w:color="auto" w:fill="auto"/>
            <w:noWrap/>
            <w:vAlign w:val="bottom"/>
          </w:tcPr>
          <w:p w14:paraId="79FF04F0" w14:textId="2DD80FE5"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51.4</w:t>
            </w:r>
          </w:p>
        </w:tc>
        <w:tc>
          <w:tcPr>
            <w:tcW w:w="1303" w:type="dxa"/>
            <w:tcBorders>
              <w:top w:val="nil"/>
              <w:left w:val="nil"/>
              <w:bottom w:val="single" w:sz="4" w:space="0" w:color="auto"/>
              <w:right w:val="single" w:sz="4" w:space="0" w:color="auto"/>
            </w:tcBorders>
            <w:shd w:val="clear" w:color="auto" w:fill="auto"/>
            <w:noWrap/>
            <w:vAlign w:val="bottom"/>
          </w:tcPr>
          <w:p w14:paraId="476D580F" w14:textId="54E69C28"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37</w:t>
            </w:r>
          </w:p>
        </w:tc>
      </w:tr>
      <w:tr w:rsidR="007F5BE0" w:rsidRPr="00240E45" w14:paraId="2DFC69F5"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23AEDA79" w14:textId="0ED21910"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769</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06000A22" w14:textId="12B7A9F0"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Nacional Autónoma de México</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4A917A57" w14:textId="18926134"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México</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4A0F3A17" w14:textId="3BE227BF"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29.2</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45346011" w14:textId="6E1B9FE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31.9</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0556529B" w14:textId="34D15E3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30.4</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5BABC366" w14:textId="5F1952C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18.9</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6773F7A5" w14:textId="698894F8"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44.2</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66F05BBE" w14:textId="37C7ECA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61.7</w:t>
            </w:r>
          </w:p>
        </w:tc>
      </w:tr>
      <w:tr w:rsidR="007F5BE0" w:rsidRPr="00240E45" w14:paraId="6D3A1258"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799EFD" w14:textId="0963A8F4"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786</w:t>
            </w:r>
          </w:p>
        </w:tc>
        <w:tc>
          <w:tcPr>
            <w:tcW w:w="3345" w:type="dxa"/>
            <w:tcBorders>
              <w:top w:val="nil"/>
              <w:left w:val="nil"/>
              <w:bottom w:val="single" w:sz="4" w:space="0" w:color="auto"/>
              <w:right w:val="single" w:sz="4" w:space="0" w:color="auto"/>
            </w:tcBorders>
            <w:shd w:val="clear" w:color="auto" w:fill="auto"/>
            <w:noWrap/>
            <w:vAlign w:val="bottom"/>
          </w:tcPr>
          <w:p w14:paraId="1FD53896" w14:textId="191BECA1"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Alcalá</w:t>
            </w:r>
          </w:p>
        </w:tc>
        <w:tc>
          <w:tcPr>
            <w:tcW w:w="993" w:type="dxa"/>
            <w:tcBorders>
              <w:top w:val="nil"/>
              <w:left w:val="nil"/>
              <w:bottom w:val="single" w:sz="4" w:space="0" w:color="auto"/>
              <w:right w:val="single" w:sz="4" w:space="0" w:color="auto"/>
            </w:tcBorders>
            <w:shd w:val="clear" w:color="auto" w:fill="auto"/>
            <w:noWrap/>
            <w:vAlign w:val="bottom"/>
          </w:tcPr>
          <w:p w14:paraId="51E8A2D1" w14:textId="59AA8A45"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auto"/>
            <w:noWrap/>
            <w:vAlign w:val="bottom"/>
          </w:tcPr>
          <w:p w14:paraId="64BAFAF9" w14:textId="284802AC"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28.7</w:t>
            </w:r>
          </w:p>
        </w:tc>
        <w:tc>
          <w:tcPr>
            <w:tcW w:w="1053" w:type="dxa"/>
            <w:tcBorders>
              <w:top w:val="nil"/>
              <w:left w:val="nil"/>
              <w:bottom w:val="single" w:sz="4" w:space="0" w:color="auto"/>
              <w:right w:val="single" w:sz="4" w:space="0" w:color="auto"/>
            </w:tcBorders>
            <w:shd w:val="clear" w:color="auto" w:fill="auto"/>
            <w:noWrap/>
            <w:vAlign w:val="bottom"/>
          </w:tcPr>
          <w:p w14:paraId="743B147F" w14:textId="6D9B3D6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18.5</w:t>
            </w:r>
          </w:p>
        </w:tc>
        <w:tc>
          <w:tcPr>
            <w:tcW w:w="1140" w:type="dxa"/>
            <w:tcBorders>
              <w:top w:val="nil"/>
              <w:left w:val="nil"/>
              <w:bottom w:val="single" w:sz="4" w:space="0" w:color="auto"/>
              <w:right w:val="single" w:sz="4" w:space="0" w:color="auto"/>
            </w:tcBorders>
            <w:shd w:val="clear" w:color="auto" w:fill="auto"/>
            <w:noWrap/>
            <w:vAlign w:val="bottom"/>
          </w:tcPr>
          <w:p w14:paraId="198E3783" w14:textId="778F65B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15.7</w:t>
            </w:r>
          </w:p>
        </w:tc>
        <w:tc>
          <w:tcPr>
            <w:tcW w:w="854" w:type="dxa"/>
            <w:tcBorders>
              <w:top w:val="nil"/>
              <w:left w:val="nil"/>
              <w:bottom w:val="single" w:sz="4" w:space="0" w:color="auto"/>
              <w:right w:val="single" w:sz="4" w:space="0" w:color="auto"/>
            </w:tcBorders>
            <w:shd w:val="clear" w:color="auto" w:fill="auto"/>
            <w:noWrap/>
            <w:vAlign w:val="bottom"/>
          </w:tcPr>
          <w:p w14:paraId="7FF45B4D" w14:textId="533F153F"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43.2</w:t>
            </w:r>
          </w:p>
        </w:tc>
        <w:tc>
          <w:tcPr>
            <w:tcW w:w="1140" w:type="dxa"/>
            <w:tcBorders>
              <w:top w:val="nil"/>
              <w:left w:val="nil"/>
              <w:bottom w:val="single" w:sz="4" w:space="0" w:color="auto"/>
              <w:right w:val="single" w:sz="4" w:space="0" w:color="auto"/>
            </w:tcBorders>
            <w:shd w:val="clear" w:color="auto" w:fill="auto"/>
            <w:noWrap/>
            <w:vAlign w:val="bottom"/>
          </w:tcPr>
          <w:p w14:paraId="5C5F9A73" w14:textId="361EE907"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59</w:t>
            </w:r>
          </w:p>
        </w:tc>
        <w:tc>
          <w:tcPr>
            <w:tcW w:w="1303" w:type="dxa"/>
            <w:tcBorders>
              <w:top w:val="nil"/>
              <w:left w:val="nil"/>
              <w:bottom w:val="single" w:sz="4" w:space="0" w:color="auto"/>
              <w:right w:val="single" w:sz="4" w:space="0" w:color="auto"/>
            </w:tcBorders>
            <w:shd w:val="clear" w:color="auto" w:fill="auto"/>
            <w:noWrap/>
            <w:vAlign w:val="bottom"/>
          </w:tcPr>
          <w:p w14:paraId="5AB502D2" w14:textId="5ADE94E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42.5</w:t>
            </w:r>
          </w:p>
        </w:tc>
      </w:tr>
      <w:tr w:rsidR="007F5BE0" w:rsidRPr="00240E45" w14:paraId="23F69B96"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67DEB4ED" w14:textId="1883DEF0"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801</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65CFC4C8" w14:textId="71235F91"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Instituto Universitario de Lisboa</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6EBD20F1" w14:textId="6E039881"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Portugal</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68A5BA28" w14:textId="310C6738"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28.3</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38E36D12" w14:textId="43E09DD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23</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07DC0B88" w14:textId="1B153547"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26.4</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1FB31888" w14:textId="17A9A04A"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29.3</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34C0CEC2" w14:textId="6176F2E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49.3</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63C8A88A" w14:textId="2B514E5A"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39.8</w:t>
            </w:r>
          </w:p>
        </w:tc>
      </w:tr>
      <w:tr w:rsidR="007F5BE0" w:rsidRPr="00240E45" w14:paraId="6F291CBA"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BBA115" w14:textId="16676684"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802</w:t>
            </w:r>
          </w:p>
        </w:tc>
        <w:tc>
          <w:tcPr>
            <w:tcW w:w="3345" w:type="dxa"/>
            <w:tcBorders>
              <w:top w:val="nil"/>
              <w:left w:val="nil"/>
              <w:bottom w:val="single" w:sz="4" w:space="0" w:color="auto"/>
              <w:right w:val="single" w:sz="4" w:space="0" w:color="auto"/>
            </w:tcBorders>
            <w:shd w:val="clear" w:color="auto" w:fill="auto"/>
            <w:noWrap/>
            <w:vAlign w:val="bottom"/>
          </w:tcPr>
          <w:p w14:paraId="271F896F" w14:textId="50A04783"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del Miño</w:t>
            </w:r>
          </w:p>
        </w:tc>
        <w:tc>
          <w:tcPr>
            <w:tcW w:w="993" w:type="dxa"/>
            <w:tcBorders>
              <w:top w:val="nil"/>
              <w:left w:val="nil"/>
              <w:bottom w:val="single" w:sz="4" w:space="0" w:color="auto"/>
              <w:right w:val="single" w:sz="4" w:space="0" w:color="auto"/>
            </w:tcBorders>
            <w:shd w:val="clear" w:color="auto" w:fill="auto"/>
            <w:noWrap/>
            <w:vAlign w:val="bottom"/>
          </w:tcPr>
          <w:p w14:paraId="7FE822E3" w14:textId="61FECC2F"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Portugal</w:t>
            </w:r>
          </w:p>
        </w:tc>
        <w:tc>
          <w:tcPr>
            <w:tcW w:w="1073" w:type="dxa"/>
            <w:tcBorders>
              <w:top w:val="nil"/>
              <w:left w:val="nil"/>
              <w:bottom w:val="single" w:sz="4" w:space="0" w:color="auto"/>
              <w:right w:val="single" w:sz="4" w:space="0" w:color="auto"/>
            </w:tcBorders>
            <w:shd w:val="clear" w:color="auto" w:fill="auto"/>
            <w:noWrap/>
            <w:vAlign w:val="bottom"/>
          </w:tcPr>
          <w:p w14:paraId="078F6E2E" w14:textId="2B2A71CC"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28.3</w:t>
            </w:r>
          </w:p>
        </w:tc>
        <w:tc>
          <w:tcPr>
            <w:tcW w:w="1053" w:type="dxa"/>
            <w:tcBorders>
              <w:top w:val="nil"/>
              <w:left w:val="nil"/>
              <w:bottom w:val="single" w:sz="4" w:space="0" w:color="auto"/>
              <w:right w:val="single" w:sz="4" w:space="0" w:color="auto"/>
            </w:tcBorders>
            <w:shd w:val="clear" w:color="auto" w:fill="auto"/>
            <w:noWrap/>
            <w:vAlign w:val="bottom"/>
          </w:tcPr>
          <w:p w14:paraId="24829D2D" w14:textId="165C614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22.5</w:t>
            </w:r>
          </w:p>
        </w:tc>
        <w:tc>
          <w:tcPr>
            <w:tcW w:w="1140" w:type="dxa"/>
            <w:tcBorders>
              <w:top w:val="nil"/>
              <w:left w:val="nil"/>
              <w:bottom w:val="single" w:sz="4" w:space="0" w:color="auto"/>
              <w:right w:val="single" w:sz="4" w:space="0" w:color="auto"/>
            </w:tcBorders>
            <w:shd w:val="clear" w:color="auto" w:fill="auto"/>
            <w:noWrap/>
            <w:vAlign w:val="bottom"/>
          </w:tcPr>
          <w:p w14:paraId="41D47F3F" w14:textId="710C7CD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19.4</w:t>
            </w:r>
          </w:p>
        </w:tc>
        <w:tc>
          <w:tcPr>
            <w:tcW w:w="854" w:type="dxa"/>
            <w:tcBorders>
              <w:top w:val="nil"/>
              <w:left w:val="nil"/>
              <w:bottom w:val="single" w:sz="4" w:space="0" w:color="auto"/>
              <w:right w:val="single" w:sz="4" w:space="0" w:color="auto"/>
            </w:tcBorders>
            <w:shd w:val="clear" w:color="auto" w:fill="auto"/>
            <w:noWrap/>
            <w:vAlign w:val="bottom"/>
          </w:tcPr>
          <w:p w14:paraId="10225AB2" w14:textId="071D3539"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34.6</w:t>
            </w:r>
          </w:p>
        </w:tc>
        <w:tc>
          <w:tcPr>
            <w:tcW w:w="1140" w:type="dxa"/>
            <w:tcBorders>
              <w:top w:val="nil"/>
              <w:left w:val="nil"/>
              <w:bottom w:val="single" w:sz="4" w:space="0" w:color="auto"/>
              <w:right w:val="single" w:sz="4" w:space="0" w:color="auto"/>
            </w:tcBorders>
            <w:shd w:val="clear" w:color="auto" w:fill="auto"/>
            <w:noWrap/>
            <w:vAlign w:val="bottom"/>
          </w:tcPr>
          <w:p w14:paraId="10FE2B18" w14:textId="068F705A"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50.3</w:t>
            </w:r>
          </w:p>
        </w:tc>
        <w:tc>
          <w:tcPr>
            <w:tcW w:w="1303" w:type="dxa"/>
            <w:tcBorders>
              <w:top w:val="nil"/>
              <w:left w:val="nil"/>
              <w:bottom w:val="single" w:sz="4" w:space="0" w:color="auto"/>
              <w:right w:val="single" w:sz="4" w:space="0" w:color="auto"/>
            </w:tcBorders>
            <w:shd w:val="clear" w:color="auto" w:fill="auto"/>
            <w:noWrap/>
            <w:vAlign w:val="bottom"/>
          </w:tcPr>
          <w:p w14:paraId="01C7F5B0" w14:textId="47D5D95A"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62.6</w:t>
            </w:r>
          </w:p>
        </w:tc>
      </w:tr>
      <w:tr w:rsidR="007F5BE0" w:rsidRPr="00240E45" w14:paraId="0E7873EE"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174009D4" w14:textId="0D0E6760"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807</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0EC5D6F8" w14:textId="337B37C9"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Carlos III de Madrid</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56D4B079" w14:textId="42F3BEA2"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3882FDA1" w14:textId="425D56B6"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28.2</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1448E401" w14:textId="11D469F3"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24.4</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4B5FBE06" w14:textId="1CF13CFC"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16.3</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3309C6D8" w14:textId="6DBD61B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34.9</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191E1E12" w14:textId="155B99D5"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60.2</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33744499" w14:textId="762931C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38.2</w:t>
            </w:r>
          </w:p>
        </w:tc>
      </w:tr>
      <w:tr w:rsidR="007F5BE0" w:rsidRPr="00240E45" w14:paraId="5546A985"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043CD7" w14:textId="6F285E08"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811</w:t>
            </w:r>
          </w:p>
        </w:tc>
        <w:tc>
          <w:tcPr>
            <w:tcW w:w="3345" w:type="dxa"/>
            <w:tcBorders>
              <w:top w:val="nil"/>
              <w:left w:val="nil"/>
              <w:bottom w:val="single" w:sz="4" w:space="0" w:color="auto"/>
              <w:right w:val="single" w:sz="4" w:space="0" w:color="auto"/>
            </w:tcBorders>
            <w:shd w:val="clear" w:color="auto" w:fill="auto"/>
            <w:noWrap/>
            <w:vAlign w:val="bottom"/>
          </w:tcPr>
          <w:p w14:paraId="439ED39B" w14:textId="3FAA0717"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Deusto</w:t>
            </w:r>
          </w:p>
        </w:tc>
        <w:tc>
          <w:tcPr>
            <w:tcW w:w="993" w:type="dxa"/>
            <w:tcBorders>
              <w:top w:val="nil"/>
              <w:left w:val="nil"/>
              <w:bottom w:val="single" w:sz="4" w:space="0" w:color="auto"/>
              <w:right w:val="single" w:sz="4" w:space="0" w:color="auto"/>
            </w:tcBorders>
            <w:shd w:val="clear" w:color="auto" w:fill="auto"/>
            <w:noWrap/>
            <w:vAlign w:val="bottom"/>
          </w:tcPr>
          <w:p w14:paraId="3F28B06F" w14:textId="184E66B3"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auto"/>
            <w:noWrap/>
            <w:vAlign w:val="bottom"/>
          </w:tcPr>
          <w:p w14:paraId="170564F9" w14:textId="6A6C45CE"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28.0</w:t>
            </w:r>
          </w:p>
        </w:tc>
        <w:tc>
          <w:tcPr>
            <w:tcW w:w="1053" w:type="dxa"/>
            <w:tcBorders>
              <w:top w:val="nil"/>
              <w:left w:val="nil"/>
              <w:bottom w:val="single" w:sz="4" w:space="0" w:color="auto"/>
              <w:right w:val="single" w:sz="4" w:space="0" w:color="auto"/>
            </w:tcBorders>
            <w:shd w:val="clear" w:color="auto" w:fill="auto"/>
            <w:noWrap/>
            <w:vAlign w:val="bottom"/>
          </w:tcPr>
          <w:p w14:paraId="44FF6558" w14:textId="56BEDC1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21.5</w:t>
            </w:r>
          </w:p>
        </w:tc>
        <w:tc>
          <w:tcPr>
            <w:tcW w:w="1140" w:type="dxa"/>
            <w:tcBorders>
              <w:top w:val="nil"/>
              <w:left w:val="nil"/>
              <w:bottom w:val="single" w:sz="4" w:space="0" w:color="auto"/>
              <w:right w:val="single" w:sz="4" w:space="0" w:color="auto"/>
            </w:tcBorders>
            <w:shd w:val="clear" w:color="auto" w:fill="auto"/>
            <w:noWrap/>
            <w:vAlign w:val="bottom"/>
          </w:tcPr>
          <w:p w14:paraId="14DFC65A" w14:textId="730EE3B4"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17.6</w:t>
            </w:r>
          </w:p>
        </w:tc>
        <w:tc>
          <w:tcPr>
            <w:tcW w:w="854" w:type="dxa"/>
            <w:tcBorders>
              <w:top w:val="nil"/>
              <w:left w:val="nil"/>
              <w:bottom w:val="single" w:sz="4" w:space="0" w:color="auto"/>
              <w:right w:val="single" w:sz="4" w:space="0" w:color="auto"/>
            </w:tcBorders>
            <w:shd w:val="clear" w:color="auto" w:fill="auto"/>
            <w:noWrap/>
            <w:vAlign w:val="bottom"/>
          </w:tcPr>
          <w:p w14:paraId="67C914F4" w14:textId="1D425FD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39.6</w:t>
            </w:r>
          </w:p>
        </w:tc>
        <w:tc>
          <w:tcPr>
            <w:tcW w:w="1140" w:type="dxa"/>
            <w:tcBorders>
              <w:top w:val="nil"/>
              <w:left w:val="nil"/>
              <w:bottom w:val="single" w:sz="4" w:space="0" w:color="auto"/>
              <w:right w:val="single" w:sz="4" w:space="0" w:color="auto"/>
            </w:tcBorders>
            <w:shd w:val="clear" w:color="auto" w:fill="auto"/>
            <w:noWrap/>
            <w:vAlign w:val="bottom"/>
          </w:tcPr>
          <w:p w14:paraId="2835BF91" w14:textId="166265F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45.7</w:t>
            </w:r>
          </w:p>
        </w:tc>
        <w:tc>
          <w:tcPr>
            <w:tcW w:w="1303" w:type="dxa"/>
            <w:tcBorders>
              <w:top w:val="nil"/>
              <w:left w:val="nil"/>
              <w:bottom w:val="single" w:sz="4" w:space="0" w:color="auto"/>
              <w:right w:val="single" w:sz="4" w:space="0" w:color="auto"/>
            </w:tcBorders>
            <w:shd w:val="clear" w:color="auto" w:fill="auto"/>
            <w:noWrap/>
            <w:vAlign w:val="bottom"/>
          </w:tcPr>
          <w:p w14:paraId="3102D8DF" w14:textId="57ED6494"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38.1</w:t>
            </w:r>
          </w:p>
        </w:tc>
      </w:tr>
      <w:tr w:rsidR="007F5BE0" w:rsidRPr="00240E45" w14:paraId="59AF43F0"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12E22A3C" w14:textId="146F4058"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813</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097B0E40" w14:textId="3801A766"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Sevilla</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50DE678B" w14:textId="6A726E3A"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7F372578" w14:textId="46F1AC48"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28.0</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01A574F8" w14:textId="406B1342"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25.4</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4384F1AF" w14:textId="66CEA14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18.7</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5E38AB21" w14:textId="200E9DA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36.5</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3F09ED27" w14:textId="6BC3D11C"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38.2</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7ADBB4AD" w14:textId="523A0227"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36.6</w:t>
            </w:r>
          </w:p>
        </w:tc>
      </w:tr>
      <w:tr w:rsidR="007F5BE0" w:rsidRPr="00240E45" w14:paraId="2E190818"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E2807" w14:textId="17FE9DC3"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814</w:t>
            </w:r>
          </w:p>
        </w:tc>
        <w:tc>
          <w:tcPr>
            <w:tcW w:w="3345" w:type="dxa"/>
            <w:tcBorders>
              <w:top w:val="nil"/>
              <w:left w:val="nil"/>
              <w:bottom w:val="single" w:sz="4" w:space="0" w:color="auto"/>
              <w:right w:val="single" w:sz="4" w:space="0" w:color="auto"/>
            </w:tcBorders>
            <w:shd w:val="clear" w:color="auto" w:fill="auto"/>
            <w:noWrap/>
            <w:vAlign w:val="bottom"/>
          </w:tcPr>
          <w:p w14:paraId="06E26638" w14:textId="2AABC25E"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Pablo de Olavide</w:t>
            </w:r>
          </w:p>
        </w:tc>
        <w:tc>
          <w:tcPr>
            <w:tcW w:w="993" w:type="dxa"/>
            <w:tcBorders>
              <w:top w:val="nil"/>
              <w:left w:val="nil"/>
              <w:bottom w:val="single" w:sz="4" w:space="0" w:color="auto"/>
              <w:right w:val="single" w:sz="4" w:space="0" w:color="auto"/>
            </w:tcBorders>
            <w:shd w:val="clear" w:color="auto" w:fill="auto"/>
            <w:noWrap/>
            <w:vAlign w:val="bottom"/>
          </w:tcPr>
          <w:p w14:paraId="3678255F" w14:textId="00A79F4B"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auto"/>
            <w:noWrap/>
            <w:vAlign w:val="bottom"/>
          </w:tcPr>
          <w:p w14:paraId="3A3E7BBD" w14:textId="64FB1792"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28.0</w:t>
            </w:r>
          </w:p>
        </w:tc>
        <w:tc>
          <w:tcPr>
            <w:tcW w:w="1053" w:type="dxa"/>
            <w:tcBorders>
              <w:top w:val="nil"/>
              <w:left w:val="nil"/>
              <w:bottom w:val="single" w:sz="4" w:space="0" w:color="auto"/>
              <w:right w:val="single" w:sz="4" w:space="0" w:color="auto"/>
            </w:tcBorders>
            <w:shd w:val="clear" w:color="auto" w:fill="auto"/>
            <w:noWrap/>
            <w:vAlign w:val="bottom"/>
          </w:tcPr>
          <w:p w14:paraId="0A1DCD6B" w14:textId="0FC41668"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21.5</w:t>
            </w:r>
          </w:p>
        </w:tc>
        <w:tc>
          <w:tcPr>
            <w:tcW w:w="1140" w:type="dxa"/>
            <w:tcBorders>
              <w:top w:val="nil"/>
              <w:left w:val="nil"/>
              <w:bottom w:val="single" w:sz="4" w:space="0" w:color="auto"/>
              <w:right w:val="single" w:sz="4" w:space="0" w:color="auto"/>
            </w:tcBorders>
            <w:shd w:val="clear" w:color="auto" w:fill="auto"/>
            <w:noWrap/>
            <w:vAlign w:val="bottom"/>
          </w:tcPr>
          <w:p w14:paraId="345E277C" w14:textId="709C498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14.2</w:t>
            </w:r>
          </w:p>
        </w:tc>
        <w:tc>
          <w:tcPr>
            <w:tcW w:w="854" w:type="dxa"/>
            <w:tcBorders>
              <w:top w:val="nil"/>
              <w:left w:val="nil"/>
              <w:bottom w:val="single" w:sz="4" w:space="0" w:color="auto"/>
              <w:right w:val="single" w:sz="4" w:space="0" w:color="auto"/>
            </w:tcBorders>
            <w:shd w:val="clear" w:color="auto" w:fill="auto"/>
            <w:noWrap/>
            <w:vAlign w:val="bottom"/>
          </w:tcPr>
          <w:p w14:paraId="1B1DA0EF" w14:textId="36BCBCC5"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42</w:t>
            </w:r>
          </w:p>
        </w:tc>
        <w:tc>
          <w:tcPr>
            <w:tcW w:w="1140" w:type="dxa"/>
            <w:tcBorders>
              <w:top w:val="nil"/>
              <w:left w:val="nil"/>
              <w:bottom w:val="single" w:sz="4" w:space="0" w:color="auto"/>
              <w:right w:val="single" w:sz="4" w:space="0" w:color="auto"/>
            </w:tcBorders>
            <w:shd w:val="clear" w:color="auto" w:fill="auto"/>
            <w:noWrap/>
            <w:vAlign w:val="bottom"/>
          </w:tcPr>
          <w:p w14:paraId="5AB39EFB" w14:textId="01A2A26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50.2</w:t>
            </w:r>
          </w:p>
        </w:tc>
        <w:tc>
          <w:tcPr>
            <w:tcW w:w="1303" w:type="dxa"/>
            <w:tcBorders>
              <w:top w:val="nil"/>
              <w:left w:val="nil"/>
              <w:bottom w:val="single" w:sz="4" w:space="0" w:color="auto"/>
              <w:right w:val="single" w:sz="4" w:space="0" w:color="auto"/>
            </w:tcBorders>
            <w:shd w:val="clear" w:color="auto" w:fill="auto"/>
            <w:noWrap/>
            <w:vAlign w:val="bottom"/>
          </w:tcPr>
          <w:p w14:paraId="37E6D8D4" w14:textId="573D95F9"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35.2</w:t>
            </w:r>
          </w:p>
        </w:tc>
      </w:tr>
      <w:tr w:rsidR="007F5BE0" w:rsidRPr="00240E45" w14:paraId="0A240D74"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11585AB6" w14:textId="0F3647C4"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821</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059CB15E" w14:textId="37ADD0A8"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Federal de Río de Janeiro</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674D0DEE" w14:textId="55414DD3"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Brasil</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121C58CD" w14:textId="2C8F07F3"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27.8</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6487752E" w14:textId="0630B12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34.4</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3BA75534" w14:textId="1508B74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22</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1D7C9086" w14:textId="0A6CDD2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26.1</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4EC115FB" w14:textId="0D6D6615"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28.7</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60752BF4" w14:textId="38F1F498"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35.5</w:t>
            </w:r>
          </w:p>
        </w:tc>
      </w:tr>
      <w:tr w:rsidR="007F5BE0" w:rsidRPr="00240E45" w14:paraId="66145CAF"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4DE81" w14:textId="21096465"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825</w:t>
            </w:r>
          </w:p>
        </w:tc>
        <w:tc>
          <w:tcPr>
            <w:tcW w:w="3345" w:type="dxa"/>
            <w:tcBorders>
              <w:top w:val="nil"/>
              <w:left w:val="nil"/>
              <w:bottom w:val="single" w:sz="4" w:space="0" w:color="auto"/>
              <w:right w:val="single" w:sz="4" w:space="0" w:color="auto"/>
            </w:tcBorders>
            <w:shd w:val="clear" w:color="auto" w:fill="auto"/>
            <w:noWrap/>
            <w:vAlign w:val="bottom"/>
          </w:tcPr>
          <w:p w14:paraId="3578B9A7" w14:textId="13C5472A"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Zaragoza</w:t>
            </w:r>
          </w:p>
        </w:tc>
        <w:tc>
          <w:tcPr>
            <w:tcW w:w="993" w:type="dxa"/>
            <w:tcBorders>
              <w:top w:val="nil"/>
              <w:left w:val="nil"/>
              <w:bottom w:val="single" w:sz="4" w:space="0" w:color="auto"/>
              <w:right w:val="single" w:sz="4" w:space="0" w:color="auto"/>
            </w:tcBorders>
            <w:shd w:val="clear" w:color="auto" w:fill="auto"/>
            <w:noWrap/>
            <w:vAlign w:val="bottom"/>
          </w:tcPr>
          <w:p w14:paraId="73771DBF" w14:textId="66D6B40D"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auto"/>
            <w:noWrap/>
            <w:vAlign w:val="bottom"/>
          </w:tcPr>
          <w:p w14:paraId="3BBD1FAC" w14:textId="311E4892"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27.7</w:t>
            </w:r>
          </w:p>
        </w:tc>
        <w:tc>
          <w:tcPr>
            <w:tcW w:w="1053" w:type="dxa"/>
            <w:tcBorders>
              <w:top w:val="nil"/>
              <w:left w:val="nil"/>
              <w:bottom w:val="single" w:sz="4" w:space="0" w:color="auto"/>
              <w:right w:val="single" w:sz="4" w:space="0" w:color="auto"/>
            </w:tcBorders>
            <w:shd w:val="clear" w:color="auto" w:fill="auto"/>
            <w:noWrap/>
            <w:vAlign w:val="bottom"/>
          </w:tcPr>
          <w:p w14:paraId="6174E9EA" w14:textId="71D2C547"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22</w:t>
            </w:r>
          </w:p>
        </w:tc>
        <w:tc>
          <w:tcPr>
            <w:tcW w:w="1140" w:type="dxa"/>
            <w:tcBorders>
              <w:top w:val="nil"/>
              <w:left w:val="nil"/>
              <w:bottom w:val="single" w:sz="4" w:space="0" w:color="auto"/>
              <w:right w:val="single" w:sz="4" w:space="0" w:color="auto"/>
            </w:tcBorders>
            <w:shd w:val="clear" w:color="auto" w:fill="auto"/>
            <w:noWrap/>
            <w:vAlign w:val="bottom"/>
          </w:tcPr>
          <w:p w14:paraId="5D3EAD71" w14:textId="3DE7367F"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13.4</w:t>
            </w:r>
          </w:p>
        </w:tc>
        <w:tc>
          <w:tcPr>
            <w:tcW w:w="854" w:type="dxa"/>
            <w:tcBorders>
              <w:top w:val="nil"/>
              <w:left w:val="nil"/>
              <w:bottom w:val="single" w:sz="4" w:space="0" w:color="auto"/>
              <w:right w:val="single" w:sz="4" w:space="0" w:color="auto"/>
            </w:tcBorders>
            <w:shd w:val="clear" w:color="auto" w:fill="auto"/>
            <w:noWrap/>
            <w:vAlign w:val="bottom"/>
          </w:tcPr>
          <w:p w14:paraId="4890B66C" w14:textId="6A2269C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43.8</w:t>
            </w:r>
          </w:p>
        </w:tc>
        <w:tc>
          <w:tcPr>
            <w:tcW w:w="1140" w:type="dxa"/>
            <w:tcBorders>
              <w:top w:val="nil"/>
              <w:left w:val="nil"/>
              <w:bottom w:val="single" w:sz="4" w:space="0" w:color="auto"/>
              <w:right w:val="single" w:sz="4" w:space="0" w:color="auto"/>
            </w:tcBorders>
            <w:shd w:val="clear" w:color="auto" w:fill="auto"/>
            <w:noWrap/>
            <w:vAlign w:val="bottom"/>
          </w:tcPr>
          <w:p w14:paraId="72B31610" w14:textId="454191C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39.4</w:t>
            </w:r>
          </w:p>
        </w:tc>
        <w:tc>
          <w:tcPr>
            <w:tcW w:w="1303" w:type="dxa"/>
            <w:tcBorders>
              <w:top w:val="nil"/>
              <w:left w:val="nil"/>
              <w:bottom w:val="single" w:sz="4" w:space="0" w:color="auto"/>
              <w:right w:val="single" w:sz="4" w:space="0" w:color="auto"/>
            </w:tcBorders>
            <w:shd w:val="clear" w:color="auto" w:fill="auto"/>
            <w:noWrap/>
            <w:vAlign w:val="bottom"/>
          </w:tcPr>
          <w:p w14:paraId="5B6252EE" w14:textId="7F822A8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38.6</w:t>
            </w:r>
          </w:p>
        </w:tc>
      </w:tr>
      <w:tr w:rsidR="007F5BE0" w:rsidRPr="00240E45" w14:paraId="70854098"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363498D1" w14:textId="6A435A93"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835</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1AD74B57" w14:textId="761079F0"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Politécnica de Valencia</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50721209" w14:textId="62387C7E"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432ABD69" w14:textId="03580C6F"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27.4</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59B12C53" w14:textId="63E1A47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22.1</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7CFE5B6B" w14:textId="626F2E2A"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11.8</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45060DF5" w14:textId="5E4ADF4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41.3</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14525409" w14:textId="79651882"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50</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356EA38E" w14:textId="366A326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44.8</w:t>
            </w:r>
          </w:p>
        </w:tc>
      </w:tr>
      <w:tr w:rsidR="007F5BE0" w:rsidRPr="00240E45" w14:paraId="50337697"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C0865" w14:textId="746A39A4"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839</w:t>
            </w:r>
          </w:p>
        </w:tc>
        <w:tc>
          <w:tcPr>
            <w:tcW w:w="3345" w:type="dxa"/>
            <w:tcBorders>
              <w:top w:val="nil"/>
              <w:left w:val="nil"/>
              <w:bottom w:val="single" w:sz="4" w:space="0" w:color="auto"/>
              <w:right w:val="single" w:sz="4" w:space="0" w:color="auto"/>
            </w:tcBorders>
            <w:shd w:val="clear" w:color="auto" w:fill="auto"/>
            <w:noWrap/>
            <w:vAlign w:val="bottom"/>
          </w:tcPr>
          <w:p w14:paraId="3FAAEA3A" w14:textId="62FA169D"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Politécnica de Madrid</w:t>
            </w:r>
          </w:p>
        </w:tc>
        <w:tc>
          <w:tcPr>
            <w:tcW w:w="993" w:type="dxa"/>
            <w:tcBorders>
              <w:top w:val="nil"/>
              <w:left w:val="nil"/>
              <w:bottom w:val="single" w:sz="4" w:space="0" w:color="auto"/>
              <w:right w:val="single" w:sz="4" w:space="0" w:color="auto"/>
            </w:tcBorders>
            <w:shd w:val="clear" w:color="auto" w:fill="auto"/>
            <w:noWrap/>
            <w:vAlign w:val="bottom"/>
          </w:tcPr>
          <w:p w14:paraId="1AE87D40" w14:textId="21AB98A0"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auto"/>
            <w:noWrap/>
            <w:vAlign w:val="bottom"/>
          </w:tcPr>
          <w:p w14:paraId="6419D358" w14:textId="7213DFB9"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27.3</w:t>
            </w:r>
          </w:p>
        </w:tc>
        <w:tc>
          <w:tcPr>
            <w:tcW w:w="1053" w:type="dxa"/>
            <w:tcBorders>
              <w:top w:val="nil"/>
              <w:left w:val="nil"/>
              <w:bottom w:val="single" w:sz="4" w:space="0" w:color="auto"/>
              <w:right w:val="single" w:sz="4" w:space="0" w:color="auto"/>
            </w:tcBorders>
            <w:shd w:val="clear" w:color="auto" w:fill="auto"/>
            <w:noWrap/>
            <w:vAlign w:val="bottom"/>
          </w:tcPr>
          <w:p w14:paraId="4DCDC1AB" w14:textId="7F7ABB6F"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22.6</w:t>
            </w:r>
          </w:p>
        </w:tc>
        <w:tc>
          <w:tcPr>
            <w:tcW w:w="1140" w:type="dxa"/>
            <w:tcBorders>
              <w:top w:val="nil"/>
              <w:left w:val="nil"/>
              <w:bottom w:val="single" w:sz="4" w:space="0" w:color="auto"/>
              <w:right w:val="single" w:sz="4" w:space="0" w:color="auto"/>
            </w:tcBorders>
            <w:shd w:val="clear" w:color="auto" w:fill="auto"/>
            <w:noWrap/>
            <w:vAlign w:val="bottom"/>
          </w:tcPr>
          <w:p w14:paraId="698B89C5" w14:textId="22757BA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14.9</w:t>
            </w:r>
          </w:p>
        </w:tc>
        <w:tc>
          <w:tcPr>
            <w:tcW w:w="854" w:type="dxa"/>
            <w:tcBorders>
              <w:top w:val="nil"/>
              <w:left w:val="nil"/>
              <w:bottom w:val="single" w:sz="4" w:space="0" w:color="auto"/>
              <w:right w:val="single" w:sz="4" w:space="0" w:color="auto"/>
            </w:tcBorders>
            <w:shd w:val="clear" w:color="auto" w:fill="auto"/>
            <w:noWrap/>
            <w:vAlign w:val="bottom"/>
          </w:tcPr>
          <w:p w14:paraId="293143CD" w14:textId="10155F8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37.7</w:t>
            </w:r>
          </w:p>
        </w:tc>
        <w:tc>
          <w:tcPr>
            <w:tcW w:w="1140" w:type="dxa"/>
            <w:tcBorders>
              <w:top w:val="nil"/>
              <w:left w:val="nil"/>
              <w:bottom w:val="single" w:sz="4" w:space="0" w:color="auto"/>
              <w:right w:val="single" w:sz="4" w:space="0" w:color="auto"/>
            </w:tcBorders>
            <w:shd w:val="clear" w:color="auto" w:fill="auto"/>
            <w:noWrap/>
            <w:vAlign w:val="bottom"/>
          </w:tcPr>
          <w:p w14:paraId="6202E544" w14:textId="1EFF92A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49.1</w:t>
            </w:r>
          </w:p>
        </w:tc>
        <w:tc>
          <w:tcPr>
            <w:tcW w:w="1303" w:type="dxa"/>
            <w:tcBorders>
              <w:top w:val="nil"/>
              <w:left w:val="nil"/>
              <w:bottom w:val="single" w:sz="4" w:space="0" w:color="auto"/>
              <w:right w:val="single" w:sz="4" w:space="0" w:color="auto"/>
            </w:tcBorders>
            <w:shd w:val="clear" w:color="auto" w:fill="auto"/>
            <w:noWrap/>
            <w:vAlign w:val="bottom"/>
          </w:tcPr>
          <w:p w14:paraId="24223AB8" w14:textId="4DAA79E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42.4</w:t>
            </w:r>
          </w:p>
        </w:tc>
      </w:tr>
      <w:tr w:rsidR="007F5BE0" w:rsidRPr="00240E45" w14:paraId="6D8D2127"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61595F36" w14:textId="3DD159AD"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852</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3CA68B16" w14:textId="35314917"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Chile</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5C32971E" w14:textId="76A33692"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Chile</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1BDC48B8" w14:textId="0F850961"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27.0</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6CDE871E" w14:textId="7DC58BE7"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23.2</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2FF286A8" w14:textId="1E95099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17.1</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06249F25" w14:textId="569CC1D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33.9</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45FA0630" w14:textId="56C5177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51.2</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23CC3EAC" w14:textId="6223141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34.5</w:t>
            </w:r>
          </w:p>
        </w:tc>
      </w:tr>
      <w:tr w:rsidR="007F5BE0" w:rsidRPr="00240E45" w14:paraId="64B6B440"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DB8BF" w14:textId="15DC26DD"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857</w:t>
            </w:r>
          </w:p>
        </w:tc>
        <w:tc>
          <w:tcPr>
            <w:tcW w:w="3345" w:type="dxa"/>
            <w:tcBorders>
              <w:top w:val="nil"/>
              <w:left w:val="nil"/>
              <w:bottom w:val="single" w:sz="4" w:space="0" w:color="auto"/>
              <w:right w:val="single" w:sz="4" w:space="0" w:color="auto"/>
            </w:tcBorders>
            <w:shd w:val="clear" w:color="auto" w:fill="auto"/>
            <w:noWrap/>
            <w:vAlign w:val="bottom"/>
          </w:tcPr>
          <w:p w14:paraId="0CE560AA" w14:textId="55D93533"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Algarve</w:t>
            </w:r>
          </w:p>
        </w:tc>
        <w:tc>
          <w:tcPr>
            <w:tcW w:w="993" w:type="dxa"/>
            <w:tcBorders>
              <w:top w:val="nil"/>
              <w:left w:val="nil"/>
              <w:bottom w:val="single" w:sz="4" w:space="0" w:color="auto"/>
              <w:right w:val="single" w:sz="4" w:space="0" w:color="auto"/>
            </w:tcBorders>
            <w:shd w:val="clear" w:color="auto" w:fill="auto"/>
            <w:noWrap/>
            <w:vAlign w:val="bottom"/>
          </w:tcPr>
          <w:p w14:paraId="56BA151A" w14:textId="49BB9887"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Portugal</w:t>
            </w:r>
          </w:p>
        </w:tc>
        <w:tc>
          <w:tcPr>
            <w:tcW w:w="1073" w:type="dxa"/>
            <w:tcBorders>
              <w:top w:val="nil"/>
              <w:left w:val="nil"/>
              <w:bottom w:val="single" w:sz="4" w:space="0" w:color="auto"/>
              <w:right w:val="single" w:sz="4" w:space="0" w:color="auto"/>
            </w:tcBorders>
            <w:shd w:val="clear" w:color="auto" w:fill="auto"/>
            <w:noWrap/>
            <w:vAlign w:val="bottom"/>
          </w:tcPr>
          <w:p w14:paraId="3BC85AE4" w14:textId="2CD532F2"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26.9</w:t>
            </w:r>
          </w:p>
        </w:tc>
        <w:tc>
          <w:tcPr>
            <w:tcW w:w="1053" w:type="dxa"/>
            <w:tcBorders>
              <w:top w:val="nil"/>
              <w:left w:val="nil"/>
              <w:bottom w:val="single" w:sz="4" w:space="0" w:color="auto"/>
              <w:right w:val="single" w:sz="4" w:space="0" w:color="auto"/>
            </w:tcBorders>
            <w:shd w:val="clear" w:color="auto" w:fill="auto"/>
            <w:noWrap/>
            <w:vAlign w:val="bottom"/>
          </w:tcPr>
          <w:p w14:paraId="1053AB82" w14:textId="0A102F55"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17.3</w:t>
            </w:r>
          </w:p>
        </w:tc>
        <w:tc>
          <w:tcPr>
            <w:tcW w:w="1140" w:type="dxa"/>
            <w:tcBorders>
              <w:top w:val="nil"/>
              <w:left w:val="nil"/>
              <w:bottom w:val="single" w:sz="4" w:space="0" w:color="auto"/>
              <w:right w:val="single" w:sz="4" w:space="0" w:color="auto"/>
            </w:tcBorders>
            <w:shd w:val="clear" w:color="auto" w:fill="auto"/>
            <w:noWrap/>
            <w:vAlign w:val="bottom"/>
          </w:tcPr>
          <w:p w14:paraId="74E7430F" w14:textId="29F472F2"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13.5</w:t>
            </w:r>
          </w:p>
        </w:tc>
        <w:tc>
          <w:tcPr>
            <w:tcW w:w="854" w:type="dxa"/>
            <w:tcBorders>
              <w:top w:val="nil"/>
              <w:left w:val="nil"/>
              <w:bottom w:val="single" w:sz="4" w:space="0" w:color="auto"/>
              <w:right w:val="single" w:sz="4" w:space="0" w:color="auto"/>
            </w:tcBorders>
            <w:shd w:val="clear" w:color="auto" w:fill="auto"/>
            <w:noWrap/>
            <w:vAlign w:val="bottom"/>
          </w:tcPr>
          <w:p w14:paraId="6704966D" w14:textId="21EA880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40.2</w:t>
            </w:r>
          </w:p>
        </w:tc>
        <w:tc>
          <w:tcPr>
            <w:tcW w:w="1140" w:type="dxa"/>
            <w:tcBorders>
              <w:top w:val="nil"/>
              <w:left w:val="nil"/>
              <w:bottom w:val="single" w:sz="4" w:space="0" w:color="auto"/>
              <w:right w:val="single" w:sz="4" w:space="0" w:color="auto"/>
            </w:tcBorders>
            <w:shd w:val="clear" w:color="auto" w:fill="auto"/>
            <w:noWrap/>
            <w:vAlign w:val="bottom"/>
          </w:tcPr>
          <w:p w14:paraId="360BB6BB" w14:textId="3D724845"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63.1</w:t>
            </w:r>
          </w:p>
        </w:tc>
        <w:tc>
          <w:tcPr>
            <w:tcW w:w="1303" w:type="dxa"/>
            <w:tcBorders>
              <w:top w:val="nil"/>
              <w:left w:val="nil"/>
              <w:bottom w:val="single" w:sz="4" w:space="0" w:color="auto"/>
              <w:right w:val="single" w:sz="4" w:space="0" w:color="auto"/>
            </w:tcBorders>
            <w:shd w:val="clear" w:color="auto" w:fill="auto"/>
            <w:noWrap/>
            <w:vAlign w:val="bottom"/>
          </w:tcPr>
          <w:p w14:paraId="7A6DE352" w14:textId="644B47F8"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35.3</w:t>
            </w:r>
          </w:p>
        </w:tc>
      </w:tr>
      <w:tr w:rsidR="007F5BE0" w:rsidRPr="00240E45" w14:paraId="73496604"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502DF801" w14:textId="388F27BE"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872</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0E9028C4" w14:textId="499F1AB6"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Córdoba</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4B7897FB" w14:textId="17A193FF"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6C6B5B89" w14:textId="13196FE5"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26.3</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6DA3916D" w14:textId="51E66467"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21.2</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370EE9C6" w14:textId="0EA6B6D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16.6</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522B2F6A" w14:textId="2CBFF28D"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36.4</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5DC6D138" w14:textId="5AC8CC69"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41.9</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2F5537C6" w14:textId="6456B308"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37.1</w:t>
            </w:r>
          </w:p>
        </w:tc>
      </w:tr>
      <w:tr w:rsidR="007F5BE0" w:rsidRPr="00240E45" w14:paraId="0A8C63EA"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DBA568" w14:textId="5E2B2233"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874</w:t>
            </w:r>
          </w:p>
        </w:tc>
        <w:tc>
          <w:tcPr>
            <w:tcW w:w="3345" w:type="dxa"/>
            <w:tcBorders>
              <w:top w:val="nil"/>
              <w:left w:val="nil"/>
              <w:bottom w:val="single" w:sz="4" w:space="0" w:color="auto"/>
              <w:right w:val="single" w:sz="4" w:space="0" w:color="auto"/>
            </w:tcBorders>
            <w:shd w:val="clear" w:color="auto" w:fill="auto"/>
            <w:noWrap/>
            <w:vAlign w:val="bottom"/>
          </w:tcPr>
          <w:p w14:paraId="42656DA8" w14:textId="2706A878"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Brasilia</w:t>
            </w:r>
          </w:p>
        </w:tc>
        <w:tc>
          <w:tcPr>
            <w:tcW w:w="993" w:type="dxa"/>
            <w:tcBorders>
              <w:top w:val="nil"/>
              <w:left w:val="nil"/>
              <w:bottom w:val="single" w:sz="4" w:space="0" w:color="auto"/>
              <w:right w:val="single" w:sz="4" w:space="0" w:color="auto"/>
            </w:tcBorders>
            <w:shd w:val="clear" w:color="auto" w:fill="auto"/>
            <w:noWrap/>
            <w:vAlign w:val="bottom"/>
          </w:tcPr>
          <w:p w14:paraId="482CAEEE" w14:textId="6F41FC38"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Brasil</w:t>
            </w:r>
          </w:p>
        </w:tc>
        <w:tc>
          <w:tcPr>
            <w:tcW w:w="1073" w:type="dxa"/>
            <w:tcBorders>
              <w:top w:val="nil"/>
              <w:left w:val="nil"/>
              <w:bottom w:val="single" w:sz="4" w:space="0" w:color="auto"/>
              <w:right w:val="single" w:sz="4" w:space="0" w:color="auto"/>
            </w:tcBorders>
            <w:shd w:val="clear" w:color="auto" w:fill="auto"/>
            <w:noWrap/>
            <w:vAlign w:val="bottom"/>
          </w:tcPr>
          <w:p w14:paraId="753FC5B0" w14:textId="30D42810"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26.3</w:t>
            </w:r>
          </w:p>
        </w:tc>
        <w:tc>
          <w:tcPr>
            <w:tcW w:w="1053" w:type="dxa"/>
            <w:tcBorders>
              <w:top w:val="nil"/>
              <w:left w:val="nil"/>
              <w:bottom w:val="single" w:sz="4" w:space="0" w:color="auto"/>
              <w:right w:val="single" w:sz="4" w:space="0" w:color="auto"/>
            </w:tcBorders>
            <w:shd w:val="clear" w:color="auto" w:fill="auto"/>
            <w:noWrap/>
            <w:vAlign w:val="bottom"/>
          </w:tcPr>
          <w:p w14:paraId="2A8FD9FD" w14:textId="5611AB67"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25.8</w:t>
            </w:r>
          </w:p>
        </w:tc>
        <w:tc>
          <w:tcPr>
            <w:tcW w:w="1140" w:type="dxa"/>
            <w:tcBorders>
              <w:top w:val="nil"/>
              <w:left w:val="nil"/>
              <w:bottom w:val="single" w:sz="4" w:space="0" w:color="auto"/>
              <w:right w:val="single" w:sz="4" w:space="0" w:color="auto"/>
            </w:tcBorders>
            <w:shd w:val="clear" w:color="auto" w:fill="auto"/>
            <w:noWrap/>
            <w:vAlign w:val="bottom"/>
          </w:tcPr>
          <w:p w14:paraId="6BAA8BDC" w14:textId="7EE97418"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14.4</w:t>
            </w:r>
          </w:p>
        </w:tc>
        <w:tc>
          <w:tcPr>
            <w:tcW w:w="854" w:type="dxa"/>
            <w:tcBorders>
              <w:top w:val="nil"/>
              <w:left w:val="nil"/>
              <w:bottom w:val="single" w:sz="4" w:space="0" w:color="auto"/>
              <w:right w:val="single" w:sz="4" w:space="0" w:color="auto"/>
            </w:tcBorders>
            <w:shd w:val="clear" w:color="auto" w:fill="auto"/>
            <w:noWrap/>
            <w:vAlign w:val="bottom"/>
          </w:tcPr>
          <w:p w14:paraId="08C465AB" w14:textId="5D17A937"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36.8</w:t>
            </w:r>
          </w:p>
        </w:tc>
        <w:tc>
          <w:tcPr>
            <w:tcW w:w="1140" w:type="dxa"/>
            <w:tcBorders>
              <w:top w:val="nil"/>
              <w:left w:val="nil"/>
              <w:bottom w:val="single" w:sz="4" w:space="0" w:color="auto"/>
              <w:right w:val="single" w:sz="4" w:space="0" w:color="auto"/>
            </w:tcBorders>
            <w:shd w:val="clear" w:color="auto" w:fill="auto"/>
            <w:noWrap/>
            <w:vAlign w:val="bottom"/>
          </w:tcPr>
          <w:p w14:paraId="717D1694" w14:textId="6FC37D6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30.9</w:t>
            </w:r>
          </w:p>
        </w:tc>
        <w:tc>
          <w:tcPr>
            <w:tcW w:w="1303" w:type="dxa"/>
            <w:tcBorders>
              <w:top w:val="nil"/>
              <w:left w:val="nil"/>
              <w:bottom w:val="single" w:sz="4" w:space="0" w:color="auto"/>
              <w:right w:val="single" w:sz="4" w:space="0" w:color="auto"/>
            </w:tcBorders>
            <w:shd w:val="clear" w:color="auto" w:fill="auto"/>
            <w:noWrap/>
            <w:vAlign w:val="bottom"/>
          </w:tcPr>
          <w:p w14:paraId="66D81437" w14:textId="39AF54ED"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34.5</w:t>
            </w:r>
          </w:p>
        </w:tc>
      </w:tr>
      <w:tr w:rsidR="007F5BE0" w:rsidRPr="00240E45" w14:paraId="1B0326D7"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46E1CAFE" w14:textId="1200FD11"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885</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5F355AF2" w14:textId="57877313"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Las Palmas de Gran Canaria</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1CEEEC9A" w14:textId="4CC825D4"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14F79EFF" w14:textId="4432CBDE"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25.9</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7A9B6850" w14:textId="6BC3DEE9"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17.8</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36FDB070" w14:textId="544B73A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11.9</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3D667767" w14:textId="6D9F9903"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44.4</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1EFF8588" w14:textId="1EBE0AC4"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36.8</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4BB28773" w14:textId="7BAFD2A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34.4</w:t>
            </w:r>
          </w:p>
        </w:tc>
      </w:tr>
      <w:tr w:rsidR="007F5BE0" w:rsidRPr="00240E45" w14:paraId="6E5D40F7"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F5B456" w14:textId="2D0553E8"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889</w:t>
            </w:r>
          </w:p>
        </w:tc>
        <w:tc>
          <w:tcPr>
            <w:tcW w:w="3345" w:type="dxa"/>
            <w:tcBorders>
              <w:top w:val="nil"/>
              <w:left w:val="nil"/>
              <w:bottom w:val="single" w:sz="4" w:space="0" w:color="auto"/>
              <w:right w:val="single" w:sz="4" w:space="0" w:color="auto"/>
            </w:tcBorders>
            <w:shd w:val="clear" w:color="auto" w:fill="auto"/>
            <w:noWrap/>
            <w:vAlign w:val="bottom"/>
          </w:tcPr>
          <w:p w14:paraId="071423DB" w14:textId="41162A22"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Vigo</w:t>
            </w:r>
          </w:p>
        </w:tc>
        <w:tc>
          <w:tcPr>
            <w:tcW w:w="993" w:type="dxa"/>
            <w:tcBorders>
              <w:top w:val="nil"/>
              <w:left w:val="nil"/>
              <w:bottom w:val="single" w:sz="4" w:space="0" w:color="auto"/>
              <w:right w:val="single" w:sz="4" w:space="0" w:color="auto"/>
            </w:tcBorders>
            <w:shd w:val="clear" w:color="auto" w:fill="auto"/>
            <w:noWrap/>
            <w:vAlign w:val="bottom"/>
          </w:tcPr>
          <w:p w14:paraId="2AB04F84" w14:textId="66DCF9C2"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auto"/>
            <w:noWrap/>
            <w:vAlign w:val="bottom"/>
          </w:tcPr>
          <w:p w14:paraId="48E75551" w14:textId="61CCC54B"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25.6</w:t>
            </w:r>
          </w:p>
        </w:tc>
        <w:tc>
          <w:tcPr>
            <w:tcW w:w="1053" w:type="dxa"/>
            <w:tcBorders>
              <w:top w:val="nil"/>
              <w:left w:val="nil"/>
              <w:bottom w:val="single" w:sz="4" w:space="0" w:color="auto"/>
              <w:right w:val="single" w:sz="4" w:space="0" w:color="auto"/>
            </w:tcBorders>
            <w:shd w:val="clear" w:color="auto" w:fill="auto"/>
            <w:noWrap/>
            <w:vAlign w:val="bottom"/>
          </w:tcPr>
          <w:p w14:paraId="6DC0E083" w14:textId="07B9B5A7"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17.7</w:t>
            </w:r>
          </w:p>
        </w:tc>
        <w:tc>
          <w:tcPr>
            <w:tcW w:w="1140" w:type="dxa"/>
            <w:tcBorders>
              <w:top w:val="nil"/>
              <w:left w:val="nil"/>
              <w:bottom w:val="single" w:sz="4" w:space="0" w:color="auto"/>
              <w:right w:val="single" w:sz="4" w:space="0" w:color="auto"/>
            </w:tcBorders>
            <w:shd w:val="clear" w:color="auto" w:fill="auto"/>
            <w:noWrap/>
            <w:vAlign w:val="bottom"/>
          </w:tcPr>
          <w:p w14:paraId="1B71E47F" w14:textId="7A7A6E4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14.6</w:t>
            </w:r>
          </w:p>
        </w:tc>
        <w:tc>
          <w:tcPr>
            <w:tcW w:w="854" w:type="dxa"/>
            <w:tcBorders>
              <w:top w:val="nil"/>
              <w:left w:val="nil"/>
              <w:bottom w:val="single" w:sz="4" w:space="0" w:color="auto"/>
              <w:right w:val="single" w:sz="4" w:space="0" w:color="auto"/>
            </w:tcBorders>
            <w:shd w:val="clear" w:color="auto" w:fill="auto"/>
            <w:noWrap/>
            <w:vAlign w:val="bottom"/>
          </w:tcPr>
          <w:p w14:paraId="7B57ACFB" w14:textId="45E4A25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39.5</w:t>
            </w:r>
          </w:p>
        </w:tc>
        <w:tc>
          <w:tcPr>
            <w:tcW w:w="1140" w:type="dxa"/>
            <w:tcBorders>
              <w:top w:val="nil"/>
              <w:left w:val="nil"/>
              <w:bottom w:val="single" w:sz="4" w:space="0" w:color="auto"/>
              <w:right w:val="single" w:sz="4" w:space="0" w:color="auto"/>
            </w:tcBorders>
            <w:shd w:val="clear" w:color="auto" w:fill="auto"/>
            <w:noWrap/>
            <w:vAlign w:val="bottom"/>
          </w:tcPr>
          <w:p w14:paraId="6D941902" w14:textId="6F3568E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41.6</w:t>
            </w:r>
          </w:p>
        </w:tc>
        <w:tc>
          <w:tcPr>
            <w:tcW w:w="1303" w:type="dxa"/>
            <w:tcBorders>
              <w:top w:val="nil"/>
              <w:left w:val="nil"/>
              <w:bottom w:val="single" w:sz="4" w:space="0" w:color="auto"/>
              <w:right w:val="single" w:sz="4" w:space="0" w:color="auto"/>
            </w:tcBorders>
            <w:shd w:val="clear" w:color="auto" w:fill="auto"/>
            <w:noWrap/>
            <w:vAlign w:val="bottom"/>
          </w:tcPr>
          <w:p w14:paraId="65905D6E" w14:textId="6F05683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38.4</w:t>
            </w:r>
          </w:p>
        </w:tc>
      </w:tr>
      <w:tr w:rsidR="007F5BE0" w:rsidRPr="00240E45" w14:paraId="7CD40345"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B66572" w14:textId="2D3E8E93" w:rsidR="007F5BE0" w:rsidRPr="007F5BE0" w:rsidRDefault="007F5BE0" w:rsidP="007F5BE0">
            <w:pPr>
              <w:spacing w:after="0" w:line="240" w:lineRule="auto"/>
              <w:jc w:val="center"/>
              <w:rPr>
                <w:rFonts w:ascii="Calibri" w:hAnsi="Calibri" w:cs="Calibri"/>
                <w:color w:val="0070C0"/>
                <w:sz w:val="18"/>
                <w:szCs w:val="18"/>
              </w:rPr>
            </w:pPr>
            <w:r w:rsidRPr="007F5BE0">
              <w:rPr>
                <w:rFonts w:ascii="Calibri" w:hAnsi="Calibri" w:cs="Calibri"/>
                <w:color w:val="0070C0"/>
                <w:sz w:val="18"/>
                <w:szCs w:val="18"/>
              </w:rPr>
              <w:t>890</w:t>
            </w:r>
          </w:p>
        </w:tc>
        <w:tc>
          <w:tcPr>
            <w:tcW w:w="3345" w:type="dxa"/>
            <w:tcBorders>
              <w:top w:val="nil"/>
              <w:left w:val="nil"/>
              <w:bottom w:val="single" w:sz="4" w:space="0" w:color="auto"/>
              <w:right w:val="single" w:sz="4" w:space="0" w:color="auto"/>
            </w:tcBorders>
            <w:shd w:val="clear" w:color="auto" w:fill="auto"/>
            <w:noWrap/>
            <w:vAlign w:val="bottom"/>
          </w:tcPr>
          <w:p w14:paraId="5F5E9696" w14:textId="48A013C7" w:rsidR="007F5BE0" w:rsidRPr="007F5BE0" w:rsidRDefault="007F5BE0" w:rsidP="007F5BE0">
            <w:pPr>
              <w:spacing w:after="0" w:line="240" w:lineRule="auto"/>
              <w:rPr>
                <w:rFonts w:ascii="Calibri" w:hAnsi="Calibri" w:cs="Calibri"/>
                <w:color w:val="000000"/>
                <w:sz w:val="18"/>
                <w:szCs w:val="18"/>
              </w:rPr>
            </w:pPr>
            <w:r w:rsidRPr="007F5BE0">
              <w:rPr>
                <w:rFonts w:ascii="Calibri" w:hAnsi="Calibri" w:cs="Calibri"/>
                <w:color w:val="000000"/>
                <w:sz w:val="18"/>
                <w:szCs w:val="18"/>
              </w:rPr>
              <w:t>Universidad Federal de Pelotas</w:t>
            </w:r>
          </w:p>
        </w:tc>
        <w:tc>
          <w:tcPr>
            <w:tcW w:w="993" w:type="dxa"/>
            <w:tcBorders>
              <w:top w:val="nil"/>
              <w:left w:val="nil"/>
              <w:bottom w:val="single" w:sz="4" w:space="0" w:color="auto"/>
              <w:right w:val="single" w:sz="4" w:space="0" w:color="auto"/>
            </w:tcBorders>
            <w:shd w:val="clear" w:color="auto" w:fill="auto"/>
            <w:noWrap/>
            <w:vAlign w:val="bottom"/>
          </w:tcPr>
          <w:p w14:paraId="4AC3DFF8" w14:textId="2E40C300" w:rsidR="007F5BE0" w:rsidRPr="007F5BE0" w:rsidRDefault="007F5BE0" w:rsidP="007F5BE0">
            <w:pPr>
              <w:spacing w:after="0" w:line="240" w:lineRule="auto"/>
              <w:jc w:val="center"/>
              <w:rPr>
                <w:rFonts w:ascii="Calibri" w:hAnsi="Calibri" w:cs="Calibri"/>
                <w:color w:val="000000"/>
                <w:sz w:val="18"/>
                <w:szCs w:val="18"/>
              </w:rPr>
            </w:pPr>
            <w:r w:rsidRPr="007F5BE0">
              <w:rPr>
                <w:rFonts w:ascii="Calibri" w:hAnsi="Calibri" w:cs="Calibri"/>
                <w:color w:val="000000"/>
                <w:sz w:val="18"/>
                <w:szCs w:val="18"/>
              </w:rPr>
              <w:t>Brasil</w:t>
            </w:r>
          </w:p>
        </w:tc>
        <w:tc>
          <w:tcPr>
            <w:tcW w:w="1073" w:type="dxa"/>
            <w:tcBorders>
              <w:top w:val="nil"/>
              <w:left w:val="nil"/>
              <w:bottom w:val="single" w:sz="4" w:space="0" w:color="auto"/>
              <w:right w:val="single" w:sz="4" w:space="0" w:color="auto"/>
            </w:tcBorders>
            <w:shd w:val="clear" w:color="auto" w:fill="auto"/>
            <w:noWrap/>
            <w:vAlign w:val="bottom"/>
          </w:tcPr>
          <w:p w14:paraId="57740103" w14:textId="74681F14" w:rsidR="007F5BE0" w:rsidRPr="007F5BE0" w:rsidRDefault="007F5BE0" w:rsidP="007F5BE0">
            <w:pPr>
              <w:spacing w:after="0" w:line="240" w:lineRule="auto"/>
              <w:jc w:val="center"/>
              <w:rPr>
                <w:rFonts w:ascii="Calibri" w:hAnsi="Calibri" w:cs="Calibri"/>
                <w:color w:val="0070C0"/>
                <w:sz w:val="18"/>
                <w:szCs w:val="18"/>
              </w:rPr>
            </w:pPr>
            <w:r w:rsidRPr="007F5BE0">
              <w:rPr>
                <w:rFonts w:ascii="Calibri" w:hAnsi="Calibri" w:cs="Calibri"/>
                <w:color w:val="0070C0"/>
                <w:sz w:val="18"/>
                <w:szCs w:val="18"/>
              </w:rPr>
              <w:t>25.6</w:t>
            </w:r>
          </w:p>
        </w:tc>
        <w:tc>
          <w:tcPr>
            <w:tcW w:w="1053" w:type="dxa"/>
            <w:tcBorders>
              <w:top w:val="nil"/>
              <w:left w:val="nil"/>
              <w:bottom w:val="single" w:sz="4" w:space="0" w:color="auto"/>
              <w:right w:val="single" w:sz="4" w:space="0" w:color="auto"/>
            </w:tcBorders>
            <w:shd w:val="clear" w:color="auto" w:fill="auto"/>
            <w:noWrap/>
            <w:vAlign w:val="bottom"/>
          </w:tcPr>
          <w:p w14:paraId="1857BAB7" w14:textId="597D2B2A" w:rsidR="007F5BE0" w:rsidRPr="007F5BE0" w:rsidRDefault="007F5BE0" w:rsidP="007F5BE0">
            <w:pPr>
              <w:spacing w:after="0" w:line="240" w:lineRule="auto"/>
              <w:jc w:val="center"/>
              <w:rPr>
                <w:rFonts w:ascii="Calibri" w:hAnsi="Calibri" w:cs="Calibri"/>
                <w:color w:val="000000"/>
                <w:sz w:val="18"/>
                <w:szCs w:val="18"/>
              </w:rPr>
            </w:pPr>
            <w:r w:rsidRPr="007F5BE0">
              <w:rPr>
                <w:rFonts w:ascii="Calibri" w:hAnsi="Calibri" w:cs="Calibri"/>
                <w:color w:val="000000"/>
                <w:sz w:val="18"/>
                <w:szCs w:val="18"/>
              </w:rPr>
              <w:t>17.9</w:t>
            </w:r>
          </w:p>
        </w:tc>
        <w:tc>
          <w:tcPr>
            <w:tcW w:w="1140" w:type="dxa"/>
            <w:tcBorders>
              <w:top w:val="nil"/>
              <w:left w:val="nil"/>
              <w:bottom w:val="single" w:sz="4" w:space="0" w:color="auto"/>
              <w:right w:val="single" w:sz="4" w:space="0" w:color="auto"/>
            </w:tcBorders>
            <w:shd w:val="clear" w:color="auto" w:fill="auto"/>
            <w:noWrap/>
            <w:vAlign w:val="bottom"/>
          </w:tcPr>
          <w:p w14:paraId="78A2C429" w14:textId="31EDCF7D" w:rsidR="007F5BE0" w:rsidRPr="007F5BE0" w:rsidRDefault="007F5BE0" w:rsidP="007F5BE0">
            <w:pPr>
              <w:spacing w:after="0" w:line="240" w:lineRule="auto"/>
              <w:jc w:val="center"/>
              <w:rPr>
                <w:rFonts w:ascii="Calibri" w:hAnsi="Calibri" w:cs="Calibri"/>
                <w:color w:val="000000"/>
                <w:sz w:val="18"/>
                <w:szCs w:val="18"/>
              </w:rPr>
            </w:pPr>
            <w:r w:rsidRPr="007F5BE0">
              <w:rPr>
                <w:rFonts w:ascii="Calibri" w:hAnsi="Calibri" w:cs="Calibri"/>
                <w:color w:val="000000"/>
                <w:sz w:val="18"/>
                <w:szCs w:val="18"/>
              </w:rPr>
              <w:t>11</w:t>
            </w:r>
          </w:p>
        </w:tc>
        <w:tc>
          <w:tcPr>
            <w:tcW w:w="854" w:type="dxa"/>
            <w:tcBorders>
              <w:top w:val="nil"/>
              <w:left w:val="nil"/>
              <w:bottom w:val="single" w:sz="4" w:space="0" w:color="auto"/>
              <w:right w:val="single" w:sz="4" w:space="0" w:color="auto"/>
            </w:tcBorders>
            <w:shd w:val="clear" w:color="auto" w:fill="auto"/>
            <w:noWrap/>
            <w:vAlign w:val="bottom"/>
          </w:tcPr>
          <w:p w14:paraId="174C5641" w14:textId="0B3DB11A" w:rsidR="007F5BE0" w:rsidRPr="007F5BE0" w:rsidRDefault="007F5BE0" w:rsidP="007F5BE0">
            <w:pPr>
              <w:spacing w:after="0" w:line="240" w:lineRule="auto"/>
              <w:jc w:val="center"/>
              <w:rPr>
                <w:rFonts w:ascii="Calibri" w:hAnsi="Calibri" w:cs="Calibri"/>
                <w:color w:val="000000"/>
                <w:sz w:val="18"/>
                <w:szCs w:val="18"/>
              </w:rPr>
            </w:pPr>
            <w:r w:rsidRPr="007F5BE0">
              <w:rPr>
                <w:rFonts w:ascii="Calibri" w:hAnsi="Calibri" w:cs="Calibri"/>
                <w:color w:val="000000"/>
                <w:sz w:val="18"/>
                <w:szCs w:val="18"/>
              </w:rPr>
              <w:t>48.6</w:t>
            </w:r>
          </w:p>
        </w:tc>
        <w:tc>
          <w:tcPr>
            <w:tcW w:w="1140" w:type="dxa"/>
            <w:tcBorders>
              <w:top w:val="nil"/>
              <w:left w:val="nil"/>
              <w:bottom w:val="single" w:sz="4" w:space="0" w:color="auto"/>
              <w:right w:val="single" w:sz="4" w:space="0" w:color="auto"/>
            </w:tcBorders>
            <w:shd w:val="clear" w:color="auto" w:fill="auto"/>
            <w:noWrap/>
            <w:vAlign w:val="bottom"/>
          </w:tcPr>
          <w:p w14:paraId="6695AABE" w14:textId="58BFD8E2" w:rsidR="007F5BE0" w:rsidRPr="007F5BE0" w:rsidRDefault="007F5BE0" w:rsidP="007F5BE0">
            <w:pPr>
              <w:spacing w:after="0" w:line="240" w:lineRule="auto"/>
              <w:jc w:val="center"/>
              <w:rPr>
                <w:rFonts w:ascii="Calibri" w:hAnsi="Calibri" w:cs="Calibri"/>
                <w:color w:val="000000"/>
                <w:sz w:val="18"/>
                <w:szCs w:val="18"/>
              </w:rPr>
            </w:pPr>
            <w:r w:rsidRPr="007F5BE0">
              <w:rPr>
                <w:rFonts w:ascii="Calibri" w:hAnsi="Calibri" w:cs="Calibri"/>
                <w:color w:val="000000"/>
                <w:sz w:val="18"/>
                <w:szCs w:val="18"/>
              </w:rPr>
              <w:t>20</w:t>
            </w:r>
          </w:p>
        </w:tc>
        <w:tc>
          <w:tcPr>
            <w:tcW w:w="1303" w:type="dxa"/>
            <w:tcBorders>
              <w:top w:val="nil"/>
              <w:left w:val="nil"/>
              <w:bottom w:val="single" w:sz="4" w:space="0" w:color="auto"/>
              <w:right w:val="single" w:sz="4" w:space="0" w:color="auto"/>
            </w:tcBorders>
            <w:shd w:val="clear" w:color="auto" w:fill="auto"/>
            <w:noWrap/>
            <w:vAlign w:val="bottom"/>
          </w:tcPr>
          <w:p w14:paraId="16C41E88" w14:textId="52F036E8" w:rsidR="007F5BE0" w:rsidRPr="007F5BE0" w:rsidRDefault="007F5BE0" w:rsidP="007F5BE0">
            <w:pPr>
              <w:spacing w:after="0" w:line="240" w:lineRule="auto"/>
              <w:jc w:val="center"/>
              <w:rPr>
                <w:rFonts w:ascii="Calibri" w:hAnsi="Calibri" w:cs="Calibri"/>
                <w:color w:val="000000"/>
                <w:sz w:val="18"/>
                <w:szCs w:val="18"/>
              </w:rPr>
            </w:pPr>
            <w:r w:rsidRPr="007F5BE0">
              <w:rPr>
                <w:rFonts w:ascii="Calibri" w:hAnsi="Calibri" w:cs="Calibri"/>
                <w:color w:val="000000"/>
                <w:sz w:val="18"/>
                <w:szCs w:val="18"/>
              </w:rPr>
              <w:t>34.4</w:t>
            </w:r>
          </w:p>
        </w:tc>
      </w:tr>
      <w:tr w:rsidR="007F5BE0" w:rsidRPr="00240E45" w14:paraId="5DF9DA50"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0A92352D" w14:textId="513295ED"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900</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260EB320" w14:textId="70C3A6C4"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Rey Juan Carlos</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1CFA99CF" w14:textId="16FA5539"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54EB631A" w14:textId="615B2814"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25.4</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6545D288" w14:textId="011D6DC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18.6</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42AA8F70" w14:textId="6108E49F"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10.8</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244D81F9" w14:textId="2D37A199"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40.9</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4C7FEF78" w14:textId="4A3F36DC"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45.5</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6312A968" w14:textId="76286C5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36.7</w:t>
            </w:r>
          </w:p>
        </w:tc>
      </w:tr>
      <w:tr w:rsidR="007F5BE0" w:rsidRPr="00240E45" w14:paraId="1794D985"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391F9B" w14:textId="56ED3D02"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905</w:t>
            </w:r>
          </w:p>
        </w:tc>
        <w:tc>
          <w:tcPr>
            <w:tcW w:w="3345" w:type="dxa"/>
            <w:tcBorders>
              <w:top w:val="nil"/>
              <w:left w:val="nil"/>
              <w:bottom w:val="single" w:sz="4" w:space="0" w:color="auto"/>
              <w:right w:val="single" w:sz="4" w:space="0" w:color="auto"/>
            </w:tcBorders>
            <w:shd w:val="clear" w:color="auto" w:fill="auto"/>
            <w:noWrap/>
            <w:vAlign w:val="bottom"/>
          </w:tcPr>
          <w:p w14:paraId="0B7E5068" w14:textId="4D484EEC"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Federal de Río Grande del Sur</w:t>
            </w:r>
          </w:p>
        </w:tc>
        <w:tc>
          <w:tcPr>
            <w:tcW w:w="993" w:type="dxa"/>
            <w:tcBorders>
              <w:top w:val="nil"/>
              <w:left w:val="nil"/>
              <w:bottom w:val="single" w:sz="4" w:space="0" w:color="auto"/>
              <w:right w:val="single" w:sz="4" w:space="0" w:color="auto"/>
            </w:tcBorders>
            <w:shd w:val="clear" w:color="auto" w:fill="auto"/>
            <w:noWrap/>
            <w:vAlign w:val="bottom"/>
          </w:tcPr>
          <w:p w14:paraId="07DF6A1F" w14:textId="6728DB2E"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Brasil</w:t>
            </w:r>
          </w:p>
        </w:tc>
        <w:tc>
          <w:tcPr>
            <w:tcW w:w="1073" w:type="dxa"/>
            <w:tcBorders>
              <w:top w:val="nil"/>
              <w:left w:val="nil"/>
              <w:bottom w:val="single" w:sz="4" w:space="0" w:color="auto"/>
              <w:right w:val="single" w:sz="4" w:space="0" w:color="auto"/>
            </w:tcBorders>
            <w:shd w:val="clear" w:color="auto" w:fill="auto"/>
            <w:noWrap/>
            <w:vAlign w:val="bottom"/>
          </w:tcPr>
          <w:p w14:paraId="20F6CD8D" w14:textId="72DF4B5C"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25.2</w:t>
            </w:r>
          </w:p>
        </w:tc>
        <w:tc>
          <w:tcPr>
            <w:tcW w:w="1053" w:type="dxa"/>
            <w:tcBorders>
              <w:top w:val="nil"/>
              <w:left w:val="nil"/>
              <w:bottom w:val="single" w:sz="4" w:space="0" w:color="auto"/>
              <w:right w:val="single" w:sz="4" w:space="0" w:color="auto"/>
            </w:tcBorders>
            <w:shd w:val="clear" w:color="auto" w:fill="auto"/>
            <w:noWrap/>
            <w:vAlign w:val="bottom"/>
          </w:tcPr>
          <w:p w14:paraId="37386D18" w14:textId="7B5AF105"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18.7</w:t>
            </w:r>
          </w:p>
        </w:tc>
        <w:tc>
          <w:tcPr>
            <w:tcW w:w="1140" w:type="dxa"/>
            <w:tcBorders>
              <w:top w:val="nil"/>
              <w:left w:val="nil"/>
              <w:bottom w:val="single" w:sz="4" w:space="0" w:color="auto"/>
              <w:right w:val="single" w:sz="4" w:space="0" w:color="auto"/>
            </w:tcBorders>
            <w:shd w:val="clear" w:color="auto" w:fill="auto"/>
            <w:noWrap/>
            <w:vAlign w:val="bottom"/>
          </w:tcPr>
          <w:p w14:paraId="0ABE0784" w14:textId="6ADD3C88"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13.5</w:t>
            </w:r>
          </w:p>
        </w:tc>
        <w:tc>
          <w:tcPr>
            <w:tcW w:w="854" w:type="dxa"/>
            <w:tcBorders>
              <w:top w:val="nil"/>
              <w:left w:val="nil"/>
              <w:bottom w:val="single" w:sz="4" w:space="0" w:color="auto"/>
              <w:right w:val="single" w:sz="4" w:space="0" w:color="auto"/>
            </w:tcBorders>
            <w:shd w:val="clear" w:color="auto" w:fill="auto"/>
            <w:noWrap/>
            <w:vAlign w:val="bottom"/>
          </w:tcPr>
          <w:p w14:paraId="3733059B" w14:textId="44682704"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41.1</w:t>
            </w:r>
          </w:p>
        </w:tc>
        <w:tc>
          <w:tcPr>
            <w:tcW w:w="1140" w:type="dxa"/>
            <w:tcBorders>
              <w:top w:val="nil"/>
              <w:left w:val="nil"/>
              <w:bottom w:val="single" w:sz="4" w:space="0" w:color="auto"/>
              <w:right w:val="single" w:sz="4" w:space="0" w:color="auto"/>
            </w:tcBorders>
            <w:shd w:val="clear" w:color="auto" w:fill="auto"/>
            <w:noWrap/>
            <w:vAlign w:val="bottom"/>
          </w:tcPr>
          <w:p w14:paraId="3B6ADD0E" w14:textId="6AAD96CC"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25.8</w:t>
            </w:r>
          </w:p>
        </w:tc>
        <w:tc>
          <w:tcPr>
            <w:tcW w:w="1303" w:type="dxa"/>
            <w:tcBorders>
              <w:top w:val="nil"/>
              <w:left w:val="nil"/>
              <w:bottom w:val="single" w:sz="4" w:space="0" w:color="auto"/>
              <w:right w:val="single" w:sz="4" w:space="0" w:color="auto"/>
            </w:tcBorders>
            <w:shd w:val="clear" w:color="auto" w:fill="auto"/>
            <w:noWrap/>
            <w:vAlign w:val="bottom"/>
          </w:tcPr>
          <w:p w14:paraId="0DAF4272" w14:textId="207F01DA"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49.7</w:t>
            </w:r>
          </w:p>
        </w:tc>
      </w:tr>
      <w:tr w:rsidR="007F5BE0" w:rsidRPr="00240E45" w14:paraId="0C2579FE"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44698F72" w14:textId="413D96CA"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910</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20B0D0DF" w14:textId="7A5E71CA"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Estatal Paulista</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3A49C74A" w14:textId="046D8211"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Brasil</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3B6F3847" w14:textId="065D520E"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25.1</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34CEBFD4" w14:textId="4521A30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34.4</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7AA1FF27" w14:textId="36770E84"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23</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33C684E3" w14:textId="1074BDCA"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16.8</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61E4CCE8" w14:textId="69A1AE12"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25.1</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2195D552" w14:textId="7A9FD183"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36.9</w:t>
            </w:r>
          </w:p>
        </w:tc>
      </w:tr>
      <w:tr w:rsidR="007F5BE0" w:rsidRPr="00240E45" w14:paraId="28C16D50"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C5B887" w14:textId="7EB455F2"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917</w:t>
            </w:r>
          </w:p>
        </w:tc>
        <w:tc>
          <w:tcPr>
            <w:tcW w:w="3345" w:type="dxa"/>
            <w:tcBorders>
              <w:top w:val="nil"/>
              <w:left w:val="nil"/>
              <w:bottom w:val="single" w:sz="4" w:space="0" w:color="auto"/>
              <w:right w:val="single" w:sz="4" w:space="0" w:color="auto"/>
            </w:tcBorders>
            <w:shd w:val="clear" w:color="auto" w:fill="auto"/>
            <w:noWrap/>
            <w:vAlign w:val="bottom"/>
          </w:tcPr>
          <w:p w14:paraId="0044CFD0" w14:textId="5380F793"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Cádiz</w:t>
            </w:r>
          </w:p>
        </w:tc>
        <w:tc>
          <w:tcPr>
            <w:tcW w:w="993" w:type="dxa"/>
            <w:tcBorders>
              <w:top w:val="nil"/>
              <w:left w:val="nil"/>
              <w:bottom w:val="single" w:sz="4" w:space="0" w:color="auto"/>
              <w:right w:val="single" w:sz="4" w:space="0" w:color="auto"/>
            </w:tcBorders>
            <w:shd w:val="clear" w:color="auto" w:fill="auto"/>
            <w:noWrap/>
            <w:vAlign w:val="bottom"/>
          </w:tcPr>
          <w:p w14:paraId="6AE51DF3" w14:textId="36AD46B3"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auto"/>
            <w:noWrap/>
            <w:vAlign w:val="bottom"/>
          </w:tcPr>
          <w:p w14:paraId="72BAE6BE" w14:textId="71CDDD53"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24.8</w:t>
            </w:r>
          </w:p>
        </w:tc>
        <w:tc>
          <w:tcPr>
            <w:tcW w:w="1053" w:type="dxa"/>
            <w:tcBorders>
              <w:top w:val="nil"/>
              <w:left w:val="nil"/>
              <w:bottom w:val="single" w:sz="4" w:space="0" w:color="auto"/>
              <w:right w:val="single" w:sz="4" w:space="0" w:color="auto"/>
            </w:tcBorders>
            <w:shd w:val="clear" w:color="auto" w:fill="auto"/>
            <w:noWrap/>
            <w:vAlign w:val="bottom"/>
          </w:tcPr>
          <w:p w14:paraId="0732EBCE" w14:textId="01B0B3E4"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27</w:t>
            </w:r>
          </w:p>
        </w:tc>
        <w:tc>
          <w:tcPr>
            <w:tcW w:w="1140" w:type="dxa"/>
            <w:tcBorders>
              <w:top w:val="nil"/>
              <w:left w:val="nil"/>
              <w:bottom w:val="single" w:sz="4" w:space="0" w:color="auto"/>
              <w:right w:val="single" w:sz="4" w:space="0" w:color="auto"/>
            </w:tcBorders>
            <w:shd w:val="clear" w:color="auto" w:fill="auto"/>
            <w:noWrap/>
            <w:vAlign w:val="bottom"/>
          </w:tcPr>
          <w:p w14:paraId="478CFD26" w14:textId="72F1D35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14.8</w:t>
            </w:r>
          </w:p>
        </w:tc>
        <w:tc>
          <w:tcPr>
            <w:tcW w:w="854" w:type="dxa"/>
            <w:tcBorders>
              <w:top w:val="nil"/>
              <w:left w:val="nil"/>
              <w:bottom w:val="single" w:sz="4" w:space="0" w:color="auto"/>
              <w:right w:val="single" w:sz="4" w:space="0" w:color="auto"/>
            </w:tcBorders>
            <w:shd w:val="clear" w:color="auto" w:fill="auto"/>
            <w:noWrap/>
            <w:vAlign w:val="bottom"/>
          </w:tcPr>
          <w:p w14:paraId="06D8874E" w14:textId="4244D20C"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28.7</w:t>
            </w:r>
          </w:p>
        </w:tc>
        <w:tc>
          <w:tcPr>
            <w:tcW w:w="1140" w:type="dxa"/>
            <w:tcBorders>
              <w:top w:val="nil"/>
              <w:left w:val="nil"/>
              <w:bottom w:val="single" w:sz="4" w:space="0" w:color="auto"/>
              <w:right w:val="single" w:sz="4" w:space="0" w:color="auto"/>
            </w:tcBorders>
            <w:shd w:val="clear" w:color="auto" w:fill="auto"/>
            <w:noWrap/>
            <w:vAlign w:val="bottom"/>
          </w:tcPr>
          <w:p w14:paraId="3BCB6F69" w14:textId="653AFE6F"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36.4</w:t>
            </w:r>
          </w:p>
        </w:tc>
        <w:tc>
          <w:tcPr>
            <w:tcW w:w="1303" w:type="dxa"/>
            <w:tcBorders>
              <w:top w:val="nil"/>
              <w:left w:val="nil"/>
              <w:bottom w:val="single" w:sz="4" w:space="0" w:color="auto"/>
              <w:right w:val="single" w:sz="4" w:space="0" w:color="auto"/>
            </w:tcBorders>
            <w:shd w:val="clear" w:color="auto" w:fill="auto"/>
            <w:noWrap/>
            <w:vAlign w:val="bottom"/>
          </w:tcPr>
          <w:p w14:paraId="067DF234" w14:textId="233FCDA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35.9</w:t>
            </w:r>
          </w:p>
        </w:tc>
      </w:tr>
      <w:tr w:rsidR="007F5BE0" w:rsidRPr="00240E45" w14:paraId="689B4351"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1F8B6749" w14:textId="2CA84B20"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928</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42063176" w14:textId="4EE17071"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Évora</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02A462D3" w14:textId="5207F5FA"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Portugal</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776FDBCA" w14:textId="0B16A7E9"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24.6</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194FDBDC" w14:textId="7F3447E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19.6</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27B23AB3" w14:textId="13B7FE0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14.6</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7B82AC35" w14:textId="14983B1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31.3</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5F155C85" w14:textId="2F209DB4"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53.7</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518B507A" w14:textId="114ED7E3"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35.6</w:t>
            </w:r>
          </w:p>
        </w:tc>
      </w:tr>
      <w:tr w:rsidR="007F5BE0" w:rsidRPr="00240E45" w14:paraId="43C70777"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7262F4" w14:textId="2068088B"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930</w:t>
            </w:r>
          </w:p>
        </w:tc>
        <w:tc>
          <w:tcPr>
            <w:tcW w:w="3345" w:type="dxa"/>
            <w:tcBorders>
              <w:top w:val="nil"/>
              <w:left w:val="nil"/>
              <w:bottom w:val="single" w:sz="4" w:space="0" w:color="auto"/>
              <w:right w:val="single" w:sz="4" w:space="0" w:color="auto"/>
            </w:tcBorders>
            <w:shd w:val="clear" w:color="auto" w:fill="auto"/>
            <w:noWrap/>
            <w:vAlign w:val="bottom"/>
          </w:tcPr>
          <w:p w14:paraId="6A4AED06" w14:textId="28C10C77"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Instituto Politécnico de Porto</w:t>
            </w:r>
          </w:p>
        </w:tc>
        <w:tc>
          <w:tcPr>
            <w:tcW w:w="993" w:type="dxa"/>
            <w:tcBorders>
              <w:top w:val="nil"/>
              <w:left w:val="nil"/>
              <w:bottom w:val="single" w:sz="4" w:space="0" w:color="auto"/>
              <w:right w:val="single" w:sz="4" w:space="0" w:color="auto"/>
            </w:tcBorders>
            <w:shd w:val="clear" w:color="auto" w:fill="auto"/>
            <w:noWrap/>
            <w:vAlign w:val="bottom"/>
          </w:tcPr>
          <w:p w14:paraId="5773FCD5" w14:textId="7B69F10C"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Portugal</w:t>
            </w:r>
          </w:p>
        </w:tc>
        <w:tc>
          <w:tcPr>
            <w:tcW w:w="1073" w:type="dxa"/>
            <w:tcBorders>
              <w:top w:val="nil"/>
              <w:left w:val="nil"/>
              <w:bottom w:val="single" w:sz="4" w:space="0" w:color="auto"/>
              <w:right w:val="single" w:sz="4" w:space="0" w:color="auto"/>
            </w:tcBorders>
            <w:shd w:val="clear" w:color="auto" w:fill="auto"/>
            <w:noWrap/>
            <w:vAlign w:val="bottom"/>
          </w:tcPr>
          <w:p w14:paraId="17B768AC" w14:textId="0AEBFD69"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24.5</w:t>
            </w:r>
          </w:p>
        </w:tc>
        <w:tc>
          <w:tcPr>
            <w:tcW w:w="1053" w:type="dxa"/>
            <w:tcBorders>
              <w:top w:val="nil"/>
              <w:left w:val="nil"/>
              <w:bottom w:val="single" w:sz="4" w:space="0" w:color="auto"/>
              <w:right w:val="single" w:sz="4" w:space="0" w:color="auto"/>
            </w:tcBorders>
            <w:shd w:val="clear" w:color="auto" w:fill="auto"/>
            <w:noWrap/>
            <w:vAlign w:val="bottom"/>
          </w:tcPr>
          <w:p w14:paraId="72375A89" w14:textId="1A6551A8"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13.5</w:t>
            </w:r>
          </w:p>
        </w:tc>
        <w:tc>
          <w:tcPr>
            <w:tcW w:w="1140" w:type="dxa"/>
            <w:tcBorders>
              <w:top w:val="nil"/>
              <w:left w:val="nil"/>
              <w:bottom w:val="single" w:sz="4" w:space="0" w:color="auto"/>
              <w:right w:val="single" w:sz="4" w:space="0" w:color="auto"/>
            </w:tcBorders>
            <w:shd w:val="clear" w:color="auto" w:fill="auto"/>
            <w:noWrap/>
            <w:vAlign w:val="bottom"/>
          </w:tcPr>
          <w:p w14:paraId="5099219F" w14:textId="3BFA497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8.7</w:t>
            </w:r>
          </w:p>
        </w:tc>
        <w:tc>
          <w:tcPr>
            <w:tcW w:w="854" w:type="dxa"/>
            <w:tcBorders>
              <w:top w:val="nil"/>
              <w:left w:val="nil"/>
              <w:bottom w:val="single" w:sz="4" w:space="0" w:color="auto"/>
              <w:right w:val="single" w:sz="4" w:space="0" w:color="auto"/>
            </w:tcBorders>
            <w:shd w:val="clear" w:color="auto" w:fill="auto"/>
            <w:noWrap/>
            <w:vAlign w:val="bottom"/>
          </w:tcPr>
          <w:p w14:paraId="1DABA150" w14:textId="0BE10CE3"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48.5</w:t>
            </w:r>
          </w:p>
        </w:tc>
        <w:tc>
          <w:tcPr>
            <w:tcW w:w="1140" w:type="dxa"/>
            <w:tcBorders>
              <w:top w:val="nil"/>
              <w:left w:val="nil"/>
              <w:bottom w:val="single" w:sz="4" w:space="0" w:color="auto"/>
              <w:right w:val="single" w:sz="4" w:space="0" w:color="auto"/>
            </w:tcBorders>
            <w:shd w:val="clear" w:color="auto" w:fill="auto"/>
            <w:noWrap/>
            <w:vAlign w:val="bottom"/>
          </w:tcPr>
          <w:p w14:paraId="5C5837A7" w14:textId="53B80BD9"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32.8</w:t>
            </w:r>
          </w:p>
        </w:tc>
        <w:tc>
          <w:tcPr>
            <w:tcW w:w="1303" w:type="dxa"/>
            <w:tcBorders>
              <w:top w:val="nil"/>
              <w:left w:val="nil"/>
              <w:bottom w:val="single" w:sz="4" w:space="0" w:color="auto"/>
              <w:right w:val="single" w:sz="4" w:space="0" w:color="auto"/>
            </w:tcBorders>
            <w:shd w:val="clear" w:color="auto" w:fill="auto"/>
            <w:noWrap/>
            <w:vAlign w:val="bottom"/>
          </w:tcPr>
          <w:p w14:paraId="3F5BE759" w14:textId="56AB643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34.6</w:t>
            </w:r>
          </w:p>
        </w:tc>
      </w:tr>
      <w:tr w:rsidR="007F5BE0" w:rsidRPr="00240E45" w14:paraId="7877C344"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45763AAB" w14:textId="1FCB1169"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933</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63B5952D" w14:textId="41152D39"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Murcia</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4828BE22" w14:textId="6D143B7A"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5E12EF93" w14:textId="3337E615"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24.4</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177DB059" w14:textId="02828EE5"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22.3</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4BE306EB" w14:textId="65B0A3C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13.8</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5F8D553D" w14:textId="44891404"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32.6</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4C0BE644" w14:textId="59D1C9CC"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38.5</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7F8DA820" w14:textId="603789F9"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35.9</w:t>
            </w:r>
          </w:p>
        </w:tc>
      </w:tr>
      <w:tr w:rsidR="007F5BE0" w:rsidRPr="00240E45" w14:paraId="5E7C112E"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8AFA6C" w14:textId="33EACA26"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941</w:t>
            </w:r>
          </w:p>
        </w:tc>
        <w:tc>
          <w:tcPr>
            <w:tcW w:w="3345" w:type="dxa"/>
            <w:tcBorders>
              <w:top w:val="nil"/>
              <w:left w:val="nil"/>
              <w:bottom w:val="single" w:sz="4" w:space="0" w:color="auto"/>
              <w:right w:val="single" w:sz="4" w:space="0" w:color="auto"/>
            </w:tcBorders>
            <w:shd w:val="clear" w:color="auto" w:fill="auto"/>
            <w:noWrap/>
            <w:vAlign w:val="bottom"/>
          </w:tcPr>
          <w:p w14:paraId="5FB5B84E" w14:textId="01C24755"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Técnica Federico Santa María</w:t>
            </w:r>
          </w:p>
        </w:tc>
        <w:tc>
          <w:tcPr>
            <w:tcW w:w="993" w:type="dxa"/>
            <w:tcBorders>
              <w:top w:val="nil"/>
              <w:left w:val="nil"/>
              <w:bottom w:val="single" w:sz="4" w:space="0" w:color="auto"/>
              <w:right w:val="single" w:sz="4" w:space="0" w:color="auto"/>
            </w:tcBorders>
            <w:shd w:val="clear" w:color="auto" w:fill="auto"/>
            <w:noWrap/>
            <w:vAlign w:val="bottom"/>
          </w:tcPr>
          <w:p w14:paraId="596C7595" w14:textId="04543392"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Chile</w:t>
            </w:r>
          </w:p>
        </w:tc>
        <w:tc>
          <w:tcPr>
            <w:tcW w:w="1073" w:type="dxa"/>
            <w:tcBorders>
              <w:top w:val="nil"/>
              <w:left w:val="nil"/>
              <w:bottom w:val="single" w:sz="4" w:space="0" w:color="auto"/>
              <w:right w:val="single" w:sz="4" w:space="0" w:color="auto"/>
            </w:tcBorders>
            <w:shd w:val="clear" w:color="auto" w:fill="auto"/>
            <w:noWrap/>
            <w:vAlign w:val="bottom"/>
          </w:tcPr>
          <w:p w14:paraId="30E7A886" w14:textId="36571E05"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24.3</w:t>
            </w:r>
          </w:p>
        </w:tc>
        <w:tc>
          <w:tcPr>
            <w:tcW w:w="1053" w:type="dxa"/>
            <w:tcBorders>
              <w:top w:val="nil"/>
              <w:left w:val="nil"/>
              <w:bottom w:val="single" w:sz="4" w:space="0" w:color="auto"/>
              <w:right w:val="single" w:sz="4" w:space="0" w:color="auto"/>
            </w:tcBorders>
            <w:shd w:val="clear" w:color="auto" w:fill="auto"/>
            <w:noWrap/>
            <w:vAlign w:val="bottom"/>
          </w:tcPr>
          <w:p w14:paraId="4238FCE3" w14:textId="4727868C"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13.6</w:t>
            </w:r>
          </w:p>
        </w:tc>
        <w:tc>
          <w:tcPr>
            <w:tcW w:w="1140" w:type="dxa"/>
            <w:tcBorders>
              <w:top w:val="nil"/>
              <w:left w:val="nil"/>
              <w:bottom w:val="single" w:sz="4" w:space="0" w:color="auto"/>
              <w:right w:val="single" w:sz="4" w:space="0" w:color="auto"/>
            </w:tcBorders>
            <w:shd w:val="clear" w:color="auto" w:fill="auto"/>
            <w:noWrap/>
            <w:vAlign w:val="bottom"/>
          </w:tcPr>
          <w:p w14:paraId="1F4A72FF" w14:textId="526195C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9.8</w:t>
            </w:r>
          </w:p>
        </w:tc>
        <w:tc>
          <w:tcPr>
            <w:tcW w:w="854" w:type="dxa"/>
            <w:tcBorders>
              <w:top w:val="nil"/>
              <w:left w:val="nil"/>
              <w:bottom w:val="single" w:sz="4" w:space="0" w:color="auto"/>
              <w:right w:val="single" w:sz="4" w:space="0" w:color="auto"/>
            </w:tcBorders>
            <w:shd w:val="clear" w:color="auto" w:fill="auto"/>
            <w:noWrap/>
            <w:vAlign w:val="bottom"/>
          </w:tcPr>
          <w:p w14:paraId="062A7503" w14:textId="04BCDDBA"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40.2</w:t>
            </w:r>
          </w:p>
        </w:tc>
        <w:tc>
          <w:tcPr>
            <w:tcW w:w="1140" w:type="dxa"/>
            <w:tcBorders>
              <w:top w:val="nil"/>
              <w:left w:val="nil"/>
              <w:bottom w:val="single" w:sz="4" w:space="0" w:color="auto"/>
              <w:right w:val="single" w:sz="4" w:space="0" w:color="auto"/>
            </w:tcBorders>
            <w:shd w:val="clear" w:color="auto" w:fill="auto"/>
            <w:noWrap/>
            <w:vAlign w:val="bottom"/>
          </w:tcPr>
          <w:p w14:paraId="25D7956F" w14:textId="5C92CC89"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54.5</w:t>
            </w:r>
          </w:p>
        </w:tc>
        <w:tc>
          <w:tcPr>
            <w:tcW w:w="1303" w:type="dxa"/>
            <w:tcBorders>
              <w:top w:val="nil"/>
              <w:left w:val="nil"/>
              <w:bottom w:val="single" w:sz="4" w:space="0" w:color="auto"/>
              <w:right w:val="single" w:sz="4" w:space="0" w:color="auto"/>
            </w:tcBorders>
            <w:shd w:val="clear" w:color="auto" w:fill="auto"/>
            <w:noWrap/>
            <w:vAlign w:val="bottom"/>
          </w:tcPr>
          <w:p w14:paraId="5A8C96A5" w14:textId="06BD84C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44.9</w:t>
            </w:r>
          </w:p>
        </w:tc>
      </w:tr>
      <w:tr w:rsidR="007F5BE0" w:rsidRPr="00240E45" w14:paraId="2F8F85B1"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58ABF85D" w14:textId="24240DDD"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950</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5863DBC7" w14:textId="7C62627A"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La Frontera</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09F352E3" w14:textId="04371B76"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Chile</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56BF9007" w14:textId="1BD163E9"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24.0</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0E0533EA" w14:textId="4AF297E4"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15.1</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78A5438A" w14:textId="57B9F32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16</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771CF36D" w14:textId="13B1D32C"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34</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2CB384D3" w14:textId="27FEF4B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47.9</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7DFB5F9A" w14:textId="7AFEA6A8"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34.5</w:t>
            </w:r>
          </w:p>
        </w:tc>
      </w:tr>
      <w:tr w:rsidR="007F5BE0" w:rsidRPr="00240E45" w14:paraId="2D8CF1F2"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089CC3" w14:textId="0DC78E11"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954</w:t>
            </w:r>
          </w:p>
        </w:tc>
        <w:tc>
          <w:tcPr>
            <w:tcW w:w="3345" w:type="dxa"/>
            <w:tcBorders>
              <w:top w:val="nil"/>
              <w:left w:val="nil"/>
              <w:bottom w:val="single" w:sz="4" w:space="0" w:color="auto"/>
              <w:right w:val="single" w:sz="4" w:space="0" w:color="auto"/>
            </w:tcBorders>
            <w:shd w:val="clear" w:color="auto" w:fill="auto"/>
            <w:noWrap/>
            <w:vAlign w:val="bottom"/>
          </w:tcPr>
          <w:p w14:paraId="5572A6ED" w14:textId="4AE75555"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Universidade de Trás-os-Montes e Alto Douro</w:t>
            </w:r>
          </w:p>
        </w:tc>
        <w:tc>
          <w:tcPr>
            <w:tcW w:w="993" w:type="dxa"/>
            <w:tcBorders>
              <w:top w:val="nil"/>
              <w:left w:val="nil"/>
              <w:bottom w:val="single" w:sz="4" w:space="0" w:color="auto"/>
              <w:right w:val="single" w:sz="4" w:space="0" w:color="auto"/>
            </w:tcBorders>
            <w:shd w:val="clear" w:color="auto" w:fill="auto"/>
            <w:noWrap/>
            <w:vAlign w:val="bottom"/>
          </w:tcPr>
          <w:p w14:paraId="2A7AB3E1" w14:textId="42239626"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Portugal</w:t>
            </w:r>
          </w:p>
        </w:tc>
        <w:tc>
          <w:tcPr>
            <w:tcW w:w="1073" w:type="dxa"/>
            <w:tcBorders>
              <w:top w:val="nil"/>
              <w:left w:val="nil"/>
              <w:bottom w:val="single" w:sz="4" w:space="0" w:color="auto"/>
              <w:right w:val="single" w:sz="4" w:space="0" w:color="auto"/>
            </w:tcBorders>
            <w:shd w:val="clear" w:color="auto" w:fill="auto"/>
            <w:noWrap/>
            <w:vAlign w:val="bottom"/>
          </w:tcPr>
          <w:p w14:paraId="40539A27" w14:textId="4DF97EB6"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23.9</w:t>
            </w:r>
          </w:p>
        </w:tc>
        <w:tc>
          <w:tcPr>
            <w:tcW w:w="1053" w:type="dxa"/>
            <w:tcBorders>
              <w:top w:val="nil"/>
              <w:left w:val="nil"/>
              <w:bottom w:val="single" w:sz="4" w:space="0" w:color="auto"/>
              <w:right w:val="single" w:sz="4" w:space="0" w:color="auto"/>
            </w:tcBorders>
            <w:shd w:val="clear" w:color="auto" w:fill="auto"/>
            <w:noWrap/>
            <w:vAlign w:val="bottom"/>
          </w:tcPr>
          <w:p w14:paraId="624D94B8" w14:textId="777EDA57"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21.2</w:t>
            </w:r>
          </w:p>
        </w:tc>
        <w:tc>
          <w:tcPr>
            <w:tcW w:w="1140" w:type="dxa"/>
            <w:tcBorders>
              <w:top w:val="nil"/>
              <w:left w:val="nil"/>
              <w:bottom w:val="single" w:sz="4" w:space="0" w:color="auto"/>
              <w:right w:val="single" w:sz="4" w:space="0" w:color="auto"/>
            </w:tcBorders>
            <w:shd w:val="clear" w:color="auto" w:fill="auto"/>
            <w:noWrap/>
            <w:vAlign w:val="bottom"/>
          </w:tcPr>
          <w:p w14:paraId="554F4CC8" w14:textId="588B2DB8"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13.9</w:t>
            </w:r>
          </w:p>
        </w:tc>
        <w:tc>
          <w:tcPr>
            <w:tcW w:w="854" w:type="dxa"/>
            <w:tcBorders>
              <w:top w:val="nil"/>
              <w:left w:val="nil"/>
              <w:bottom w:val="single" w:sz="4" w:space="0" w:color="auto"/>
              <w:right w:val="single" w:sz="4" w:space="0" w:color="auto"/>
            </w:tcBorders>
            <w:shd w:val="clear" w:color="auto" w:fill="auto"/>
            <w:noWrap/>
            <w:vAlign w:val="bottom"/>
          </w:tcPr>
          <w:p w14:paraId="5E416ABF" w14:textId="6E65DE42"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32.3</w:t>
            </w:r>
          </w:p>
        </w:tc>
        <w:tc>
          <w:tcPr>
            <w:tcW w:w="1140" w:type="dxa"/>
            <w:tcBorders>
              <w:top w:val="nil"/>
              <w:left w:val="nil"/>
              <w:bottom w:val="single" w:sz="4" w:space="0" w:color="auto"/>
              <w:right w:val="single" w:sz="4" w:space="0" w:color="auto"/>
            </w:tcBorders>
            <w:shd w:val="clear" w:color="auto" w:fill="auto"/>
            <w:noWrap/>
            <w:vAlign w:val="bottom"/>
          </w:tcPr>
          <w:p w14:paraId="0EA91647" w14:textId="550C71D4"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37.5</w:t>
            </w:r>
          </w:p>
        </w:tc>
        <w:tc>
          <w:tcPr>
            <w:tcW w:w="1303" w:type="dxa"/>
            <w:tcBorders>
              <w:top w:val="nil"/>
              <w:left w:val="nil"/>
              <w:bottom w:val="single" w:sz="4" w:space="0" w:color="auto"/>
              <w:right w:val="single" w:sz="4" w:space="0" w:color="auto"/>
            </w:tcBorders>
            <w:shd w:val="clear" w:color="auto" w:fill="auto"/>
            <w:noWrap/>
            <w:vAlign w:val="bottom"/>
          </w:tcPr>
          <w:p w14:paraId="07C8630F" w14:textId="5977A29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34.4</w:t>
            </w:r>
          </w:p>
        </w:tc>
      </w:tr>
      <w:tr w:rsidR="007F5BE0" w:rsidRPr="00240E45" w14:paraId="6DEFD197" w14:textId="77777777" w:rsidTr="007F5BE0">
        <w:trPr>
          <w:trHeight w:val="302"/>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132A8CEF" w14:textId="03F4E063"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962</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626D7341" w14:textId="0C2467BD"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Jaén</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1BEB7AED" w14:textId="52DEAD7B"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33D7A8AB" w14:textId="22753219"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23.5</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736E8867" w14:textId="050FA58E"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16.7</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7273C0EA" w14:textId="444EDC1A"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14.1</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5DBCC79E" w14:textId="205EAF08"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34.7</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2E42E6EB" w14:textId="6B6D9AB9"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38.8</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57A19C23" w14:textId="66D59CB9"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35.8</w:t>
            </w:r>
          </w:p>
        </w:tc>
      </w:tr>
      <w:tr w:rsidR="007F5BE0" w:rsidRPr="00240E45" w14:paraId="5B486078"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4876C2" w14:textId="5595749D"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964</w:t>
            </w:r>
          </w:p>
        </w:tc>
        <w:tc>
          <w:tcPr>
            <w:tcW w:w="3345" w:type="dxa"/>
            <w:tcBorders>
              <w:top w:val="nil"/>
              <w:left w:val="nil"/>
              <w:bottom w:val="single" w:sz="4" w:space="0" w:color="auto"/>
              <w:right w:val="single" w:sz="4" w:space="0" w:color="auto"/>
            </w:tcBorders>
            <w:shd w:val="clear" w:color="auto" w:fill="auto"/>
            <w:noWrap/>
            <w:vAlign w:val="bottom"/>
          </w:tcPr>
          <w:p w14:paraId="0B00AF58" w14:textId="7683EA4C"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Málaga</w:t>
            </w:r>
          </w:p>
        </w:tc>
        <w:tc>
          <w:tcPr>
            <w:tcW w:w="993" w:type="dxa"/>
            <w:tcBorders>
              <w:top w:val="nil"/>
              <w:left w:val="nil"/>
              <w:bottom w:val="single" w:sz="4" w:space="0" w:color="auto"/>
              <w:right w:val="single" w:sz="4" w:space="0" w:color="auto"/>
            </w:tcBorders>
            <w:shd w:val="clear" w:color="auto" w:fill="auto"/>
            <w:noWrap/>
            <w:vAlign w:val="bottom"/>
          </w:tcPr>
          <w:p w14:paraId="345385A8" w14:textId="18063A36"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auto"/>
            <w:noWrap/>
            <w:vAlign w:val="bottom"/>
          </w:tcPr>
          <w:p w14:paraId="033B4AD6" w14:textId="43C34FE6"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23.4</w:t>
            </w:r>
          </w:p>
        </w:tc>
        <w:tc>
          <w:tcPr>
            <w:tcW w:w="1053" w:type="dxa"/>
            <w:tcBorders>
              <w:top w:val="nil"/>
              <w:left w:val="nil"/>
              <w:bottom w:val="single" w:sz="4" w:space="0" w:color="auto"/>
              <w:right w:val="single" w:sz="4" w:space="0" w:color="auto"/>
            </w:tcBorders>
            <w:shd w:val="clear" w:color="auto" w:fill="auto"/>
            <w:noWrap/>
            <w:vAlign w:val="bottom"/>
          </w:tcPr>
          <w:p w14:paraId="14B2AE30" w14:textId="36DD07C4"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20.1</w:t>
            </w:r>
          </w:p>
        </w:tc>
        <w:tc>
          <w:tcPr>
            <w:tcW w:w="1140" w:type="dxa"/>
            <w:tcBorders>
              <w:top w:val="nil"/>
              <w:left w:val="nil"/>
              <w:bottom w:val="single" w:sz="4" w:space="0" w:color="auto"/>
              <w:right w:val="single" w:sz="4" w:space="0" w:color="auto"/>
            </w:tcBorders>
            <w:shd w:val="clear" w:color="auto" w:fill="auto"/>
            <w:noWrap/>
            <w:vAlign w:val="bottom"/>
          </w:tcPr>
          <w:p w14:paraId="25D134FE" w14:textId="587FC28B"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11.5</w:t>
            </w:r>
          </w:p>
        </w:tc>
        <w:tc>
          <w:tcPr>
            <w:tcW w:w="854" w:type="dxa"/>
            <w:tcBorders>
              <w:top w:val="nil"/>
              <w:left w:val="nil"/>
              <w:bottom w:val="single" w:sz="4" w:space="0" w:color="auto"/>
              <w:right w:val="single" w:sz="4" w:space="0" w:color="auto"/>
            </w:tcBorders>
            <w:shd w:val="clear" w:color="auto" w:fill="auto"/>
            <w:noWrap/>
            <w:vAlign w:val="bottom"/>
          </w:tcPr>
          <w:p w14:paraId="65EABEAD" w14:textId="38572E41"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33.1</w:t>
            </w:r>
          </w:p>
        </w:tc>
        <w:tc>
          <w:tcPr>
            <w:tcW w:w="1140" w:type="dxa"/>
            <w:tcBorders>
              <w:top w:val="nil"/>
              <w:left w:val="nil"/>
              <w:bottom w:val="single" w:sz="4" w:space="0" w:color="auto"/>
              <w:right w:val="single" w:sz="4" w:space="0" w:color="auto"/>
            </w:tcBorders>
            <w:shd w:val="clear" w:color="auto" w:fill="auto"/>
            <w:noWrap/>
            <w:vAlign w:val="bottom"/>
          </w:tcPr>
          <w:p w14:paraId="79A1DAD8" w14:textId="039652B4"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41.2</w:t>
            </w:r>
          </w:p>
        </w:tc>
        <w:tc>
          <w:tcPr>
            <w:tcW w:w="1303" w:type="dxa"/>
            <w:tcBorders>
              <w:top w:val="nil"/>
              <w:left w:val="nil"/>
              <w:bottom w:val="single" w:sz="4" w:space="0" w:color="auto"/>
              <w:right w:val="single" w:sz="4" w:space="0" w:color="auto"/>
            </w:tcBorders>
            <w:shd w:val="clear" w:color="auto" w:fill="auto"/>
            <w:noWrap/>
            <w:vAlign w:val="bottom"/>
          </w:tcPr>
          <w:p w14:paraId="5155952B" w14:textId="38EF63C3"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36.2</w:t>
            </w:r>
          </w:p>
        </w:tc>
      </w:tr>
      <w:tr w:rsidR="007F5BE0" w:rsidRPr="00240E45" w14:paraId="0C015D32"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02A9D13C" w14:textId="02194D10"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lastRenderedPageBreak/>
              <w:t>969</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47CCA504" w14:textId="753124D8"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La Coruña</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10E36978" w14:textId="5EE714FC"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7F51D0FE" w14:textId="0AA8D180"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23.2</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00CBAD84" w14:textId="0979D26D"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20.3</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20CC6391" w14:textId="218A588C"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13.7</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5C147782" w14:textId="5373A822"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32.5</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1839A6A9" w14:textId="1705FFD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31.6</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76BB56E4" w14:textId="5C3391C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36.3</w:t>
            </w:r>
          </w:p>
        </w:tc>
      </w:tr>
      <w:tr w:rsidR="007F5BE0" w:rsidRPr="00240E45" w14:paraId="19B71AE8" w14:textId="77777777" w:rsidTr="007F5BE0">
        <w:trPr>
          <w:trHeight w:val="248"/>
          <w:jc w:val="center"/>
        </w:trPr>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60FE17" w14:textId="6E7FE5C3"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970</w:t>
            </w:r>
          </w:p>
        </w:tc>
        <w:tc>
          <w:tcPr>
            <w:tcW w:w="3345" w:type="dxa"/>
            <w:tcBorders>
              <w:top w:val="nil"/>
              <w:left w:val="nil"/>
              <w:bottom w:val="single" w:sz="4" w:space="0" w:color="auto"/>
              <w:right w:val="single" w:sz="4" w:space="0" w:color="auto"/>
            </w:tcBorders>
            <w:shd w:val="clear" w:color="auto" w:fill="auto"/>
            <w:noWrap/>
            <w:vAlign w:val="bottom"/>
          </w:tcPr>
          <w:p w14:paraId="4300714D" w14:textId="45E42A80"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Pontificia Universidad Católica del Perú</w:t>
            </w:r>
          </w:p>
        </w:tc>
        <w:tc>
          <w:tcPr>
            <w:tcW w:w="993" w:type="dxa"/>
            <w:tcBorders>
              <w:top w:val="nil"/>
              <w:left w:val="nil"/>
              <w:bottom w:val="single" w:sz="4" w:space="0" w:color="auto"/>
              <w:right w:val="single" w:sz="4" w:space="0" w:color="auto"/>
            </w:tcBorders>
            <w:shd w:val="clear" w:color="auto" w:fill="auto"/>
            <w:noWrap/>
            <w:vAlign w:val="bottom"/>
          </w:tcPr>
          <w:p w14:paraId="0307729D" w14:textId="61474F70"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Perú</w:t>
            </w:r>
          </w:p>
        </w:tc>
        <w:tc>
          <w:tcPr>
            <w:tcW w:w="1073" w:type="dxa"/>
            <w:tcBorders>
              <w:top w:val="nil"/>
              <w:left w:val="nil"/>
              <w:bottom w:val="single" w:sz="4" w:space="0" w:color="auto"/>
              <w:right w:val="single" w:sz="4" w:space="0" w:color="auto"/>
            </w:tcBorders>
            <w:shd w:val="clear" w:color="auto" w:fill="auto"/>
            <w:noWrap/>
            <w:vAlign w:val="bottom"/>
          </w:tcPr>
          <w:p w14:paraId="4FC4AA21" w14:textId="55182CFF"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23.1</w:t>
            </w:r>
          </w:p>
        </w:tc>
        <w:tc>
          <w:tcPr>
            <w:tcW w:w="1053" w:type="dxa"/>
            <w:tcBorders>
              <w:top w:val="nil"/>
              <w:left w:val="nil"/>
              <w:bottom w:val="single" w:sz="4" w:space="0" w:color="auto"/>
              <w:right w:val="single" w:sz="4" w:space="0" w:color="auto"/>
            </w:tcBorders>
            <w:shd w:val="clear" w:color="auto" w:fill="auto"/>
            <w:noWrap/>
            <w:vAlign w:val="bottom"/>
          </w:tcPr>
          <w:p w14:paraId="46BF9D91" w14:textId="1B830536"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19.9</w:t>
            </w:r>
          </w:p>
        </w:tc>
        <w:tc>
          <w:tcPr>
            <w:tcW w:w="1140" w:type="dxa"/>
            <w:tcBorders>
              <w:top w:val="nil"/>
              <w:left w:val="nil"/>
              <w:bottom w:val="single" w:sz="4" w:space="0" w:color="auto"/>
              <w:right w:val="single" w:sz="4" w:space="0" w:color="auto"/>
            </w:tcBorders>
            <w:shd w:val="clear" w:color="auto" w:fill="auto"/>
            <w:noWrap/>
            <w:vAlign w:val="bottom"/>
          </w:tcPr>
          <w:p w14:paraId="400C8B88" w14:textId="0C6BA28A"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8.6</w:t>
            </w:r>
          </w:p>
        </w:tc>
        <w:tc>
          <w:tcPr>
            <w:tcW w:w="854" w:type="dxa"/>
            <w:tcBorders>
              <w:top w:val="nil"/>
              <w:left w:val="nil"/>
              <w:bottom w:val="single" w:sz="4" w:space="0" w:color="auto"/>
              <w:right w:val="single" w:sz="4" w:space="0" w:color="auto"/>
            </w:tcBorders>
            <w:shd w:val="clear" w:color="auto" w:fill="auto"/>
            <w:noWrap/>
            <w:vAlign w:val="bottom"/>
          </w:tcPr>
          <w:p w14:paraId="3C51C1AA" w14:textId="18474B45"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33.8</w:t>
            </w:r>
          </w:p>
        </w:tc>
        <w:tc>
          <w:tcPr>
            <w:tcW w:w="1140" w:type="dxa"/>
            <w:tcBorders>
              <w:top w:val="nil"/>
              <w:left w:val="nil"/>
              <w:bottom w:val="single" w:sz="4" w:space="0" w:color="auto"/>
              <w:right w:val="single" w:sz="4" w:space="0" w:color="auto"/>
            </w:tcBorders>
            <w:shd w:val="clear" w:color="auto" w:fill="auto"/>
            <w:noWrap/>
            <w:vAlign w:val="bottom"/>
          </w:tcPr>
          <w:p w14:paraId="277F67C2" w14:textId="021F6652"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47.4</w:t>
            </w:r>
          </w:p>
        </w:tc>
        <w:tc>
          <w:tcPr>
            <w:tcW w:w="1303" w:type="dxa"/>
            <w:tcBorders>
              <w:top w:val="nil"/>
              <w:left w:val="nil"/>
              <w:bottom w:val="single" w:sz="4" w:space="0" w:color="auto"/>
              <w:right w:val="single" w:sz="4" w:space="0" w:color="auto"/>
            </w:tcBorders>
            <w:shd w:val="clear" w:color="auto" w:fill="auto"/>
            <w:noWrap/>
            <w:vAlign w:val="bottom"/>
          </w:tcPr>
          <w:p w14:paraId="5DBC3E83" w14:textId="09A4F983"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35.9</w:t>
            </w:r>
          </w:p>
        </w:tc>
      </w:tr>
      <w:tr w:rsidR="007F5BE0" w:rsidRPr="00240E45" w14:paraId="2A9360EA" w14:textId="77777777" w:rsidTr="007F5BE0">
        <w:trPr>
          <w:trHeight w:val="248"/>
          <w:jc w:val="center"/>
        </w:trPr>
        <w:tc>
          <w:tcPr>
            <w:tcW w:w="766" w:type="dxa"/>
            <w:tcBorders>
              <w:top w:val="nil"/>
              <w:left w:val="single" w:sz="4" w:space="0" w:color="auto"/>
              <w:bottom w:val="single" w:sz="4" w:space="0" w:color="auto"/>
              <w:right w:val="single" w:sz="4" w:space="0" w:color="auto"/>
            </w:tcBorders>
            <w:shd w:val="clear" w:color="auto" w:fill="E7E6E6" w:themeFill="background2"/>
            <w:noWrap/>
            <w:vAlign w:val="bottom"/>
          </w:tcPr>
          <w:p w14:paraId="208FFEAA" w14:textId="6647A82B"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971</w:t>
            </w:r>
          </w:p>
        </w:tc>
        <w:tc>
          <w:tcPr>
            <w:tcW w:w="3345" w:type="dxa"/>
            <w:tcBorders>
              <w:top w:val="nil"/>
              <w:left w:val="nil"/>
              <w:bottom w:val="single" w:sz="4" w:space="0" w:color="auto"/>
              <w:right w:val="single" w:sz="4" w:space="0" w:color="auto"/>
            </w:tcBorders>
            <w:shd w:val="clear" w:color="auto" w:fill="E7E6E6" w:themeFill="background2"/>
            <w:noWrap/>
            <w:vAlign w:val="bottom"/>
          </w:tcPr>
          <w:p w14:paraId="4F298511" w14:textId="5FDC05FA" w:rsidR="007F5BE0" w:rsidRPr="007F5BE0" w:rsidRDefault="007F5BE0" w:rsidP="007F5BE0">
            <w:pPr>
              <w:spacing w:after="0" w:line="240" w:lineRule="auto"/>
              <w:rPr>
                <w:rFonts w:eastAsia="Times New Roman" w:cs="Times New Roman"/>
                <w:color w:val="000000"/>
                <w:sz w:val="18"/>
                <w:szCs w:val="18"/>
                <w:lang w:eastAsia="es-MX"/>
              </w:rPr>
            </w:pPr>
            <w:r w:rsidRPr="007F5BE0">
              <w:rPr>
                <w:rFonts w:ascii="Calibri" w:hAnsi="Calibri" w:cs="Calibri"/>
                <w:color w:val="000000"/>
                <w:sz w:val="18"/>
                <w:szCs w:val="18"/>
              </w:rPr>
              <w:t>Universidad de Alicante</w:t>
            </w:r>
          </w:p>
        </w:tc>
        <w:tc>
          <w:tcPr>
            <w:tcW w:w="993" w:type="dxa"/>
            <w:tcBorders>
              <w:top w:val="nil"/>
              <w:left w:val="nil"/>
              <w:bottom w:val="single" w:sz="4" w:space="0" w:color="auto"/>
              <w:right w:val="single" w:sz="4" w:space="0" w:color="auto"/>
            </w:tcBorders>
            <w:shd w:val="clear" w:color="auto" w:fill="E7E6E6" w:themeFill="background2"/>
            <w:noWrap/>
            <w:vAlign w:val="bottom"/>
          </w:tcPr>
          <w:p w14:paraId="06E2B7B1" w14:textId="67D1679C" w:rsidR="007F5BE0" w:rsidRPr="007F5BE0" w:rsidRDefault="007F5BE0" w:rsidP="007F5BE0">
            <w:pPr>
              <w:spacing w:after="0" w:line="240" w:lineRule="auto"/>
              <w:jc w:val="center"/>
              <w:rPr>
                <w:rFonts w:eastAsia="Times New Roman" w:cs="Times New Roman"/>
                <w:color w:val="000000"/>
                <w:sz w:val="18"/>
                <w:szCs w:val="18"/>
                <w:lang w:eastAsia="es-MX"/>
              </w:rPr>
            </w:pPr>
            <w:r w:rsidRPr="007F5BE0">
              <w:rPr>
                <w:rFonts w:ascii="Calibri" w:hAnsi="Calibri" w:cs="Calibri"/>
                <w:color w:val="000000"/>
                <w:sz w:val="18"/>
                <w:szCs w:val="18"/>
              </w:rPr>
              <w:t>España</w:t>
            </w:r>
          </w:p>
        </w:tc>
        <w:tc>
          <w:tcPr>
            <w:tcW w:w="1073" w:type="dxa"/>
            <w:tcBorders>
              <w:top w:val="nil"/>
              <w:left w:val="nil"/>
              <w:bottom w:val="single" w:sz="4" w:space="0" w:color="auto"/>
              <w:right w:val="single" w:sz="4" w:space="0" w:color="auto"/>
            </w:tcBorders>
            <w:shd w:val="clear" w:color="auto" w:fill="E7E6E6" w:themeFill="background2"/>
            <w:noWrap/>
            <w:vAlign w:val="bottom"/>
          </w:tcPr>
          <w:p w14:paraId="42ADC4F6" w14:textId="4FD8878D" w:rsidR="007F5BE0" w:rsidRPr="007F5BE0" w:rsidRDefault="007F5BE0" w:rsidP="007F5BE0">
            <w:pPr>
              <w:spacing w:after="0" w:line="240" w:lineRule="auto"/>
              <w:jc w:val="center"/>
              <w:rPr>
                <w:rFonts w:eastAsia="Times New Roman" w:cs="Times New Roman"/>
                <w:color w:val="0070C0"/>
                <w:sz w:val="18"/>
                <w:szCs w:val="18"/>
                <w:lang w:eastAsia="es-MX"/>
              </w:rPr>
            </w:pPr>
            <w:r w:rsidRPr="007F5BE0">
              <w:rPr>
                <w:rFonts w:ascii="Calibri" w:hAnsi="Calibri" w:cs="Calibri"/>
                <w:color w:val="0070C0"/>
                <w:sz w:val="18"/>
                <w:szCs w:val="18"/>
              </w:rPr>
              <w:t>23.1</w:t>
            </w:r>
          </w:p>
        </w:tc>
        <w:tc>
          <w:tcPr>
            <w:tcW w:w="1053" w:type="dxa"/>
            <w:tcBorders>
              <w:top w:val="nil"/>
              <w:left w:val="nil"/>
              <w:bottom w:val="single" w:sz="4" w:space="0" w:color="auto"/>
              <w:right w:val="single" w:sz="4" w:space="0" w:color="auto"/>
            </w:tcBorders>
            <w:shd w:val="clear" w:color="auto" w:fill="E7E6E6" w:themeFill="background2"/>
            <w:noWrap/>
            <w:vAlign w:val="bottom"/>
          </w:tcPr>
          <w:p w14:paraId="1F69EC08" w14:textId="40D50B75"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20</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3D90C081" w14:textId="48255C2C"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14.8</w:t>
            </w:r>
          </w:p>
        </w:tc>
        <w:tc>
          <w:tcPr>
            <w:tcW w:w="854" w:type="dxa"/>
            <w:tcBorders>
              <w:top w:val="nil"/>
              <w:left w:val="nil"/>
              <w:bottom w:val="single" w:sz="4" w:space="0" w:color="auto"/>
              <w:right w:val="single" w:sz="4" w:space="0" w:color="auto"/>
            </w:tcBorders>
            <w:shd w:val="clear" w:color="auto" w:fill="E7E6E6" w:themeFill="background2"/>
            <w:noWrap/>
            <w:vAlign w:val="bottom"/>
          </w:tcPr>
          <w:p w14:paraId="7535E748" w14:textId="5C4DE790"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28.7</w:t>
            </w:r>
          </w:p>
        </w:tc>
        <w:tc>
          <w:tcPr>
            <w:tcW w:w="1140" w:type="dxa"/>
            <w:tcBorders>
              <w:top w:val="nil"/>
              <w:left w:val="nil"/>
              <w:bottom w:val="single" w:sz="4" w:space="0" w:color="auto"/>
              <w:right w:val="single" w:sz="4" w:space="0" w:color="auto"/>
            </w:tcBorders>
            <w:shd w:val="clear" w:color="auto" w:fill="E7E6E6" w:themeFill="background2"/>
            <w:noWrap/>
            <w:vAlign w:val="bottom"/>
          </w:tcPr>
          <w:p w14:paraId="2FF6ADDE" w14:textId="33B96883"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41</w:t>
            </w:r>
          </w:p>
        </w:tc>
        <w:tc>
          <w:tcPr>
            <w:tcW w:w="1303" w:type="dxa"/>
            <w:tcBorders>
              <w:top w:val="nil"/>
              <w:left w:val="nil"/>
              <w:bottom w:val="single" w:sz="4" w:space="0" w:color="auto"/>
              <w:right w:val="single" w:sz="4" w:space="0" w:color="auto"/>
            </w:tcBorders>
            <w:shd w:val="clear" w:color="auto" w:fill="E7E6E6" w:themeFill="background2"/>
            <w:noWrap/>
            <w:vAlign w:val="bottom"/>
          </w:tcPr>
          <w:p w14:paraId="2578E91A" w14:textId="6AEB4453" w:rsidR="007F5BE0" w:rsidRPr="007F5BE0" w:rsidRDefault="007F5BE0" w:rsidP="007F5BE0">
            <w:pPr>
              <w:spacing w:after="0" w:line="240" w:lineRule="auto"/>
              <w:jc w:val="center"/>
              <w:rPr>
                <w:rFonts w:eastAsia="Times New Roman" w:cs="Times New Roman"/>
                <w:sz w:val="18"/>
                <w:szCs w:val="18"/>
                <w:lang w:eastAsia="es-MX"/>
              </w:rPr>
            </w:pPr>
            <w:r w:rsidRPr="007F5BE0">
              <w:rPr>
                <w:rFonts w:ascii="Calibri" w:hAnsi="Calibri" w:cs="Calibri"/>
                <w:color w:val="000000"/>
                <w:sz w:val="18"/>
                <w:szCs w:val="18"/>
              </w:rPr>
              <w:t>37.1</w:t>
            </w:r>
          </w:p>
        </w:tc>
      </w:tr>
      <w:tr w:rsidR="000F054A" w:rsidRPr="00240E45" w14:paraId="712A1EF7" w14:textId="77777777" w:rsidTr="00644B68">
        <w:trPr>
          <w:trHeight w:val="248"/>
          <w:jc w:val="center"/>
        </w:trPr>
        <w:tc>
          <w:tcPr>
            <w:tcW w:w="11667" w:type="dxa"/>
            <w:gridSpan w:val="9"/>
            <w:tcBorders>
              <w:top w:val="single" w:sz="4" w:space="0" w:color="auto"/>
            </w:tcBorders>
            <w:shd w:val="clear" w:color="auto" w:fill="auto"/>
            <w:noWrap/>
            <w:vAlign w:val="bottom"/>
          </w:tcPr>
          <w:p w14:paraId="51FBBE1D" w14:textId="00270147" w:rsidR="001C6EB8" w:rsidRPr="00240E45" w:rsidRDefault="001C6EB8" w:rsidP="00C91771">
            <w:pPr>
              <w:spacing w:after="0" w:line="240" w:lineRule="auto"/>
              <w:rPr>
                <w:rFonts w:ascii="Calibri" w:eastAsia="Times New Roman" w:hAnsi="Calibri" w:cs="Times New Roman"/>
                <w:bCs/>
                <w:color w:val="000000"/>
                <w:sz w:val="14"/>
                <w:szCs w:val="16"/>
                <w:lang w:eastAsia="es-MX"/>
              </w:rPr>
            </w:pPr>
            <w:r w:rsidRPr="00240E45">
              <w:rPr>
                <w:rFonts w:ascii="Calibri" w:eastAsia="Times New Roman" w:hAnsi="Calibri" w:cs="Times New Roman"/>
                <w:bCs/>
                <w:color w:val="000000"/>
                <w:sz w:val="14"/>
                <w:szCs w:val="16"/>
                <w:lang w:eastAsia="es-MX"/>
              </w:rPr>
              <w:t xml:space="preserve">* Las posiciones y puntuaciones generales en color azul fueron estimadas por la Dirección General de Evaluación Institucional (DGEI-UNAM). </w:t>
            </w:r>
          </w:p>
          <w:p w14:paraId="5650B484" w14:textId="4A6ECD17" w:rsidR="000F054A" w:rsidRPr="00240E45" w:rsidRDefault="001C6EB8" w:rsidP="00D52CE6">
            <w:pPr>
              <w:spacing w:after="0" w:line="240" w:lineRule="auto"/>
              <w:rPr>
                <w:rFonts w:ascii="Calibri" w:eastAsia="Times New Roman" w:hAnsi="Calibri" w:cs="Times New Roman"/>
                <w:bCs/>
                <w:color w:val="000000"/>
                <w:sz w:val="14"/>
                <w:szCs w:val="16"/>
                <w:lang w:eastAsia="es-MX"/>
              </w:rPr>
            </w:pPr>
            <w:r w:rsidRPr="00240E45">
              <w:rPr>
                <w:rFonts w:ascii="Calibri" w:eastAsia="Times New Roman" w:hAnsi="Calibri" w:cs="Times New Roman"/>
                <w:bCs/>
                <w:color w:val="000000"/>
                <w:sz w:val="14"/>
                <w:szCs w:val="16"/>
                <w:lang w:eastAsia="es-MX"/>
              </w:rPr>
              <w:t>*</w:t>
            </w:r>
            <w:r w:rsidR="000F054A" w:rsidRPr="00240E45">
              <w:rPr>
                <w:rFonts w:ascii="Calibri" w:eastAsia="Times New Roman" w:hAnsi="Calibri" w:cs="Times New Roman"/>
                <w:color w:val="000000"/>
                <w:sz w:val="14"/>
                <w:szCs w:val="16"/>
                <w:lang w:eastAsia="es-MX"/>
              </w:rPr>
              <w:t xml:space="preserve">*Ordenando </w:t>
            </w:r>
            <w:r w:rsidR="000F054A" w:rsidRPr="00240E45">
              <w:rPr>
                <w:rFonts w:ascii="Calibri" w:eastAsia="Times New Roman" w:hAnsi="Calibri" w:cs="Times New Roman"/>
                <w:bCs/>
                <w:color w:val="000000"/>
                <w:sz w:val="14"/>
                <w:szCs w:val="16"/>
                <w:lang w:eastAsia="es-MX"/>
              </w:rPr>
              <w:t>confor</w:t>
            </w:r>
            <w:r w:rsidR="00DB153E" w:rsidRPr="00240E45">
              <w:rPr>
                <w:rFonts w:ascii="Calibri" w:eastAsia="Times New Roman" w:hAnsi="Calibri" w:cs="Times New Roman"/>
                <w:bCs/>
                <w:color w:val="000000"/>
                <w:sz w:val="14"/>
                <w:szCs w:val="16"/>
                <w:lang w:eastAsia="es-MX"/>
              </w:rPr>
              <w:t>me a la posición obtenida en 2020</w:t>
            </w:r>
            <w:r w:rsidR="000F054A" w:rsidRPr="00240E45">
              <w:rPr>
                <w:rFonts w:ascii="Calibri" w:eastAsia="Times New Roman" w:hAnsi="Calibri" w:cs="Times New Roman"/>
                <w:bCs/>
                <w:color w:val="000000"/>
                <w:sz w:val="14"/>
                <w:szCs w:val="16"/>
                <w:lang w:eastAsia="es-MX"/>
              </w:rPr>
              <w:t>.</w:t>
            </w:r>
          </w:p>
        </w:tc>
      </w:tr>
    </w:tbl>
    <w:p w14:paraId="49E36168" w14:textId="77777777" w:rsidR="00F7200D" w:rsidRPr="00240E45" w:rsidRDefault="00F7200D" w:rsidP="00F7200D">
      <w:pPr>
        <w:pStyle w:val="Prrafodelista"/>
        <w:jc w:val="both"/>
        <w:rPr>
          <w:b/>
          <w:sz w:val="24"/>
        </w:rPr>
      </w:pPr>
    </w:p>
    <w:p w14:paraId="5E2ECBF2" w14:textId="44D27446" w:rsidR="00D00D1F" w:rsidRPr="00240E45" w:rsidRDefault="00D00D1F" w:rsidP="00B27D6C">
      <w:pPr>
        <w:pStyle w:val="Prrafodelista"/>
        <w:numPr>
          <w:ilvl w:val="0"/>
          <w:numId w:val="1"/>
        </w:numPr>
        <w:jc w:val="both"/>
        <w:rPr>
          <w:b/>
          <w:sz w:val="24"/>
        </w:rPr>
      </w:pPr>
      <w:r w:rsidRPr="00240E45">
        <w:rPr>
          <w:b/>
          <w:sz w:val="24"/>
        </w:rPr>
        <w:t>Comportamiento de</w:t>
      </w:r>
      <w:r w:rsidR="00C513CF" w:rsidRPr="00240E45">
        <w:rPr>
          <w:b/>
          <w:sz w:val="24"/>
        </w:rPr>
        <w:t xml:space="preserve"> las </w:t>
      </w:r>
      <w:r w:rsidR="001212A0" w:rsidRPr="00240E45">
        <w:rPr>
          <w:b/>
          <w:sz w:val="24"/>
        </w:rPr>
        <w:t>Universidades Mexicanas</w:t>
      </w:r>
    </w:p>
    <w:p w14:paraId="7C7F8503" w14:textId="77777777" w:rsidR="00A40842" w:rsidRPr="00240E45" w:rsidRDefault="00A40842" w:rsidP="00A40842">
      <w:pPr>
        <w:pStyle w:val="Prrafodelista"/>
        <w:numPr>
          <w:ilvl w:val="1"/>
          <w:numId w:val="1"/>
        </w:numPr>
        <w:spacing w:after="0" w:line="240" w:lineRule="auto"/>
        <w:jc w:val="both"/>
        <w:rPr>
          <w:sz w:val="24"/>
        </w:rPr>
      </w:pPr>
      <w:r w:rsidRPr="00240E45">
        <w:rPr>
          <w:sz w:val="24"/>
        </w:rPr>
        <w:t xml:space="preserve">En el </w:t>
      </w:r>
      <w:r w:rsidR="00424437" w:rsidRPr="00240E45">
        <w:rPr>
          <w:sz w:val="24"/>
        </w:rPr>
        <w:t xml:space="preserve">ranking THE mundial </w:t>
      </w:r>
      <w:r w:rsidRPr="00240E45">
        <w:rPr>
          <w:sz w:val="24"/>
        </w:rPr>
        <w:t xml:space="preserve">clasificó a </w:t>
      </w:r>
      <w:r w:rsidR="00591E68" w:rsidRPr="00240E45">
        <w:rPr>
          <w:sz w:val="24"/>
        </w:rPr>
        <w:t xml:space="preserve">17 </w:t>
      </w:r>
      <w:r w:rsidR="002062E7" w:rsidRPr="00240E45">
        <w:rPr>
          <w:sz w:val="24"/>
        </w:rPr>
        <w:t xml:space="preserve">universidades </w:t>
      </w:r>
      <w:r w:rsidRPr="00240E45">
        <w:rPr>
          <w:sz w:val="24"/>
        </w:rPr>
        <w:t xml:space="preserve">mexicanas: </w:t>
      </w:r>
    </w:p>
    <w:p w14:paraId="5ABDBF06" w14:textId="431EB7A1" w:rsidR="00A40842" w:rsidRPr="00240E45" w:rsidRDefault="00A40842" w:rsidP="00A40842">
      <w:pPr>
        <w:pStyle w:val="Prrafodelista"/>
        <w:spacing w:after="0" w:line="240" w:lineRule="auto"/>
        <w:ind w:left="2124"/>
        <w:jc w:val="both"/>
        <w:rPr>
          <w:sz w:val="24"/>
        </w:rPr>
      </w:pPr>
      <w:r w:rsidRPr="00240E45">
        <w:rPr>
          <w:sz w:val="24"/>
        </w:rPr>
        <w:t>Benemérita Universidad Autónoma de Puebla, Instituto Politécnico Nacional, Instituto Tecnológico y de Estudios Superiores de Monterrey, Universidad Autónoma de Baja California, Universidad Autónoma de Nuevo León, Universidad Autónoma de Querétaro, Universidad Autónoma de San Luis Potosí, Universidad Autónoma de Sinaloa, Universidad Autónoma de Yucatán, Universidad Autónoma del Estado de Hidalgo, Universidad Autónoma del Estado de México, Universidad Autónoma Metropolitana, Universidad de Guadalajara, Universidad de Guanajuato, Universidad de Sonora, Universidad Michoacana de San Nicolás de Hidalgo, y la Universidad Nacional Autónoma de México.</w:t>
      </w:r>
    </w:p>
    <w:p w14:paraId="57A051FB" w14:textId="3671E20C" w:rsidR="002062E7" w:rsidRPr="00240E45" w:rsidRDefault="00A40842" w:rsidP="00AC52AC">
      <w:pPr>
        <w:pStyle w:val="Prrafodelista"/>
        <w:numPr>
          <w:ilvl w:val="1"/>
          <w:numId w:val="1"/>
        </w:numPr>
        <w:spacing w:after="0" w:line="240" w:lineRule="auto"/>
        <w:jc w:val="both"/>
        <w:rPr>
          <w:sz w:val="24"/>
        </w:rPr>
      </w:pPr>
      <w:r w:rsidRPr="00240E45">
        <w:rPr>
          <w:sz w:val="24"/>
        </w:rPr>
        <w:t xml:space="preserve">Del total de universidades mexicanas, </w:t>
      </w:r>
      <w:r w:rsidR="00591E68" w:rsidRPr="00240E45">
        <w:rPr>
          <w:sz w:val="24"/>
        </w:rPr>
        <w:t xml:space="preserve">16 </w:t>
      </w:r>
      <w:r w:rsidR="002062E7" w:rsidRPr="00240E45">
        <w:rPr>
          <w:sz w:val="24"/>
        </w:rPr>
        <w:t>son universidades públicas</w:t>
      </w:r>
      <w:r w:rsidR="00591E68" w:rsidRPr="00240E45">
        <w:rPr>
          <w:sz w:val="24"/>
        </w:rPr>
        <w:t xml:space="preserve"> </w:t>
      </w:r>
      <w:r w:rsidR="002062E7" w:rsidRPr="00240E45">
        <w:rPr>
          <w:sz w:val="24"/>
        </w:rPr>
        <w:t xml:space="preserve">y </w:t>
      </w:r>
      <w:r w:rsidRPr="00240E45">
        <w:rPr>
          <w:sz w:val="24"/>
        </w:rPr>
        <w:t xml:space="preserve">solo una institución es </w:t>
      </w:r>
      <w:r w:rsidR="002062E7" w:rsidRPr="00240E45">
        <w:rPr>
          <w:sz w:val="24"/>
        </w:rPr>
        <w:t>privada.</w:t>
      </w:r>
    </w:p>
    <w:p w14:paraId="083F4E12" w14:textId="77777777" w:rsidR="00D376FA" w:rsidRPr="00240E45" w:rsidRDefault="00C439C8" w:rsidP="00D376FA">
      <w:pPr>
        <w:pStyle w:val="Prrafodelista"/>
        <w:numPr>
          <w:ilvl w:val="1"/>
          <w:numId w:val="1"/>
        </w:numPr>
        <w:spacing w:after="0" w:line="240" w:lineRule="auto"/>
        <w:jc w:val="both"/>
        <w:rPr>
          <w:sz w:val="24"/>
        </w:rPr>
      </w:pPr>
      <w:r w:rsidRPr="00240E45">
        <w:rPr>
          <w:sz w:val="24"/>
        </w:rPr>
        <w:t xml:space="preserve">Respecto a los últimos tres años, </w:t>
      </w:r>
      <w:r w:rsidR="0083225D" w:rsidRPr="00240E45">
        <w:rPr>
          <w:sz w:val="24"/>
        </w:rPr>
        <w:t xml:space="preserve">la </w:t>
      </w:r>
      <w:r w:rsidR="005C6BF5" w:rsidRPr="00240E45">
        <w:rPr>
          <w:sz w:val="24"/>
        </w:rPr>
        <w:t>UNAM</w:t>
      </w:r>
      <w:r w:rsidRPr="00240E45">
        <w:rPr>
          <w:sz w:val="24"/>
        </w:rPr>
        <w:t xml:space="preserve">, </w:t>
      </w:r>
      <w:r w:rsidR="005C6BF5" w:rsidRPr="00240E45">
        <w:rPr>
          <w:sz w:val="24"/>
        </w:rPr>
        <w:t xml:space="preserve">el </w:t>
      </w:r>
      <w:r w:rsidR="00D00D1F" w:rsidRPr="00240E45">
        <w:rPr>
          <w:sz w:val="24"/>
        </w:rPr>
        <w:t xml:space="preserve">ITESM </w:t>
      </w:r>
      <w:r w:rsidRPr="00240E45">
        <w:rPr>
          <w:sz w:val="24"/>
        </w:rPr>
        <w:t xml:space="preserve">y la UAM </w:t>
      </w:r>
      <w:r w:rsidR="0083225D" w:rsidRPr="00240E45">
        <w:rPr>
          <w:sz w:val="24"/>
        </w:rPr>
        <w:t xml:space="preserve">han sido las universidades </w:t>
      </w:r>
      <w:r w:rsidRPr="00240E45">
        <w:rPr>
          <w:sz w:val="24"/>
        </w:rPr>
        <w:t xml:space="preserve">mexicanas </w:t>
      </w:r>
      <w:r w:rsidR="0083225D" w:rsidRPr="00240E45">
        <w:rPr>
          <w:sz w:val="24"/>
        </w:rPr>
        <w:t>mejor clasificadas en el ranking</w:t>
      </w:r>
      <w:r w:rsidR="00616A04" w:rsidRPr="00240E45">
        <w:rPr>
          <w:sz w:val="24"/>
        </w:rPr>
        <w:t xml:space="preserve"> (</w:t>
      </w:r>
      <w:r w:rsidR="00616A04" w:rsidRPr="00240E45">
        <w:rPr>
          <w:i/>
          <w:sz w:val="24"/>
        </w:rPr>
        <w:t>Ver Gráfica 5</w:t>
      </w:r>
      <w:r w:rsidR="00616A04" w:rsidRPr="00240E45">
        <w:rPr>
          <w:sz w:val="24"/>
        </w:rPr>
        <w:t>)</w:t>
      </w:r>
      <w:r w:rsidR="00037DAC" w:rsidRPr="00240E45">
        <w:rPr>
          <w:sz w:val="24"/>
        </w:rPr>
        <w:t xml:space="preserve">. </w:t>
      </w:r>
    </w:p>
    <w:p w14:paraId="22D14315" w14:textId="588B4463" w:rsidR="00D376FA" w:rsidRPr="00240E45" w:rsidRDefault="00E51696" w:rsidP="00D376FA">
      <w:pPr>
        <w:pStyle w:val="Prrafodelista"/>
        <w:numPr>
          <w:ilvl w:val="2"/>
          <w:numId w:val="1"/>
        </w:numPr>
        <w:spacing w:after="0" w:line="240" w:lineRule="auto"/>
        <w:jc w:val="both"/>
        <w:rPr>
          <w:sz w:val="24"/>
        </w:rPr>
      </w:pPr>
      <w:r>
        <w:rPr>
          <w:sz w:val="24"/>
        </w:rPr>
        <w:t>L</w:t>
      </w:r>
      <w:r w:rsidR="00D376FA" w:rsidRPr="00240E45">
        <w:rPr>
          <w:sz w:val="24"/>
        </w:rPr>
        <w:t xml:space="preserve">a UAM </w:t>
      </w:r>
      <w:r>
        <w:rPr>
          <w:sz w:val="24"/>
        </w:rPr>
        <w:t xml:space="preserve">fue clasificada </w:t>
      </w:r>
      <w:r w:rsidR="00D376FA" w:rsidRPr="00240E45">
        <w:rPr>
          <w:sz w:val="24"/>
        </w:rPr>
        <w:t>en el lugar 657, el ITESM en la posición 737, y la UNAM en el lugar 769.</w:t>
      </w:r>
    </w:p>
    <w:p w14:paraId="01F70E07" w14:textId="62A2D99D" w:rsidR="00D00D1F" w:rsidRPr="00240E45" w:rsidRDefault="00D376FA" w:rsidP="00D376FA">
      <w:pPr>
        <w:pStyle w:val="Prrafodelista"/>
        <w:numPr>
          <w:ilvl w:val="1"/>
          <w:numId w:val="1"/>
        </w:numPr>
        <w:spacing w:after="0" w:line="240" w:lineRule="auto"/>
        <w:jc w:val="both"/>
        <w:rPr>
          <w:sz w:val="24"/>
        </w:rPr>
      </w:pPr>
      <w:r w:rsidRPr="00240E45">
        <w:rPr>
          <w:sz w:val="24"/>
        </w:rPr>
        <w:t>Respecto a los indicadores, el comportamiento de las tres universidades fue el siguiente (</w:t>
      </w:r>
      <w:r w:rsidRPr="00240E45">
        <w:rPr>
          <w:i/>
          <w:sz w:val="24"/>
        </w:rPr>
        <w:t>Ver Tabla 6</w:t>
      </w:r>
      <w:r w:rsidRPr="00240E45">
        <w:rPr>
          <w:sz w:val="24"/>
        </w:rPr>
        <w:t>):</w:t>
      </w:r>
    </w:p>
    <w:p w14:paraId="1B25059F" w14:textId="2D11C8C1" w:rsidR="00D376FA" w:rsidRPr="00240E45" w:rsidRDefault="00D376FA" w:rsidP="00D376FA">
      <w:pPr>
        <w:pStyle w:val="Prrafodelista"/>
        <w:numPr>
          <w:ilvl w:val="2"/>
          <w:numId w:val="12"/>
        </w:numPr>
        <w:spacing w:after="0" w:line="240" w:lineRule="auto"/>
        <w:jc w:val="both"/>
        <w:rPr>
          <w:sz w:val="24"/>
        </w:rPr>
      </w:pPr>
      <w:r w:rsidRPr="00240E45">
        <w:rPr>
          <w:b/>
          <w:sz w:val="24"/>
        </w:rPr>
        <w:t>Docencia</w:t>
      </w:r>
      <w:r w:rsidRPr="00240E45">
        <w:rPr>
          <w:sz w:val="24"/>
        </w:rPr>
        <w:t xml:space="preserve">: </w:t>
      </w:r>
      <w:r w:rsidR="001E129B" w:rsidRPr="00240E45">
        <w:rPr>
          <w:sz w:val="24"/>
        </w:rPr>
        <w:t xml:space="preserve">La UNAM obtuvo un puntaje de 31.9, </w:t>
      </w:r>
      <w:r w:rsidR="0038484C" w:rsidRPr="00240E45">
        <w:rPr>
          <w:sz w:val="24"/>
        </w:rPr>
        <w:t xml:space="preserve">y </w:t>
      </w:r>
      <w:r w:rsidR="001E129B" w:rsidRPr="00240E45">
        <w:rPr>
          <w:sz w:val="24"/>
        </w:rPr>
        <w:t xml:space="preserve">el ITESM </w:t>
      </w:r>
      <w:r w:rsidR="0038484C" w:rsidRPr="00240E45">
        <w:rPr>
          <w:sz w:val="24"/>
        </w:rPr>
        <w:t>tuvo un puntaje de 20.5, y la UAM un puntaje de 16.6.</w:t>
      </w:r>
    </w:p>
    <w:p w14:paraId="765572AF" w14:textId="3FBB9E61" w:rsidR="00D376FA" w:rsidRPr="00240E45" w:rsidRDefault="00D376FA" w:rsidP="00D376FA">
      <w:pPr>
        <w:pStyle w:val="Prrafodelista"/>
        <w:numPr>
          <w:ilvl w:val="2"/>
          <w:numId w:val="12"/>
        </w:numPr>
        <w:spacing w:after="0" w:line="240" w:lineRule="auto"/>
        <w:jc w:val="both"/>
        <w:rPr>
          <w:sz w:val="24"/>
        </w:rPr>
      </w:pPr>
      <w:r w:rsidRPr="00240E45">
        <w:rPr>
          <w:b/>
          <w:sz w:val="24"/>
        </w:rPr>
        <w:t>Investigación</w:t>
      </w:r>
      <w:r w:rsidRPr="00240E45">
        <w:rPr>
          <w:sz w:val="24"/>
        </w:rPr>
        <w:t xml:space="preserve">: </w:t>
      </w:r>
      <w:r w:rsidR="0038484C" w:rsidRPr="00240E45">
        <w:rPr>
          <w:sz w:val="24"/>
        </w:rPr>
        <w:t xml:space="preserve">La UNAM fue clasificada con un puntaje de 30.4, el ITESM de 18.2 puntos, y la UAM de 16.3 puntos. </w:t>
      </w:r>
    </w:p>
    <w:p w14:paraId="471DA02E" w14:textId="10B8BDD4" w:rsidR="00D376FA" w:rsidRPr="00240E45" w:rsidRDefault="00D376FA" w:rsidP="00D376FA">
      <w:pPr>
        <w:pStyle w:val="Prrafodelista"/>
        <w:numPr>
          <w:ilvl w:val="2"/>
          <w:numId w:val="12"/>
        </w:numPr>
        <w:spacing w:after="0" w:line="240" w:lineRule="auto"/>
        <w:jc w:val="both"/>
        <w:rPr>
          <w:sz w:val="24"/>
        </w:rPr>
      </w:pPr>
      <w:r w:rsidRPr="00240E45">
        <w:rPr>
          <w:b/>
          <w:sz w:val="24"/>
        </w:rPr>
        <w:t>Citas</w:t>
      </w:r>
      <w:r w:rsidRPr="00240E45">
        <w:rPr>
          <w:sz w:val="24"/>
        </w:rPr>
        <w:t xml:space="preserve">: </w:t>
      </w:r>
      <w:r w:rsidR="00240E45" w:rsidRPr="00240E45">
        <w:rPr>
          <w:sz w:val="24"/>
        </w:rPr>
        <w:t>El ranking clasifico a la UAM con un puntaje de 68.6, y el ITESM 41.8 puntos, y la UNAM de 18.9 puntos.</w:t>
      </w:r>
    </w:p>
    <w:p w14:paraId="5696E13F" w14:textId="6A54E3BA" w:rsidR="00D376FA" w:rsidRPr="00240E45" w:rsidRDefault="00D376FA" w:rsidP="00D376FA">
      <w:pPr>
        <w:pStyle w:val="Prrafodelista"/>
        <w:numPr>
          <w:ilvl w:val="2"/>
          <w:numId w:val="12"/>
        </w:numPr>
        <w:spacing w:after="0" w:line="240" w:lineRule="auto"/>
        <w:jc w:val="both"/>
        <w:rPr>
          <w:sz w:val="24"/>
        </w:rPr>
      </w:pPr>
      <w:r w:rsidRPr="00240E45">
        <w:rPr>
          <w:b/>
          <w:sz w:val="24"/>
        </w:rPr>
        <w:t>Perspectiva internacional</w:t>
      </w:r>
      <w:r w:rsidRPr="00240E45">
        <w:rPr>
          <w:sz w:val="24"/>
        </w:rPr>
        <w:t xml:space="preserve">: </w:t>
      </w:r>
      <w:r w:rsidR="00240E45" w:rsidRPr="00240E45">
        <w:rPr>
          <w:sz w:val="24"/>
        </w:rPr>
        <w:t>El ITESM recibió un puntaje de 57.3, y la UNAM de 44.2, y la UAM de 25.1 puntos.</w:t>
      </w:r>
    </w:p>
    <w:p w14:paraId="02B146A6" w14:textId="31171B44" w:rsidR="00D376FA" w:rsidRPr="00240E45" w:rsidRDefault="00D376FA" w:rsidP="00D376FA">
      <w:pPr>
        <w:pStyle w:val="Prrafodelista"/>
        <w:numPr>
          <w:ilvl w:val="2"/>
          <w:numId w:val="12"/>
        </w:numPr>
        <w:spacing w:after="0" w:line="240" w:lineRule="auto"/>
        <w:jc w:val="both"/>
        <w:rPr>
          <w:sz w:val="24"/>
        </w:rPr>
      </w:pPr>
      <w:r w:rsidRPr="00240E45">
        <w:rPr>
          <w:b/>
          <w:sz w:val="24"/>
        </w:rPr>
        <w:t>Financiamiento de la industria</w:t>
      </w:r>
      <w:r w:rsidRPr="00240E45">
        <w:rPr>
          <w:sz w:val="24"/>
        </w:rPr>
        <w:t xml:space="preserve">: </w:t>
      </w:r>
      <w:r w:rsidR="00240E45" w:rsidRPr="00240E45">
        <w:rPr>
          <w:sz w:val="24"/>
        </w:rPr>
        <w:t>El ITESM tuvo un puntaje de 74.7, y la UNAM de 61.7 puntos, y la UAM de 36.4 puntos.</w:t>
      </w:r>
    </w:p>
    <w:p w14:paraId="38B92294" w14:textId="39EE3CE3" w:rsidR="009C758F" w:rsidRPr="00240E45" w:rsidRDefault="009C758F" w:rsidP="00D376FA">
      <w:pPr>
        <w:pStyle w:val="Prrafodelista"/>
        <w:numPr>
          <w:ilvl w:val="1"/>
          <w:numId w:val="12"/>
        </w:numPr>
        <w:spacing w:after="0" w:line="240" w:lineRule="auto"/>
        <w:jc w:val="both"/>
        <w:rPr>
          <w:sz w:val="24"/>
        </w:rPr>
      </w:pPr>
      <w:r w:rsidRPr="00240E45">
        <w:rPr>
          <w:sz w:val="24"/>
        </w:rPr>
        <w:t xml:space="preserve">Es importante llamar la atención sobre los datos reportados sobre la matrícula de las universidades: </w:t>
      </w:r>
    </w:p>
    <w:p w14:paraId="03A29FF8" w14:textId="7F2D2DF2" w:rsidR="009C758F" w:rsidRPr="00240E45" w:rsidRDefault="009C758F" w:rsidP="00D376FA">
      <w:pPr>
        <w:pStyle w:val="Prrafodelista"/>
        <w:numPr>
          <w:ilvl w:val="2"/>
          <w:numId w:val="25"/>
        </w:numPr>
        <w:spacing w:after="0" w:line="240" w:lineRule="auto"/>
        <w:jc w:val="both"/>
        <w:rPr>
          <w:sz w:val="24"/>
        </w:rPr>
      </w:pPr>
      <w:r w:rsidRPr="00240E45">
        <w:rPr>
          <w:sz w:val="24"/>
        </w:rPr>
        <w:t>L</w:t>
      </w:r>
      <w:r w:rsidR="001718E6" w:rsidRPr="00240E45">
        <w:rPr>
          <w:sz w:val="24"/>
        </w:rPr>
        <w:t xml:space="preserve">a UNAM </w:t>
      </w:r>
      <w:r w:rsidRPr="00240E45">
        <w:rPr>
          <w:sz w:val="24"/>
        </w:rPr>
        <w:t xml:space="preserve">reporta la matrícula de </w:t>
      </w:r>
      <w:r w:rsidR="001718E6" w:rsidRPr="00240E45">
        <w:rPr>
          <w:sz w:val="24"/>
        </w:rPr>
        <w:t xml:space="preserve">todos los campus (excluyendo a los de educación media superior). </w:t>
      </w:r>
    </w:p>
    <w:p w14:paraId="1E531E02" w14:textId="13E34213" w:rsidR="009C758F" w:rsidRPr="00240E45" w:rsidRDefault="009C758F" w:rsidP="00D376FA">
      <w:pPr>
        <w:pStyle w:val="Prrafodelista"/>
        <w:numPr>
          <w:ilvl w:val="2"/>
          <w:numId w:val="25"/>
        </w:numPr>
        <w:spacing w:after="0" w:line="240" w:lineRule="auto"/>
        <w:jc w:val="both"/>
        <w:rPr>
          <w:sz w:val="24"/>
        </w:rPr>
      </w:pPr>
      <w:r w:rsidRPr="00240E45">
        <w:rPr>
          <w:sz w:val="24"/>
        </w:rPr>
        <w:lastRenderedPageBreak/>
        <w:t xml:space="preserve">De igual manera, la UAM reporta la matricula total de sus cinco campus. </w:t>
      </w:r>
    </w:p>
    <w:p w14:paraId="2DB1FBA4" w14:textId="41B08DAF" w:rsidR="00D00D1F" w:rsidRPr="00240E45" w:rsidRDefault="001718E6" w:rsidP="00D376FA">
      <w:pPr>
        <w:pStyle w:val="Prrafodelista"/>
        <w:numPr>
          <w:ilvl w:val="2"/>
          <w:numId w:val="25"/>
        </w:numPr>
        <w:spacing w:after="0" w:line="240" w:lineRule="auto"/>
        <w:jc w:val="both"/>
        <w:rPr>
          <w:sz w:val="24"/>
        </w:rPr>
      </w:pPr>
      <w:r w:rsidRPr="00240E45">
        <w:rPr>
          <w:sz w:val="24"/>
        </w:rPr>
        <w:t xml:space="preserve">Sin embargo, para el caso del ITESM se han </w:t>
      </w:r>
      <w:r w:rsidR="00631508" w:rsidRPr="00240E45">
        <w:rPr>
          <w:sz w:val="24"/>
        </w:rPr>
        <w:t xml:space="preserve">reportado </w:t>
      </w:r>
      <w:r w:rsidR="009C758F" w:rsidRPr="00240E45">
        <w:rPr>
          <w:sz w:val="24"/>
        </w:rPr>
        <w:t xml:space="preserve">para el 2019, un total de 14,343 </w:t>
      </w:r>
      <w:r w:rsidR="00631508" w:rsidRPr="00240E45">
        <w:rPr>
          <w:sz w:val="24"/>
        </w:rPr>
        <w:t xml:space="preserve">estudiantes de licenciatura. </w:t>
      </w:r>
      <w:r w:rsidR="009C758F" w:rsidRPr="00240E45">
        <w:rPr>
          <w:sz w:val="24"/>
        </w:rPr>
        <w:t xml:space="preserve">Datos que </w:t>
      </w:r>
      <w:r w:rsidR="00631508" w:rsidRPr="00240E45">
        <w:rPr>
          <w:sz w:val="24"/>
        </w:rPr>
        <w:t xml:space="preserve">discrepan </w:t>
      </w:r>
      <w:r w:rsidR="00D00D1F" w:rsidRPr="00240E45">
        <w:rPr>
          <w:sz w:val="24"/>
        </w:rPr>
        <w:t xml:space="preserve">con </w:t>
      </w:r>
      <w:r w:rsidR="00631508" w:rsidRPr="00240E45">
        <w:rPr>
          <w:sz w:val="24"/>
        </w:rPr>
        <w:t xml:space="preserve">los datos publicados por el </w:t>
      </w:r>
      <w:r w:rsidR="00D00D1F" w:rsidRPr="00240E45">
        <w:rPr>
          <w:sz w:val="24"/>
        </w:rPr>
        <w:t>ITESM en su página “Datos y cifras</w:t>
      </w:r>
      <w:r w:rsidR="00D00D1F" w:rsidRPr="00240E45">
        <w:rPr>
          <w:rStyle w:val="Refdenotaalpie"/>
          <w:sz w:val="24"/>
        </w:rPr>
        <w:footnoteReference w:id="2"/>
      </w:r>
      <w:r w:rsidR="00D00D1F" w:rsidRPr="00240E45">
        <w:rPr>
          <w:sz w:val="24"/>
        </w:rPr>
        <w:t>”</w:t>
      </w:r>
      <w:r w:rsidR="00631508" w:rsidRPr="00240E45">
        <w:rPr>
          <w:sz w:val="24"/>
        </w:rPr>
        <w:t xml:space="preserve"> en los cuales consideran a </w:t>
      </w:r>
      <w:r w:rsidR="00BC0701" w:rsidRPr="00240E45">
        <w:rPr>
          <w:sz w:val="24"/>
        </w:rPr>
        <w:t>5</w:t>
      </w:r>
      <w:r w:rsidR="009C758F" w:rsidRPr="00240E45">
        <w:rPr>
          <w:sz w:val="24"/>
        </w:rPr>
        <w:t>8</w:t>
      </w:r>
      <w:r w:rsidR="00BC0701" w:rsidRPr="00240E45">
        <w:rPr>
          <w:sz w:val="24"/>
        </w:rPr>
        <w:t>,</w:t>
      </w:r>
      <w:r w:rsidR="009C758F" w:rsidRPr="00240E45">
        <w:rPr>
          <w:sz w:val="24"/>
        </w:rPr>
        <w:t>782</w:t>
      </w:r>
      <w:r w:rsidR="00631508" w:rsidRPr="00240E45">
        <w:rPr>
          <w:sz w:val="24"/>
        </w:rPr>
        <w:t xml:space="preserve"> estudiantes de licenciatura</w:t>
      </w:r>
      <w:r w:rsidR="00D00D1F" w:rsidRPr="00240E45">
        <w:rPr>
          <w:sz w:val="24"/>
        </w:rPr>
        <w:t xml:space="preserve">, </w:t>
      </w:r>
      <w:r w:rsidR="009C758F" w:rsidRPr="00240E45">
        <w:rPr>
          <w:sz w:val="24"/>
        </w:rPr>
        <w:t xml:space="preserve">lo cual parece indicar que el ITESM reporta únicamente los datos del campus de </w:t>
      </w:r>
      <w:r w:rsidR="00D00D1F" w:rsidRPr="00240E45">
        <w:rPr>
          <w:sz w:val="24"/>
        </w:rPr>
        <w:t>Monterrey.</w:t>
      </w:r>
    </w:p>
    <w:p w14:paraId="7CF07A62" w14:textId="6244E35D" w:rsidR="001718E6" w:rsidRPr="00240E45" w:rsidRDefault="001718E6" w:rsidP="00D00D1F">
      <w:pPr>
        <w:pStyle w:val="Prrafodelista"/>
        <w:spacing w:after="0"/>
        <w:ind w:left="1440"/>
        <w:jc w:val="both"/>
        <w:rPr>
          <w:sz w:val="16"/>
        </w:rPr>
      </w:pPr>
    </w:p>
    <w:tbl>
      <w:tblPr>
        <w:tblW w:w="11068" w:type="dxa"/>
        <w:jc w:val="center"/>
        <w:tblCellMar>
          <w:left w:w="70" w:type="dxa"/>
          <w:right w:w="70" w:type="dxa"/>
        </w:tblCellMar>
        <w:tblLook w:val="04A0" w:firstRow="1" w:lastRow="0" w:firstColumn="1" w:lastColumn="0" w:noHBand="0" w:noVBand="1"/>
      </w:tblPr>
      <w:tblGrid>
        <w:gridCol w:w="11068"/>
      </w:tblGrid>
      <w:tr w:rsidR="00D00D1F" w:rsidRPr="00240E45" w14:paraId="4E9EC5AA" w14:textId="77777777" w:rsidTr="00215044">
        <w:trPr>
          <w:trHeight w:val="226"/>
          <w:jc w:val="center"/>
        </w:trPr>
        <w:tc>
          <w:tcPr>
            <w:tcW w:w="11068" w:type="dxa"/>
            <w:shd w:val="clear" w:color="auto" w:fill="auto"/>
            <w:noWrap/>
            <w:vAlign w:val="center"/>
          </w:tcPr>
          <w:p w14:paraId="710B03D4" w14:textId="779B91FC" w:rsidR="00D00D1F" w:rsidRPr="00240E45" w:rsidRDefault="00D00D1F" w:rsidP="00215044">
            <w:pPr>
              <w:spacing w:after="0" w:line="240" w:lineRule="auto"/>
              <w:jc w:val="center"/>
              <w:rPr>
                <w:rFonts w:ascii="Calibri" w:eastAsia="Times New Roman" w:hAnsi="Calibri" w:cs="Times New Roman"/>
                <w:b/>
                <w:color w:val="050505"/>
                <w:sz w:val="20"/>
                <w:szCs w:val="24"/>
                <w:lang w:eastAsia="es-MX"/>
              </w:rPr>
            </w:pPr>
            <w:r w:rsidRPr="00240E45">
              <w:rPr>
                <w:rFonts w:ascii="Calibri" w:eastAsia="Times New Roman" w:hAnsi="Calibri" w:cs="Times New Roman"/>
                <w:b/>
                <w:color w:val="050505"/>
                <w:sz w:val="20"/>
                <w:szCs w:val="24"/>
                <w:lang w:eastAsia="es-MX"/>
              </w:rPr>
              <w:t xml:space="preserve">Gráfico 5. </w:t>
            </w:r>
            <w:r w:rsidR="00215044" w:rsidRPr="00240E45">
              <w:rPr>
                <w:rFonts w:ascii="Calibri" w:eastAsia="Times New Roman" w:hAnsi="Calibri" w:cs="Times New Roman"/>
                <w:b/>
                <w:color w:val="050505"/>
                <w:sz w:val="20"/>
                <w:szCs w:val="24"/>
                <w:lang w:eastAsia="es-MX"/>
              </w:rPr>
              <w:t xml:space="preserve">Posición </w:t>
            </w:r>
            <w:r w:rsidRPr="00240E45">
              <w:rPr>
                <w:rFonts w:ascii="Calibri" w:eastAsia="Times New Roman" w:hAnsi="Calibri" w:cs="Times New Roman"/>
                <w:b/>
                <w:color w:val="050505"/>
                <w:sz w:val="20"/>
                <w:szCs w:val="24"/>
                <w:lang w:eastAsia="es-MX"/>
              </w:rPr>
              <w:t xml:space="preserve">de las </w:t>
            </w:r>
            <w:r w:rsidR="00215044" w:rsidRPr="00240E45">
              <w:rPr>
                <w:rFonts w:ascii="Calibri" w:eastAsia="Times New Roman" w:hAnsi="Calibri" w:cs="Times New Roman"/>
                <w:b/>
                <w:color w:val="050505"/>
                <w:sz w:val="20"/>
                <w:szCs w:val="24"/>
                <w:lang w:eastAsia="es-MX"/>
              </w:rPr>
              <w:t xml:space="preserve">tres mejores </w:t>
            </w:r>
            <w:r w:rsidRPr="00240E45">
              <w:rPr>
                <w:rFonts w:ascii="Calibri" w:eastAsia="Times New Roman" w:hAnsi="Calibri" w:cs="Times New Roman"/>
                <w:b/>
                <w:color w:val="050505"/>
                <w:sz w:val="20"/>
                <w:szCs w:val="24"/>
                <w:lang w:eastAsia="es-MX"/>
              </w:rPr>
              <w:t>universidades mexicanas en e</w:t>
            </w:r>
            <w:r w:rsidR="00DB4F05" w:rsidRPr="00240E45">
              <w:rPr>
                <w:rFonts w:ascii="Calibri" w:eastAsia="Times New Roman" w:hAnsi="Calibri" w:cs="Times New Roman"/>
                <w:b/>
                <w:color w:val="050505"/>
                <w:sz w:val="20"/>
                <w:szCs w:val="24"/>
                <w:lang w:eastAsia="es-MX"/>
              </w:rPr>
              <w:t>l THE ranking mundial, 201</w:t>
            </w:r>
            <w:r w:rsidR="00215044" w:rsidRPr="00240E45">
              <w:rPr>
                <w:rFonts w:ascii="Calibri" w:eastAsia="Times New Roman" w:hAnsi="Calibri" w:cs="Times New Roman"/>
                <w:b/>
                <w:color w:val="050505"/>
                <w:sz w:val="20"/>
                <w:szCs w:val="24"/>
                <w:lang w:eastAsia="es-MX"/>
              </w:rPr>
              <w:t>8</w:t>
            </w:r>
            <w:r w:rsidR="00270C1A" w:rsidRPr="00240E45">
              <w:rPr>
                <w:rFonts w:ascii="Calibri" w:eastAsia="Times New Roman" w:hAnsi="Calibri" w:cs="Times New Roman"/>
                <w:b/>
                <w:color w:val="050505"/>
                <w:sz w:val="20"/>
                <w:szCs w:val="24"/>
                <w:lang w:eastAsia="es-MX"/>
              </w:rPr>
              <w:t xml:space="preserve"> a </w:t>
            </w:r>
            <w:r w:rsidR="00DB4F05" w:rsidRPr="00240E45">
              <w:rPr>
                <w:rFonts w:ascii="Calibri" w:eastAsia="Times New Roman" w:hAnsi="Calibri" w:cs="Times New Roman"/>
                <w:b/>
                <w:color w:val="050505"/>
                <w:sz w:val="20"/>
                <w:szCs w:val="24"/>
                <w:lang w:eastAsia="es-MX"/>
              </w:rPr>
              <w:t>20</w:t>
            </w:r>
            <w:r w:rsidR="00215044" w:rsidRPr="00240E45">
              <w:rPr>
                <w:rFonts w:ascii="Calibri" w:eastAsia="Times New Roman" w:hAnsi="Calibri" w:cs="Times New Roman"/>
                <w:b/>
                <w:color w:val="050505"/>
                <w:sz w:val="20"/>
                <w:szCs w:val="24"/>
                <w:lang w:eastAsia="es-MX"/>
              </w:rPr>
              <w:t>20</w:t>
            </w:r>
            <w:r w:rsidRPr="00240E45">
              <w:rPr>
                <w:rFonts w:ascii="Calibri" w:eastAsia="Times New Roman" w:hAnsi="Calibri" w:cs="Times New Roman"/>
                <w:b/>
                <w:color w:val="050505"/>
                <w:sz w:val="20"/>
                <w:szCs w:val="24"/>
                <w:lang w:eastAsia="es-MX"/>
              </w:rPr>
              <w:t>.</w:t>
            </w:r>
          </w:p>
        </w:tc>
      </w:tr>
      <w:tr w:rsidR="00D00D1F" w:rsidRPr="00240E45" w14:paraId="16280B7F" w14:textId="77777777" w:rsidTr="00215044">
        <w:trPr>
          <w:trHeight w:val="427"/>
          <w:jc w:val="center"/>
        </w:trPr>
        <w:tc>
          <w:tcPr>
            <w:tcW w:w="11068" w:type="dxa"/>
            <w:shd w:val="clear" w:color="auto" w:fill="auto"/>
            <w:noWrap/>
            <w:vAlign w:val="center"/>
          </w:tcPr>
          <w:p w14:paraId="3C11E918" w14:textId="262C625C" w:rsidR="00D00D1F" w:rsidRPr="00240E45" w:rsidRDefault="00215044" w:rsidP="002F1244">
            <w:pPr>
              <w:spacing w:after="0" w:line="240" w:lineRule="auto"/>
              <w:jc w:val="center"/>
              <w:rPr>
                <w:rFonts w:ascii="Calibri" w:eastAsia="Times New Roman" w:hAnsi="Calibri" w:cs="Times New Roman"/>
                <w:b/>
                <w:color w:val="050505"/>
                <w:sz w:val="16"/>
                <w:szCs w:val="18"/>
                <w:lang w:eastAsia="es-MX"/>
              </w:rPr>
            </w:pPr>
            <w:r w:rsidRPr="00240E45">
              <w:rPr>
                <w:noProof/>
                <w:lang w:eastAsia="es-MX"/>
              </w:rPr>
              <w:drawing>
                <wp:inline distT="0" distB="0" distL="0" distR="0" wp14:anchorId="0FC6273C" wp14:editId="53B1886A">
                  <wp:extent cx="6939887" cy="2245057"/>
                  <wp:effectExtent l="0" t="0" r="0" b="317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74952C00" w14:textId="77777777" w:rsidR="008A0463" w:rsidRPr="00240E45" w:rsidRDefault="008A0463" w:rsidP="002062E7">
      <w:pPr>
        <w:pStyle w:val="Prrafodelista"/>
        <w:spacing w:after="0" w:line="240" w:lineRule="auto"/>
        <w:jc w:val="both"/>
        <w:rPr>
          <w:sz w:val="24"/>
        </w:rPr>
      </w:pPr>
    </w:p>
    <w:tbl>
      <w:tblPr>
        <w:tblW w:w="11801" w:type="dxa"/>
        <w:jc w:val="center"/>
        <w:tblLayout w:type="fixed"/>
        <w:tblCellMar>
          <w:left w:w="70" w:type="dxa"/>
          <w:right w:w="70" w:type="dxa"/>
        </w:tblCellMar>
        <w:tblLook w:val="04A0" w:firstRow="1" w:lastRow="0" w:firstColumn="1" w:lastColumn="0" w:noHBand="0" w:noVBand="1"/>
      </w:tblPr>
      <w:tblGrid>
        <w:gridCol w:w="3159"/>
        <w:gridCol w:w="959"/>
        <w:gridCol w:w="960"/>
        <w:gridCol w:w="961"/>
        <w:gridCol w:w="960"/>
        <w:gridCol w:w="959"/>
        <w:gridCol w:w="962"/>
        <w:gridCol w:w="959"/>
        <w:gridCol w:w="960"/>
        <w:gridCol w:w="962"/>
      </w:tblGrid>
      <w:tr w:rsidR="009C758F" w:rsidRPr="00240E45" w14:paraId="4352AAA9" w14:textId="2B94FD32" w:rsidTr="00AC52AC">
        <w:trPr>
          <w:trHeight w:val="236"/>
          <w:jc w:val="center"/>
        </w:trPr>
        <w:tc>
          <w:tcPr>
            <w:tcW w:w="11801" w:type="dxa"/>
            <w:gridSpan w:val="10"/>
            <w:tcBorders>
              <w:bottom w:val="single" w:sz="4" w:space="0" w:color="auto"/>
            </w:tcBorders>
            <w:shd w:val="clear" w:color="auto" w:fill="auto"/>
            <w:vAlign w:val="center"/>
          </w:tcPr>
          <w:p w14:paraId="0DC225BC" w14:textId="1BCA91F0" w:rsidR="009C758F" w:rsidRPr="00240E45" w:rsidRDefault="009C758F" w:rsidP="00C439C8">
            <w:pPr>
              <w:spacing w:after="0" w:line="240" w:lineRule="auto"/>
              <w:jc w:val="center"/>
              <w:rPr>
                <w:rFonts w:ascii="Calibri" w:eastAsia="Times New Roman" w:hAnsi="Calibri" w:cs="Times New Roman"/>
                <w:b/>
                <w:color w:val="050505"/>
                <w:sz w:val="20"/>
                <w:szCs w:val="24"/>
                <w:lang w:eastAsia="es-MX"/>
              </w:rPr>
            </w:pPr>
            <w:r w:rsidRPr="00240E45">
              <w:rPr>
                <w:rFonts w:ascii="Calibri" w:eastAsia="Times New Roman" w:hAnsi="Calibri" w:cs="Times New Roman"/>
                <w:b/>
                <w:color w:val="050505"/>
                <w:sz w:val="20"/>
                <w:szCs w:val="24"/>
                <w:lang w:eastAsia="es-MX"/>
              </w:rPr>
              <w:t>Tabla 6. Comparación entre la UNAM, ITESM y UAM en los indicadores del THE ranking mundial, 2018 a 2020.</w:t>
            </w:r>
          </w:p>
        </w:tc>
      </w:tr>
      <w:tr w:rsidR="00C439C8" w:rsidRPr="00240E45" w14:paraId="4B15AFAD" w14:textId="6C2E441B" w:rsidTr="000A74E8">
        <w:trPr>
          <w:trHeight w:val="236"/>
          <w:jc w:val="center"/>
        </w:trPr>
        <w:tc>
          <w:tcPr>
            <w:tcW w:w="3159"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186B50" w14:textId="77777777" w:rsidR="00C439C8" w:rsidRPr="00240E45" w:rsidRDefault="00C439C8" w:rsidP="00DE0F03">
            <w:pPr>
              <w:spacing w:after="0" w:line="240" w:lineRule="auto"/>
              <w:jc w:val="center"/>
              <w:rPr>
                <w:rFonts w:ascii="Calibri" w:eastAsia="Times New Roman" w:hAnsi="Calibri" w:cs="Calibri"/>
                <w:b/>
                <w:bCs/>
                <w:color w:val="000000"/>
                <w:lang w:eastAsia="es-MX"/>
              </w:rPr>
            </w:pPr>
            <w:r w:rsidRPr="00240E45">
              <w:rPr>
                <w:rFonts w:ascii="Calibri" w:eastAsia="Times New Roman" w:hAnsi="Calibri" w:cs="Calibri"/>
                <w:b/>
                <w:bCs/>
                <w:color w:val="000000"/>
                <w:lang w:eastAsia="es-MX"/>
              </w:rPr>
              <w:t>Indicador</w:t>
            </w:r>
          </w:p>
        </w:tc>
        <w:tc>
          <w:tcPr>
            <w:tcW w:w="2880" w:type="dxa"/>
            <w:gridSpan w:val="3"/>
            <w:tcBorders>
              <w:top w:val="single" w:sz="4" w:space="0" w:color="auto"/>
              <w:left w:val="nil"/>
              <w:bottom w:val="single" w:sz="4" w:space="0" w:color="auto"/>
              <w:right w:val="single" w:sz="4" w:space="0" w:color="000000"/>
            </w:tcBorders>
            <w:shd w:val="clear" w:color="auto" w:fill="BDD6EE" w:themeFill="accent1" w:themeFillTint="66"/>
            <w:vAlign w:val="center"/>
            <w:hideMark/>
          </w:tcPr>
          <w:p w14:paraId="15D9DC7E" w14:textId="77777777" w:rsidR="00C439C8" w:rsidRPr="00240E45" w:rsidRDefault="00C439C8" w:rsidP="00DE0F03">
            <w:pPr>
              <w:spacing w:after="0" w:line="240" w:lineRule="auto"/>
              <w:jc w:val="center"/>
              <w:rPr>
                <w:rFonts w:ascii="Calibri" w:eastAsia="Times New Roman" w:hAnsi="Calibri" w:cs="Calibri"/>
                <w:b/>
                <w:bCs/>
                <w:color w:val="000000"/>
                <w:lang w:eastAsia="es-MX"/>
              </w:rPr>
            </w:pPr>
            <w:r w:rsidRPr="00240E45">
              <w:rPr>
                <w:rFonts w:ascii="Calibri" w:eastAsia="Times New Roman" w:hAnsi="Calibri" w:cs="Calibri"/>
                <w:b/>
                <w:bCs/>
                <w:color w:val="000000"/>
                <w:lang w:eastAsia="es-MX"/>
              </w:rPr>
              <w:t>UNAM</w:t>
            </w:r>
          </w:p>
        </w:tc>
        <w:tc>
          <w:tcPr>
            <w:tcW w:w="2881"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1EC8E23" w14:textId="77777777" w:rsidR="00C439C8" w:rsidRPr="00240E45" w:rsidRDefault="00C439C8" w:rsidP="00DE0F03">
            <w:pPr>
              <w:spacing w:after="0" w:line="240" w:lineRule="auto"/>
              <w:jc w:val="center"/>
              <w:rPr>
                <w:rFonts w:ascii="Calibri" w:eastAsia="Times New Roman" w:hAnsi="Calibri" w:cs="Calibri"/>
                <w:b/>
                <w:bCs/>
                <w:color w:val="000000"/>
                <w:lang w:eastAsia="es-MX"/>
              </w:rPr>
            </w:pPr>
            <w:r w:rsidRPr="00240E45">
              <w:rPr>
                <w:rFonts w:ascii="Calibri" w:eastAsia="Times New Roman" w:hAnsi="Calibri" w:cs="Calibri"/>
                <w:b/>
                <w:bCs/>
                <w:color w:val="000000"/>
                <w:lang w:eastAsia="es-MX"/>
              </w:rPr>
              <w:t>ITESM</w:t>
            </w:r>
          </w:p>
        </w:tc>
        <w:tc>
          <w:tcPr>
            <w:tcW w:w="2881" w:type="dxa"/>
            <w:gridSpan w:val="3"/>
            <w:tcBorders>
              <w:top w:val="single" w:sz="4" w:space="0" w:color="auto"/>
              <w:left w:val="nil"/>
              <w:bottom w:val="single" w:sz="4" w:space="0" w:color="auto"/>
              <w:right w:val="single" w:sz="4" w:space="0" w:color="auto"/>
            </w:tcBorders>
            <w:shd w:val="clear" w:color="auto" w:fill="BDD6EE" w:themeFill="accent1" w:themeFillTint="66"/>
          </w:tcPr>
          <w:p w14:paraId="45F7C375" w14:textId="2F5E4A38" w:rsidR="00C439C8" w:rsidRPr="00240E45" w:rsidRDefault="00C439C8" w:rsidP="00C439C8">
            <w:pPr>
              <w:spacing w:after="0" w:line="240" w:lineRule="auto"/>
              <w:jc w:val="center"/>
              <w:rPr>
                <w:rFonts w:ascii="Calibri" w:eastAsia="Times New Roman" w:hAnsi="Calibri" w:cs="Calibri"/>
                <w:b/>
                <w:bCs/>
                <w:color w:val="000000"/>
                <w:lang w:eastAsia="es-MX"/>
              </w:rPr>
            </w:pPr>
            <w:r w:rsidRPr="00240E45">
              <w:rPr>
                <w:rFonts w:ascii="Calibri" w:eastAsia="Times New Roman" w:hAnsi="Calibri" w:cs="Calibri"/>
                <w:b/>
                <w:bCs/>
                <w:color w:val="000000"/>
                <w:lang w:eastAsia="es-MX"/>
              </w:rPr>
              <w:t>UAM</w:t>
            </w:r>
          </w:p>
        </w:tc>
      </w:tr>
      <w:tr w:rsidR="000A74E8" w:rsidRPr="00240E45" w14:paraId="46FB2139" w14:textId="4D123EE3" w:rsidTr="000A74E8">
        <w:trPr>
          <w:trHeight w:val="236"/>
          <w:jc w:val="center"/>
        </w:trPr>
        <w:tc>
          <w:tcPr>
            <w:tcW w:w="3159" w:type="dxa"/>
            <w:vMerge/>
            <w:tcBorders>
              <w:top w:val="single" w:sz="4" w:space="0" w:color="auto"/>
              <w:left w:val="single" w:sz="4" w:space="0" w:color="auto"/>
              <w:bottom w:val="single" w:sz="4" w:space="0" w:color="auto"/>
              <w:right w:val="single" w:sz="4" w:space="0" w:color="auto"/>
            </w:tcBorders>
            <w:vAlign w:val="center"/>
            <w:hideMark/>
          </w:tcPr>
          <w:p w14:paraId="1A016D52" w14:textId="77777777" w:rsidR="00C439C8" w:rsidRPr="00240E45" w:rsidRDefault="00C439C8" w:rsidP="00C439C8">
            <w:pPr>
              <w:spacing w:after="0" w:line="240" w:lineRule="auto"/>
              <w:rPr>
                <w:rFonts w:ascii="Calibri" w:eastAsia="Times New Roman" w:hAnsi="Calibri" w:cs="Calibri"/>
                <w:b/>
                <w:bCs/>
                <w:color w:val="000000"/>
                <w:lang w:eastAsia="es-MX"/>
              </w:rPr>
            </w:pPr>
          </w:p>
        </w:tc>
        <w:tc>
          <w:tcPr>
            <w:tcW w:w="959" w:type="dxa"/>
            <w:tcBorders>
              <w:top w:val="nil"/>
              <w:left w:val="nil"/>
              <w:bottom w:val="single" w:sz="4" w:space="0" w:color="auto"/>
              <w:right w:val="single" w:sz="4" w:space="0" w:color="auto"/>
            </w:tcBorders>
            <w:shd w:val="clear" w:color="auto" w:fill="DEEAF6" w:themeFill="accent1" w:themeFillTint="33"/>
            <w:noWrap/>
            <w:vAlign w:val="bottom"/>
          </w:tcPr>
          <w:p w14:paraId="43CBA4BA" w14:textId="049F7FD8" w:rsidR="00C439C8" w:rsidRPr="00240E45" w:rsidRDefault="00C439C8" w:rsidP="00C439C8">
            <w:pPr>
              <w:spacing w:after="0" w:line="240" w:lineRule="auto"/>
              <w:jc w:val="center"/>
              <w:rPr>
                <w:rFonts w:ascii="Calibri" w:eastAsia="Times New Roman" w:hAnsi="Calibri" w:cs="Calibri"/>
                <w:b/>
                <w:color w:val="000000"/>
                <w:sz w:val="20"/>
                <w:lang w:eastAsia="es-MX"/>
              </w:rPr>
            </w:pPr>
            <w:r w:rsidRPr="00240E45">
              <w:rPr>
                <w:rFonts w:ascii="Calibri" w:hAnsi="Calibri" w:cs="Calibri"/>
                <w:b/>
                <w:color w:val="000000"/>
              </w:rPr>
              <w:t>2018</w:t>
            </w:r>
          </w:p>
        </w:tc>
        <w:tc>
          <w:tcPr>
            <w:tcW w:w="960" w:type="dxa"/>
            <w:tcBorders>
              <w:top w:val="nil"/>
              <w:left w:val="nil"/>
              <w:bottom w:val="single" w:sz="4" w:space="0" w:color="auto"/>
              <w:right w:val="single" w:sz="4" w:space="0" w:color="auto"/>
            </w:tcBorders>
            <w:shd w:val="clear" w:color="auto" w:fill="DEEAF6" w:themeFill="accent1" w:themeFillTint="33"/>
            <w:noWrap/>
            <w:vAlign w:val="bottom"/>
          </w:tcPr>
          <w:p w14:paraId="767B4769" w14:textId="75F845A7" w:rsidR="00C439C8" w:rsidRPr="00240E45" w:rsidRDefault="00C439C8" w:rsidP="00C439C8">
            <w:pPr>
              <w:spacing w:after="0" w:line="240" w:lineRule="auto"/>
              <w:jc w:val="center"/>
              <w:rPr>
                <w:rFonts w:ascii="Calibri" w:eastAsia="Times New Roman" w:hAnsi="Calibri" w:cs="Calibri"/>
                <w:b/>
                <w:color w:val="000000"/>
                <w:sz w:val="20"/>
                <w:lang w:eastAsia="es-MX"/>
              </w:rPr>
            </w:pPr>
            <w:r w:rsidRPr="00240E45">
              <w:rPr>
                <w:rFonts w:ascii="Calibri" w:hAnsi="Calibri" w:cs="Calibri"/>
                <w:b/>
                <w:color w:val="000000"/>
              </w:rPr>
              <w:t>2019</w:t>
            </w:r>
          </w:p>
        </w:tc>
        <w:tc>
          <w:tcPr>
            <w:tcW w:w="961" w:type="dxa"/>
            <w:tcBorders>
              <w:top w:val="nil"/>
              <w:left w:val="nil"/>
              <w:bottom w:val="single" w:sz="4" w:space="0" w:color="auto"/>
              <w:right w:val="single" w:sz="4" w:space="0" w:color="auto"/>
            </w:tcBorders>
            <w:shd w:val="clear" w:color="auto" w:fill="DEEAF6" w:themeFill="accent1" w:themeFillTint="33"/>
            <w:noWrap/>
            <w:vAlign w:val="bottom"/>
          </w:tcPr>
          <w:p w14:paraId="3D20C236" w14:textId="5094FCBF" w:rsidR="00C439C8" w:rsidRPr="00240E45" w:rsidRDefault="00C439C8" w:rsidP="00C439C8">
            <w:pPr>
              <w:spacing w:after="0" w:line="240" w:lineRule="auto"/>
              <w:jc w:val="center"/>
              <w:rPr>
                <w:rFonts w:ascii="Calibri" w:eastAsia="Times New Roman" w:hAnsi="Calibri" w:cs="Calibri"/>
                <w:b/>
                <w:color w:val="000000"/>
                <w:sz w:val="20"/>
                <w:lang w:eastAsia="es-MX"/>
              </w:rPr>
            </w:pPr>
            <w:r w:rsidRPr="00240E45">
              <w:rPr>
                <w:rFonts w:ascii="Calibri" w:hAnsi="Calibri" w:cs="Calibri"/>
                <w:b/>
                <w:color w:val="000000"/>
              </w:rPr>
              <w:t>2020</w:t>
            </w:r>
          </w:p>
        </w:tc>
        <w:tc>
          <w:tcPr>
            <w:tcW w:w="960" w:type="dxa"/>
            <w:tcBorders>
              <w:top w:val="nil"/>
              <w:left w:val="nil"/>
              <w:bottom w:val="single" w:sz="4" w:space="0" w:color="auto"/>
              <w:right w:val="single" w:sz="4" w:space="0" w:color="auto"/>
            </w:tcBorders>
            <w:shd w:val="clear" w:color="auto" w:fill="DEEAF6" w:themeFill="accent1" w:themeFillTint="33"/>
            <w:noWrap/>
            <w:vAlign w:val="bottom"/>
          </w:tcPr>
          <w:p w14:paraId="2CC7763F" w14:textId="07B68192" w:rsidR="00C439C8" w:rsidRPr="00240E45" w:rsidRDefault="00C439C8" w:rsidP="00C439C8">
            <w:pPr>
              <w:spacing w:after="0" w:line="240" w:lineRule="auto"/>
              <w:jc w:val="center"/>
              <w:rPr>
                <w:rFonts w:ascii="Calibri" w:eastAsia="Times New Roman" w:hAnsi="Calibri" w:cs="Calibri"/>
                <w:b/>
                <w:color w:val="000000"/>
                <w:sz w:val="20"/>
                <w:lang w:eastAsia="es-MX"/>
              </w:rPr>
            </w:pPr>
            <w:r w:rsidRPr="00240E45">
              <w:rPr>
                <w:rFonts w:ascii="Calibri" w:hAnsi="Calibri" w:cs="Calibri"/>
                <w:b/>
                <w:color w:val="000000"/>
              </w:rPr>
              <w:t>2018</w:t>
            </w:r>
          </w:p>
        </w:tc>
        <w:tc>
          <w:tcPr>
            <w:tcW w:w="959" w:type="dxa"/>
            <w:tcBorders>
              <w:top w:val="nil"/>
              <w:left w:val="nil"/>
              <w:bottom w:val="single" w:sz="4" w:space="0" w:color="auto"/>
              <w:right w:val="single" w:sz="4" w:space="0" w:color="auto"/>
            </w:tcBorders>
            <w:shd w:val="clear" w:color="auto" w:fill="DEEAF6" w:themeFill="accent1" w:themeFillTint="33"/>
            <w:noWrap/>
            <w:vAlign w:val="bottom"/>
          </w:tcPr>
          <w:p w14:paraId="7B10268D" w14:textId="7F956094" w:rsidR="00C439C8" w:rsidRPr="00240E45" w:rsidRDefault="00C439C8" w:rsidP="00C439C8">
            <w:pPr>
              <w:spacing w:after="0" w:line="240" w:lineRule="auto"/>
              <w:jc w:val="center"/>
              <w:rPr>
                <w:rFonts w:ascii="Calibri" w:eastAsia="Times New Roman" w:hAnsi="Calibri" w:cs="Calibri"/>
                <w:b/>
                <w:color w:val="000000"/>
                <w:sz w:val="20"/>
                <w:lang w:eastAsia="es-MX"/>
              </w:rPr>
            </w:pPr>
            <w:r w:rsidRPr="00240E45">
              <w:rPr>
                <w:rFonts w:ascii="Calibri" w:hAnsi="Calibri" w:cs="Calibri"/>
                <w:b/>
                <w:color w:val="000000"/>
              </w:rPr>
              <w:t>2019</w:t>
            </w:r>
          </w:p>
        </w:tc>
        <w:tc>
          <w:tcPr>
            <w:tcW w:w="962" w:type="dxa"/>
            <w:tcBorders>
              <w:top w:val="nil"/>
              <w:left w:val="nil"/>
              <w:bottom w:val="single" w:sz="4" w:space="0" w:color="auto"/>
              <w:right w:val="single" w:sz="4" w:space="0" w:color="auto"/>
            </w:tcBorders>
            <w:shd w:val="clear" w:color="auto" w:fill="DEEAF6" w:themeFill="accent1" w:themeFillTint="33"/>
            <w:noWrap/>
            <w:vAlign w:val="bottom"/>
          </w:tcPr>
          <w:p w14:paraId="6A61DA28" w14:textId="20A703DB" w:rsidR="00C439C8" w:rsidRPr="00240E45" w:rsidRDefault="00C439C8" w:rsidP="00C439C8">
            <w:pPr>
              <w:spacing w:after="0" w:line="240" w:lineRule="auto"/>
              <w:jc w:val="center"/>
              <w:rPr>
                <w:rFonts w:ascii="Calibri" w:eastAsia="Times New Roman" w:hAnsi="Calibri" w:cs="Calibri"/>
                <w:b/>
                <w:color w:val="000000"/>
                <w:sz w:val="20"/>
                <w:lang w:eastAsia="es-MX"/>
              </w:rPr>
            </w:pPr>
            <w:r w:rsidRPr="00240E45">
              <w:rPr>
                <w:rFonts w:ascii="Calibri" w:hAnsi="Calibri" w:cs="Calibri"/>
                <w:b/>
                <w:color w:val="000000"/>
              </w:rPr>
              <w:t>2020</w:t>
            </w:r>
          </w:p>
        </w:tc>
        <w:tc>
          <w:tcPr>
            <w:tcW w:w="959" w:type="dxa"/>
            <w:tcBorders>
              <w:top w:val="nil"/>
              <w:left w:val="nil"/>
              <w:bottom w:val="single" w:sz="4" w:space="0" w:color="auto"/>
              <w:right w:val="single" w:sz="4" w:space="0" w:color="auto"/>
            </w:tcBorders>
            <w:shd w:val="clear" w:color="auto" w:fill="DEEAF6" w:themeFill="accent1" w:themeFillTint="33"/>
            <w:vAlign w:val="bottom"/>
          </w:tcPr>
          <w:p w14:paraId="46250929" w14:textId="6FA66392" w:rsidR="00C439C8" w:rsidRPr="00240E45" w:rsidRDefault="00C439C8" w:rsidP="00C439C8">
            <w:pPr>
              <w:spacing w:after="0" w:line="240" w:lineRule="auto"/>
              <w:jc w:val="center"/>
              <w:rPr>
                <w:rFonts w:ascii="Calibri" w:eastAsia="Times New Roman" w:hAnsi="Calibri" w:cs="Calibri"/>
                <w:b/>
                <w:color w:val="000000"/>
                <w:sz w:val="20"/>
                <w:lang w:eastAsia="es-MX"/>
              </w:rPr>
            </w:pPr>
            <w:r w:rsidRPr="00240E45">
              <w:rPr>
                <w:rFonts w:ascii="Calibri" w:hAnsi="Calibri" w:cs="Calibri"/>
                <w:b/>
                <w:color w:val="000000"/>
              </w:rPr>
              <w:t>2018</w:t>
            </w:r>
          </w:p>
        </w:tc>
        <w:tc>
          <w:tcPr>
            <w:tcW w:w="960" w:type="dxa"/>
            <w:tcBorders>
              <w:top w:val="nil"/>
              <w:left w:val="nil"/>
              <w:bottom w:val="single" w:sz="4" w:space="0" w:color="auto"/>
              <w:right w:val="single" w:sz="4" w:space="0" w:color="auto"/>
            </w:tcBorders>
            <w:shd w:val="clear" w:color="auto" w:fill="DEEAF6" w:themeFill="accent1" w:themeFillTint="33"/>
            <w:vAlign w:val="bottom"/>
          </w:tcPr>
          <w:p w14:paraId="41DD9FD6" w14:textId="5D46C5F5" w:rsidR="00C439C8" w:rsidRPr="00240E45" w:rsidRDefault="00C439C8" w:rsidP="00C439C8">
            <w:pPr>
              <w:spacing w:after="0" w:line="240" w:lineRule="auto"/>
              <w:jc w:val="center"/>
              <w:rPr>
                <w:rFonts w:ascii="Calibri" w:eastAsia="Times New Roman" w:hAnsi="Calibri" w:cs="Calibri"/>
                <w:b/>
                <w:color w:val="000000"/>
                <w:sz w:val="20"/>
                <w:lang w:eastAsia="es-MX"/>
              </w:rPr>
            </w:pPr>
            <w:r w:rsidRPr="00240E45">
              <w:rPr>
                <w:rFonts w:ascii="Calibri" w:hAnsi="Calibri" w:cs="Calibri"/>
                <w:b/>
                <w:color w:val="000000"/>
              </w:rPr>
              <w:t>2019</w:t>
            </w:r>
          </w:p>
        </w:tc>
        <w:tc>
          <w:tcPr>
            <w:tcW w:w="962" w:type="dxa"/>
            <w:tcBorders>
              <w:top w:val="nil"/>
              <w:left w:val="nil"/>
              <w:bottom w:val="single" w:sz="4" w:space="0" w:color="auto"/>
              <w:right w:val="single" w:sz="4" w:space="0" w:color="auto"/>
            </w:tcBorders>
            <w:shd w:val="clear" w:color="auto" w:fill="DEEAF6" w:themeFill="accent1" w:themeFillTint="33"/>
            <w:vAlign w:val="bottom"/>
          </w:tcPr>
          <w:p w14:paraId="50036D12" w14:textId="7F2533D2" w:rsidR="00C439C8" w:rsidRPr="00240E45" w:rsidRDefault="00C439C8" w:rsidP="00C439C8">
            <w:pPr>
              <w:spacing w:after="0" w:line="240" w:lineRule="auto"/>
              <w:jc w:val="center"/>
              <w:rPr>
                <w:rFonts w:ascii="Calibri" w:eastAsia="Times New Roman" w:hAnsi="Calibri" w:cs="Calibri"/>
                <w:b/>
                <w:color w:val="000000"/>
                <w:sz w:val="20"/>
                <w:lang w:eastAsia="es-MX"/>
              </w:rPr>
            </w:pPr>
            <w:r w:rsidRPr="00240E45">
              <w:rPr>
                <w:rFonts w:ascii="Calibri" w:hAnsi="Calibri" w:cs="Calibri"/>
                <w:b/>
                <w:color w:val="000000"/>
              </w:rPr>
              <w:t>2020</w:t>
            </w:r>
          </w:p>
        </w:tc>
      </w:tr>
      <w:tr w:rsidR="00DF25B3" w:rsidRPr="00240E45" w14:paraId="0A07C3AE" w14:textId="2E7C26E1" w:rsidTr="000A74E8">
        <w:trPr>
          <w:trHeight w:val="236"/>
          <w:jc w:val="center"/>
        </w:trPr>
        <w:tc>
          <w:tcPr>
            <w:tcW w:w="3159" w:type="dxa"/>
            <w:tcBorders>
              <w:top w:val="nil"/>
              <w:left w:val="single" w:sz="4" w:space="0" w:color="auto"/>
              <w:bottom w:val="single" w:sz="4" w:space="0" w:color="auto"/>
              <w:right w:val="single" w:sz="4" w:space="0" w:color="auto"/>
            </w:tcBorders>
            <w:shd w:val="clear" w:color="auto" w:fill="auto"/>
            <w:noWrap/>
            <w:vAlign w:val="bottom"/>
            <w:hideMark/>
          </w:tcPr>
          <w:p w14:paraId="2B3668BE" w14:textId="77777777" w:rsidR="00DF25B3" w:rsidRPr="00240E45" w:rsidRDefault="00DF25B3" w:rsidP="00DF25B3">
            <w:pPr>
              <w:spacing w:after="0" w:line="240" w:lineRule="auto"/>
              <w:jc w:val="right"/>
              <w:rPr>
                <w:rFonts w:ascii="Calibri" w:eastAsia="Times New Roman" w:hAnsi="Calibri" w:cs="Calibri"/>
                <w:b/>
                <w:bCs/>
                <w:color w:val="000000"/>
                <w:lang w:eastAsia="es-MX"/>
              </w:rPr>
            </w:pPr>
            <w:r w:rsidRPr="00240E45">
              <w:rPr>
                <w:rFonts w:ascii="Calibri" w:eastAsia="Times New Roman" w:hAnsi="Calibri" w:cs="Calibri"/>
                <w:b/>
                <w:bCs/>
                <w:color w:val="000000"/>
                <w:lang w:eastAsia="es-MX"/>
              </w:rPr>
              <w:t>Posición</w:t>
            </w:r>
          </w:p>
        </w:tc>
        <w:tc>
          <w:tcPr>
            <w:tcW w:w="959" w:type="dxa"/>
            <w:tcBorders>
              <w:top w:val="nil"/>
              <w:left w:val="nil"/>
              <w:bottom w:val="single" w:sz="4" w:space="0" w:color="auto"/>
              <w:right w:val="single" w:sz="4" w:space="0" w:color="auto"/>
            </w:tcBorders>
            <w:shd w:val="clear" w:color="auto" w:fill="auto"/>
            <w:noWrap/>
            <w:vAlign w:val="center"/>
          </w:tcPr>
          <w:p w14:paraId="615CFD1D" w14:textId="244A5B14"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631</w:t>
            </w:r>
          </w:p>
        </w:tc>
        <w:tc>
          <w:tcPr>
            <w:tcW w:w="960" w:type="dxa"/>
            <w:tcBorders>
              <w:top w:val="nil"/>
              <w:left w:val="nil"/>
              <w:bottom w:val="single" w:sz="4" w:space="0" w:color="auto"/>
              <w:right w:val="single" w:sz="4" w:space="0" w:color="auto"/>
            </w:tcBorders>
            <w:shd w:val="clear" w:color="auto" w:fill="auto"/>
            <w:noWrap/>
            <w:vAlign w:val="center"/>
          </w:tcPr>
          <w:p w14:paraId="4767354D" w14:textId="5394C2A4"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729</w:t>
            </w:r>
          </w:p>
        </w:tc>
        <w:tc>
          <w:tcPr>
            <w:tcW w:w="961" w:type="dxa"/>
            <w:tcBorders>
              <w:top w:val="nil"/>
              <w:left w:val="nil"/>
              <w:bottom w:val="single" w:sz="4" w:space="0" w:color="auto"/>
              <w:right w:val="single" w:sz="4" w:space="0" w:color="auto"/>
            </w:tcBorders>
            <w:shd w:val="clear" w:color="auto" w:fill="auto"/>
            <w:noWrap/>
            <w:vAlign w:val="center"/>
          </w:tcPr>
          <w:p w14:paraId="5CCA096B" w14:textId="0CFBE626"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769</w:t>
            </w:r>
          </w:p>
        </w:tc>
        <w:tc>
          <w:tcPr>
            <w:tcW w:w="960" w:type="dxa"/>
            <w:tcBorders>
              <w:top w:val="nil"/>
              <w:left w:val="nil"/>
              <w:bottom w:val="single" w:sz="4" w:space="0" w:color="auto"/>
              <w:right w:val="single" w:sz="4" w:space="0" w:color="auto"/>
            </w:tcBorders>
            <w:shd w:val="clear" w:color="auto" w:fill="auto"/>
            <w:noWrap/>
            <w:vAlign w:val="center"/>
          </w:tcPr>
          <w:p w14:paraId="4DD82AA2" w14:textId="4CCECF7E"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653</w:t>
            </w:r>
          </w:p>
        </w:tc>
        <w:tc>
          <w:tcPr>
            <w:tcW w:w="959" w:type="dxa"/>
            <w:tcBorders>
              <w:top w:val="nil"/>
              <w:left w:val="nil"/>
              <w:bottom w:val="single" w:sz="4" w:space="0" w:color="auto"/>
              <w:right w:val="single" w:sz="4" w:space="0" w:color="auto"/>
            </w:tcBorders>
            <w:shd w:val="clear" w:color="auto" w:fill="auto"/>
            <w:noWrap/>
            <w:vAlign w:val="center"/>
          </w:tcPr>
          <w:p w14:paraId="78E85DBE" w14:textId="34FAFBF3"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690</w:t>
            </w:r>
          </w:p>
        </w:tc>
        <w:tc>
          <w:tcPr>
            <w:tcW w:w="962" w:type="dxa"/>
            <w:tcBorders>
              <w:top w:val="nil"/>
              <w:left w:val="nil"/>
              <w:bottom w:val="single" w:sz="4" w:space="0" w:color="auto"/>
              <w:right w:val="single" w:sz="4" w:space="0" w:color="auto"/>
            </w:tcBorders>
            <w:shd w:val="clear" w:color="auto" w:fill="auto"/>
            <w:noWrap/>
            <w:vAlign w:val="center"/>
          </w:tcPr>
          <w:p w14:paraId="7E0E6A0F" w14:textId="1BA077B1"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737</w:t>
            </w:r>
          </w:p>
        </w:tc>
        <w:tc>
          <w:tcPr>
            <w:tcW w:w="959" w:type="dxa"/>
            <w:tcBorders>
              <w:top w:val="nil"/>
              <w:left w:val="nil"/>
              <w:bottom w:val="single" w:sz="4" w:space="0" w:color="auto"/>
              <w:right w:val="single" w:sz="4" w:space="0" w:color="auto"/>
            </w:tcBorders>
            <w:vAlign w:val="center"/>
          </w:tcPr>
          <w:p w14:paraId="65B2C700" w14:textId="761C6FAE"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935</w:t>
            </w:r>
          </w:p>
        </w:tc>
        <w:tc>
          <w:tcPr>
            <w:tcW w:w="960" w:type="dxa"/>
            <w:tcBorders>
              <w:top w:val="nil"/>
              <w:left w:val="nil"/>
              <w:bottom w:val="single" w:sz="4" w:space="0" w:color="auto"/>
              <w:right w:val="single" w:sz="4" w:space="0" w:color="auto"/>
            </w:tcBorders>
            <w:vAlign w:val="center"/>
          </w:tcPr>
          <w:p w14:paraId="1AF7E499" w14:textId="3BF550C2"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826</w:t>
            </w:r>
          </w:p>
        </w:tc>
        <w:tc>
          <w:tcPr>
            <w:tcW w:w="962" w:type="dxa"/>
            <w:tcBorders>
              <w:top w:val="nil"/>
              <w:left w:val="nil"/>
              <w:bottom w:val="single" w:sz="4" w:space="0" w:color="auto"/>
              <w:right w:val="single" w:sz="4" w:space="0" w:color="auto"/>
            </w:tcBorders>
            <w:vAlign w:val="center"/>
          </w:tcPr>
          <w:p w14:paraId="6BEC4952" w14:textId="4D2807B4"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657</w:t>
            </w:r>
          </w:p>
        </w:tc>
      </w:tr>
      <w:tr w:rsidR="00DF25B3" w:rsidRPr="00240E45" w14:paraId="1CED3987" w14:textId="62C5C8D8" w:rsidTr="003D087D">
        <w:trPr>
          <w:trHeight w:val="236"/>
          <w:jc w:val="center"/>
        </w:trPr>
        <w:tc>
          <w:tcPr>
            <w:tcW w:w="315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66EA91FF" w14:textId="77777777" w:rsidR="00DF25B3" w:rsidRPr="00240E45" w:rsidRDefault="00DF25B3" w:rsidP="00DF25B3">
            <w:pPr>
              <w:spacing w:after="0" w:line="240" w:lineRule="auto"/>
              <w:jc w:val="right"/>
              <w:rPr>
                <w:rFonts w:ascii="Calibri" w:eastAsia="Times New Roman" w:hAnsi="Calibri" w:cs="Calibri"/>
                <w:b/>
                <w:bCs/>
                <w:color w:val="000000"/>
                <w:lang w:eastAsia="es-MX"/>
              </w:rPr>
            </w:pPr>
            <w:r w:rsidRPr="00240E45">
              <w:rPr>
                <w:rFonts w:ascii="Calibri" w:eastAsia="Times New Roman" w:hAnsi="Calibri" w:cs="Calibri"/>
                <w:b/>
                <w:bCs/>
                <w:color w:val="000000"/>
                <w:lang w:eastAsia="es-MX"/>
              </w:rPr>
              <w:t>Puntaje General</w:t>
            </w:r>
          </w:p>
        </w:tc>
        <w:tc>
          <w:tcPr>
            <w:tcW w:w="959" w:type="dxa"/>
            <w:tcBorders>
              <w:top w:val="nil"/>
              <w:left w:val="nil"/>
              <w:bottom w:val="single" w:sz="4" w:space="0" w:color="auto"/>
              <w:right w:val="single" w:sz="4" w:space="0" w:color="auto"/>
            </w:tcBorders>
            <w:shd w:val="clear" w:color="auto" w:fill="E7E6E6" w:themeFill="background2"/>
            <w:noWrap/>
            <w:vAlign w:val="center"/>
          </w:tcPr>
          <w:p w14:paraId="4FEFCEC9" w14:textId="36B8E7BE"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29.3</w:t>
            </w:r>
          </w:p>
        </w:tc>
        <w:tc>
          <w:tcPr>
            <w:tcW w:w="960" w:type="dxa"/>
            <w:tcBorders>
              <w:top w:val="nil"/>
              <w:left w:val="nil"/>
              <w:bottom w:val="single" w:sz="4" w:space="0" w:color="auto"/>
              <w:right w:val="single" w:sz="4" w:space="0" w:color="auto"/>
            </w:tcBorders>
            <w:shd w:val="clear" w:color="auto" w:fill="E7E6E6" w:themeFill="background2"/>
            <w:noWrap/>
            <w:vAlign w:val="center"/>
          </w:tcPr>
          <w:p w14:paraId="3DDCC51E" w14:textId="6E9F36BE"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28.4</w:t>
            </w:r>
          </w:p>
        </w:tc>
        <w:tc>
          <w:tcPr>
            <w:tcW w:w="961" w:type="dxa"/>
            <w:tcBorders>
              <w:top w:val="nil"/>
              <w:left w:val="nil"/>
              <w:bottom w:val="single" w:sz="4" w:space="0" w:color="auto"/>
              <w:right w:val="single" w:sz="4" w:space="0" w:color="auto"/>
            </w:tcBorders>
            <w:shd w:val="clear" w:color="auto" w:fill="E7E6E6" w:themeFill="background2"/>
            <w:noWrap/>
            <w:vAlign w:val="center"/>
          </w:tcPr>
          <w:p w14:paraId="0F4D9DD3" w14:textId="6D04053E"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29.2</w:t>
            </w:r>
          </w:p>
        </w:tc>
        <w:tc>
          <w:tcPr>
            <w:tcW w:w="960" w:type="dxa"/>
            <w:tcBorders>
              <w:top w:val="nil"/>
              <w:left w:val="nil"/>
              <w:bottom w:val="single" w:sz="4" w:space="0" w:color="auto"/>
              <w:right w:val="single" w:sz="4" w:space="0" w:color="auto"/>
            </w:tcBorders>
            <w:shd w:val="clear" w:color="auto" w:fill="E7E6E6" w:themeFill="background2"/>
            <w:noWrap/>
            <w:vAlign w:val="center"/>
          </w:tcPr>
          <w:p w14:paraId="2FAC6B8A" w14:textId="13BC6D71"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28.2</w:t>
            </w:r>
          </w:p>
        </w:tc>
        <w:tc>
          <w:tcPr>
            <w:tcW w:w="959" w:type="dxa"/>
            <w:tcBorders>
              <w:top w:val="nil"/>
              <w:left w:val="nil"/>
              <w:bottom w:val="single" w:sz="4" w:space="0" w:color="auto"/>
              <w:right w:val="single" w:sz="4" w:space="0" w:color="auto"/>
            </w:tcBorders>
            <w:shd w:val="clear" w:color="auto" w:fill="E7E6E6" w:themeFill="background2"/>
            <w:noWrap/>
            <w:vAlign w:val="center"/>
          </w:tcPr>
          <w:p w14:paraId="04A65657" w14:textId="3EBF54DA"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29.7</w:t>
            </w:r>
          </w:p>
        </w:tc>
        <w:tc>
          <w:tcPr>
            <w:tcW w:w="962" w:type="dxa"/>
            <w:tcBorders>
              <w:top w:val="nil"/>
              <w:left w:val="nil"/>
              <w:bottom w:val="single" w:sz="4" w:space="0" w:color="auto"/>
              <w:right w:val="single" w:sz="4" w:space="0" w:color="auto"/>
            </w:tcBorders>
            <w:shd w:val="clear" w:color="auto" w:fill="E7E6E6" w:themeFill="background2"/>
            <w:noWrap/>
            <w:vAlign w:val="center"/>
          </w:tcPr>
          <w:p w14:paraId="663867A6" w14:textId="4D271001"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30.3</w:t>
            </w:r>
          </w:p>
        </w:tc>
        <w:tc>
          <w:tcPr>
            <w:tcW w:w="959" w:type="dxa"/>
            <w:tcBorders>
              <w:top w:val="nil"/>
              <w:left w:val="nil"/>
              <w:bottom w:val="single" w:sz="4" w:space="0" w:color="auto"/>
              <w:right w:val="single" w:sz="4" w:space="0" w:color="auto"/>
            </w:tcBorders>
            <w:shd w:val="clear" w:color="auto" w:fill="E7E6E6" w:themeFill="background2"/>
            <w:vAlign w:val="center"/>
          </w:tcPr>
          <w:p w14:paraId="2890442C" w14:textId="6E9DC3E9"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17.7</w:t>
            </w:r>
          </w:p>
        </w:tc>
        <w:tc>
          <w:tcPr>
            <w:tcW w:w="960" w:type="dxa"/>
            <w:tcBorders>
              <w:top w:val="nil"/>
              <w:left w:val="nil"/>
              <w:bottom w:val="single" w:sz="4" w:space="0" w:color="auto"/>
              <w:right w:val="single" w:sz="4" w:space="0" w:color="auto"/>
            </w:tcBorders>
            <w:shd w:val="clear" w:color="auto" w:fill="E7E6E6" w:themeFill="background2"/>
            <w:vAlign w:val="center"/>
          </w:tcPr>
          <w:p w14:paraId="0E917E78" w14:textId="3571C1C6"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24.9</w:t>
            </w:r>
          </w:p>
        </w:tc>
        <w:tc>
          <w:tcPr>
            <w:tcW w:w="962" w:type="dxa"/>
            <w:tcBorders>
              <w:top w:val="nil"/>
              <w:left w:val="nil"/>
              <w:bottom w:val="single" w:sz="4" w:space="0" w:color="auto"/>
              <w:right w:val="single" w:sz="4" w:space="0" w:color="auto"/>
            </w:tcBorders>
            <w:shd w:val="clear" w:color="auto" w:fill="E7E6E6" w:themeFill="background2"/>
            <w:vAlign w:val="center"/>
          </w:tcPr>
          <w:p w14:paraId="58B702A0" w14:textId="682393C8"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33.2</w:t>
            </w:r>
          </w:p>
        </w:tc>
      </w:tr>
      <w:tr w:rsidR="00DF25B3" w:rsidRPr="00240E45" w14:paraId="7BB037D4" w14:textId="7FEC8D23" w:rsidTr="000A74E8">
        <w:trPr>
          <w:trHeight w:val="236"/>
          <w:jc w:val="center"/>
        </w:trPr>
        <w:tc>
          <w:tcPr>
            <w:tcW w:w="3159" w:type="dxa"/>
            <w:tcBorders>
              <w:top w:val="nil"/>
              <w:left w:val="single" w:sz="4" w:space="0" w:color="auto"/>
              <w:bottom w:val="single" w:sz="4" w:space="0" w:color="auto"/>
              <w:right w:val="single" w:sz="4" w:space="0" w:color="auto"/>
            </w:tcBorders>
            <w:shd w:val="clear" w:color="auto" w:fill="auto"/>
            <w:noWrap/>
            <w:vAlign w:val="bottom"/>
            <w:hideMark/>
          </w:tcPr>
          <w:p w14:paraId="53C4AAF0" w14:textId="77777777" w:rsidR="00DF25B3" w:rsidRPr="00240E45" w:rsidRDefault="00DF25B3" w:rsidP="00DF25B3">
            <w:pPr>
              <w:spacing w:after="0" w:line="240" w:lineRule="auto"/>
              <w:jc w:val="right"/>
              <w:rPr>
                <w:rFonts w:ascii="Calibri" w:eastAsia="Times New Roman" w:hAnsi="Calibri" w:cs="Calibri"/>
                <w:color w:val="000000"/>
                <w:lang w:eastAsia="es-MX"/>
              </w:rPr>
            </w:pPr>
            <w:r w:rsidRPr="00240E45">
              <w:rPr>
                <w:rFonts w:ascii="Calibri" w:eastAsia="Times New Roman" w:hAnsi="Calibri" w:cs="Calibri"/>
                <w:color w:val="000000"/>
                <w:lang w:eastAsia="es-MX"/>
              </w:rPr>
              <w:t>Docencia</w:t>
            </w:r>
          </w:p>
        </w:tc>
        <w:tc>
          <w:tcPr>
            <w:tcW w:w="959" w:type="dxa"/>
            <w:tcBorders>
              <w:top w:val="nil"/>
              <w:left w:val="nil"/>
              <w:bottom w:val="single" w:sz="4" w:space="0" w:color="auto"/>
              <w:right w:val="single" w:sz="4" w:space="0" w:color="auto"/>
            </w:tcBorders>
            <w:shd w:val="clear" w:color="auto" w:fill="auto"/>
            <w:noWrap/>
            <w:vAlign w:val="bottom"/>
          </w:tcPr>
          <w:p w14:paraId="3ADE8A30" w14:textId="4E49FCDB"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34.4</w:t>
            </w:r>
          </w:p>
        </w:tc>
        <w:tc>
          <w:tcPr>
            <w:tcW w:w="960" w:type="dxa"/>
            <w:tcBorders>
              <w:top w:val="nil"/>
              <w:left w:val="nil"/>
              <w:bottom w:val="single" w:sz="4" w:space="0" w:color="auto"/>
              <w:right w:val="single" w:sz="4" w:space="0" w:color="auto"/>
            </w:tcBorders>
            <w:shd w:val="clear" w:color="auto" w:fill="auto"/>
            <w:noWrap/>
            <w:vAlign w:val="bottom"/>
          </w:tcPr>
          <w:p w14:paraId="0668147B" w14:textId="0776359A"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32.6</w:t>
            </w:r>
          </w:p>
        </w:tc>
        <w:tc>
          <w:tcPr>
            <w:tcW w:w="961" w:type="dxa"/>
            <w:tcBorders>
              <w:top w:val="nil"/>
              <w:left w:val="nil"/>
              <w:bottom w:val="single" w:sz="4" w:space="0" w:color="auto"/>
              <w:right w:val="single" w:sz="4" w:space="0" w:color="auto"/>
            </w:tcBorders>
            <w:shd w:val="clear" w:color="auto" w:fill="auto"/>
            <w:noWrap/>
            <w:vAlign w:val="bottom"/>
          </w:tcPr>
          <w:p w14:paraId="5CFB9ACF" w14:textId="5CF318D4"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31.9</w:t>
            </w:r>
          </w:p>
        </w:tc>
        <w:tc>
          <w:tcPr>
            <w:tcW w:w="960" w:type="dxa"/>
            <w:tcBorders>
              <w:top w:val="nil"/>
              <w:left w:val="nil"/>
              <w:bottom w:val="single" w:sz="4" w:space="0" w:color="auto"/>
              <w:right w:val="single" w:sz="4" w:space="0" w:color="auto"/>
            </w:tcBorders>
            <w:shd w:val="clear" w:color="auto" w:fill="auto"/>
            <w:noWrap/>
            <w:vAlign w:val="bottom"/>
          </w:tcPr>
          <w:p w14:paraId="3B6EE2DF" w14:textId="37E94B1B"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24.3</w:t>
            </w:r>
          </w:p>
        </w:tc>
        <w:tc>
          <w:tcPr>
            <w:tcW w:w="959" w:type="dxa"/>
            <w:tcBorders>
              <w:top w:val="nil"/>
              <w:left w:val="nil"/>
              <w:bottom w:val="single" w:sz="4" w:space="0" w:color="auto"/>
              <w:right w:val="single" w:sz="4" w:space="0" w:color="auto"/>
            </w:tcBorders>
            <w:shd w:val="clear" w:color="auto" w:fill="auto"/>
            <w:noWrap/>
            <w:vAlign w:val="center"/>
          </w:tcPr>
          <w:p w14:paraId="28025F87" w14:textId="0BF3106C"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22</w:t>
            </w:r>
          </w:p>
        </w:tc>
        <w:tc>
          <w:tcPr>
            <w:tcW w:w="962" w:type="dxa"/>
            <w:tcBorders>
              <w:top w:val="nil"/>
              <w:left w:val="nil"/>
              <w:bottom w:val="single" w:sz="4" w:space="0" w:color="auto"/>
              <w:right w:val="single" w:sz="4" w:space="0" w:color="auto"/>
            </w:tcBorders>
            <w:shd w:val="clear" w:color="auto" w:fill="auto"/>
            <w:noWrap/>
            <w:vAlign w:val="center"/>
          </w:tcPr>
          <w:p w14:paraId="66D7B10D" w14:textId="06C9A8E6"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20.5</w:t>
            </w:r>
          </w:p>
        </w:tc>
        <w:tc>
          <w:tcPr>
            <w:tcW w:w="959" w:type="dxa"/>
            <w:tcBorders>
              <w:top w:val="nil"/>
              <w:left w:val="nil"/>
              <w:bottom w:val="single" w:sz="4" w:space="0" w:color="auto"/>
              <w:right w:val="single" w:sz="4" w:space="0" w:color="auto"/>
            </w:tcBorders>
            <w:vAlign w:val="bottom"/>
          </w:tcPr>
          <w:p w14:paraId="69DDF3F2" w14:textId="016132BC"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17</w:t>
            </w:r>
          </w:p>
        </w:tc>
        <w:tc>
          <w:tcPr>
            <w:tcW w:w="960" w:type="dxa"/>
            <w:tcBorders>
              <w:top w:val="nil"/>
              <w:left w:val="nil"/>
              <w:bottom w:val="single" w:sz="4" w:space="0" w:color="auto"/>
              <w:right w:val="single" w:sz="4" w:space="0" w:color="auto"/>
            </w:tcBorders>
            <w:vAlign w:val="center"/>
          </w:tcPr>
          <w:p w14:paraId="5D7CDBB6" w14:textId="08E40C19"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15.5</w:t>
            </w:r>
          </w:p>
        </w:tc>
        <w:tc>
          <w:tcPr>
            <w:tcW w:w="962" w:type="dxa"/>
            <w:tcBorders>
              <w:top w:val="nil"/>
              <w:left w:val="nil"/>
              <w:bottom w:val="single" w:sz="4" w:space="0" w:color="auto"/>
              <w:right w:val="single" w:sz="4" w:space="0" w:color="auto"/>
            </w:tcBorders>
            <w:vAlign w:val="center"/>
          </w:tcPr>
          <w:p w14:paraId="30EF6FD3" w14:textId="2FB0DE98"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16.6</w:t>
            </w:r>
          </w:p>
        </w:tc>
      </w:tr>
      <w:tr w:rsidR="00DF25B3" w:rsidRPr="00240E45" w14:paraId="6B63B8F9" w14:textId="6CA1D215" w:rsidTr="000A74E8">
        <w:trPr>
          <w:trHeight w:val="236"/>
          <w:jc w:val="center"/>
        </w:trPr>
        <w:tc>
          <w:tcPr>
            <w:tcW w:w="315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325AC6BD" w14:textId="77777777" w:rsidR="00DF25B3" w:rsidRPr="00240E45" w:rsidRDefault="00DF25B3" w:rsidP="00DF25B3">
            <w:pPr>
              <w:spacing w:after="0" w:line="240" w:lineRule="auto"/>
              <w:jc w:val="right"/>
              <w:rPr>
                <w:rFonts w:ascii="Calibri" w:eastAsia="Times New Roman" w:hAnsi="Calibri" w:cs="Calibri"/>
                <w:color w:val="000000"/>
                <w:lang w:eastAsia="es-MX"/>
              </w:rPr>
            </w:pPr>
            <w:r w:rsidRPr="00240E45">
              <w:rPr>
                <w:rFonts w:ascii="Calibri" w:eastAsia="Times New Roman" w:hAnsi="Calibri" w:cs="Calibri"/>
                <w:color w:val="000000"/>
                <w:lang w:eastAsia="es-MX"/>
              </w:rPr>
              <w:t>Perspectiva internacional</w:t>
            </w:r>
          </w:p>
        </w:tc>
        <w:tc>
          <w:tcPr>
            <w:tcW w:w="959" w:type="dxa"/>
            <w:tcBorders>
              <w:top w:val="nil"/>
              <w:left w:val="nil"/>
              <w:bottom w:val="single" w:sz="4" w:space="0" w:color="auto"/>
              <w:right w:val="single" w:sz="4" w:space="0" w:color="auto"/>
            </w:tcBorders>
            <w:shd w:val="clear" w:color="auto" w:fill="E7E6E6" w:themeFill="background2"/>
            <w:noWrap/>
            <w:vAlign w:val="bottom"/>
          </w:tcPr>
          <w:p w14:paraId="5F870AEA" w14:textId="750C6C95"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39.3</w:t>
            </w:r>
          </w:p>
        </w:tc>
        <w:tc>
          <w:tcPr>
            <w:tcW w:w="960" w:type="dxa"/>
            <w:tcBorders>
              <w:top w:val="nil"/>
              <w:left w:val="nil"/>
              <w:bottom w:val="single" w:sz="4" w:space="0" w:color="auto"/>
              <w:right w:val="single" w:sz="4" w:space="0" w:color="auto"/>
            </w:tcBorders>
            <w:shd w:val="clear" w:color="auto" w:fill="E7E6E6" w:themeFill="background2"/>
            <w:noWrap/>
            <w:vAlign w:val="bottom"/>
          </w:tcPr>
          <w:p w14:paraId="5ABA8D12" w14:textId="78AE7BB9"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40.5</w:t>
            </w:r>
          </w:p>
        </w:tc>
        <w:tc>
          <w:tcPr>
            <w:tcW w:w="961" w:type="dxa"/>
            <w:tcBorders>
              <w:top w:val="nil"/>
              <w:left w:val="nil"/>
              <w:bottom w:val="single" w:sz="4" w:space="0" w:color="auto"/>
              <w:right w:val="single" w:sz="4" w:space="0" w:color="auto"/>
            </w:tcBorders>
            <w:shd w:val="clear" w:color="auto" w:fill="E7E6E6" w:themeFill="background2"/>
            <w:noWrap/>
            <w:vAlign w:val="bottom"/>
          </w:tcPr>
          <w:p w14:paraId="6A0395EC" w14:textId="58CD621D"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44.2</w:t>
            </w:r>
          </w:p>
        </w:tc>
        <w:tc>
          <w:tcPr>
            <w:tcW w:w="960" w:type="dxa"/>
            <w:tcBorders>
              <w:top w:val="nil"/>
              <w:left w:val="nil"/>
              <w:bottom w:val="single" w:sz="4" w:space="0" w:color="auto"/>
              <w:right w:val="single" w:sz="4" w:space="0" w:color="auto"/>
            </w:tcBorders>
            <w:shd w:val="clear" w:color="auto" w:fill="E7E6E6" w:themeFill="background2"/>
            <w:noWrap/>
            <w:vAlign w:val="bottom"/>
          </w:tcPr>
          <w:p w14:paraId="269B7473" w14:textId="2F584573"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65.4</w:t>
            </w:r>
          </w:p>
        </w:tc>
        <w:tc>
          <w:tcPr>
            <w:tcW w:w="959" w:type="dxa"/>
            <w:tcBorders>
              <w:top w:val="nil"/>
              <w:left w:val="nil"/>
              <w:bottom w:val="single" w:sz="4" w:space="0" w:color="auto"/>
              <w:right w:val="single" w:sz="4" w:space="0" w:color="auto"/>
            </w:tcBorders>
            <w:shd w:val="clear" w:color="auto" w:fill="E7E6E6" w:themeFill="background2"/>
            <w:noWrap/>
            <w:vAlign w:val="center"/>
          </w:tcPr>
          <w:p w14:paraId="34CF20F7" w14:textId="686D0EE6"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59.9</w:t>
            </w:r>
          </w:p>
        </w:tc>
        <w:tc>
          <w:tcPr>
            <w:tcW w:w="962" w:type="dxa"/>
            <w:tcBorders>
              <w:top w:val="nil"/>
              <w:left w:val="nil"/>
              <w:bottom w:val="single" w:sz="4" w:space="0" w:color="auto"/>
              <w:right w:val="single" w:sz="4" w:space="0" w:color="auto"/>
            </w:tcBorders>
            <w:shd w:val="clear" w:color="auto" w:fill="E7E6E6" w:themeFill="background2"/>
            <w:noWrap/>
            <w:vAlign w:val="center"/>
          </w:tcPr>
          <w:p w14:paraId="247659E7" w14:textId="3AE18601"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57.3</w:t>
            </w:r>
          </w:p>
        </w:tc>
        <w:tc>
          <w:tcPr>
            <w:tcW w:w="959" w:type="dxa"/>
            <w:tcBorders>
              <w:top w:val="nil"/>
              <w:left w:val="nil"/>
              <w:bottom w:val="single" w:sz="4" w:space="0" w:color="auto"/>
              <w:right w:val="single" w:sz="4" w:space="0" w:color="auto"/>
            </w:tcBorders>
            <w:shd w:val="clear" w:color="auto" w:fill="E7E6E6" w:themeFill="background2"/>
            <w:vAlign w:val="bottom"/>
          </w:tcPr>
          <w:p w14:paraId="119AB387" w14:textId="78DE9A7E"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25.3</w:t>
            </w:r>
          </w:p>
        </w:tc>
        <w:tc>
          <w:tcPr>
            <w:tcW w:w="960" w:type="dxa"/>
            <w:tcBorders>
              <w:top w:val="nil"/>
              <w:left w:val="nil"/>
              <w:bottom w:val="single" w:sz="4" w:space="0" w:color="auto"/>
              <w:right w:val="single" w:sz="4" w:space="0" w:color="auto"/>
            </w:tcBorders>
            <w:shd w:val="clear" w:color="auto" w:fill="E7E6E6" w:themeFill="background2"/>
            <w:vAlign w:val="center"/>
          </w:tcPr>
          <w:p w14:paraId="6AFE11AB" w14:textId="0ED9D494"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24.9</w:t>
            </w:r>
          </w:p>
        </w:tc>
        <w:tc>
          <w:tcPr>
            <w:tcW w:w="962" w:type="dxa"/>
            <w:tcBorders>
              <w:top w:val="nil"/>
              <w:left w:val="nil"/>
              <w:bottom w:val="single" w:sz="4" w:space="0" w:color="auto"/>
              <w:right w:val="single" w:sz="4" w:space="0" w:color="auto"/>
            </w:tcBorders>
            <w:shd w:val="clear" w:color="auto" w:fill="E7E6E6" w:themeFill="background2"/>
            <w:vAlign w:val="center"/>
          </w:tcPr>
          <w:p w14:paraId="17056711" w14:textId="55BCEE88"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25.1</w:t>
            </w:r>
          </w:p>
        </w:tc>
      </w:tr>
      <w:tr w:rsidR="00DF25B3" w:rsidRPr="00240E45" w14:paraId="73F41B60" w14:textId="454FBF55" w:rsidTr="000A74E8">
        <w:trPr>
          <w:trHeight w:val="236"/>
          <w:jc w:val="center"/>
        </w:trPr>
        <w:tc>
          <w:tcPr>
            <w:tcW w:w="3159" w:type="dxa"/>
            <w:tcBorders>
              <w:top w:val="nil"/>
              <w:left w:val="single" w:sz="4" w:space="0" w:color="auto"/>
              <w:bottom w:val="single" w:sz="4" w:space="0" w:color="auto"/>
              <w:right w:val="single" w:sz="4" w:space="0" w:color="auto"/>
            </w:tcBorders>
            <w:shd w:val="clear" w:color="auto" w:fill="auto"/>
            <w:noWrap/>
            <w:vAlign w:val="bottom"/>
            <w:hideMark/>
          </w:tcPr>
          <w:p w14:paraId="6BBC224A" w14:textId="77777777" w:rsidR="00DF25B3" w:rsidRPr="00240E45" w:rsidRDefault="00DF25B3" w:rsidP="00DF25B3">
            <w:pPr>
              <w:spacing w:after="0" w:line="240" w:lineRule="auto"/>
              <w:jc w:val="right"/>
              <w:rPr>
                <w:rFonts w:ascii="Calibri" w:eastAsia="Times New Roman" w:hAnsi="Calibri" w:cs="Calibri"/>
                <w:color w:val="000000"/>
                <w:lang w:eastAsia="es-MX"/>
              </w:rPr>
            </w:pPr>
            <w:r w:rsidRPr="00240E45">
              <w:rPr>
                <w:rFonts w:ascii="Calibri" w:eastAsia="Times New Roman" w:hAnsi="Calibri" w:cs="Calibri"/>
                <w:color w:val="000000"/>
                <w:lang w:eastAsia="es-MX"/>
              </w:rPr>
              <w:t xml:space="preserve">Financiamiento de la industria </w:t>
            </w:r>
          </w:p>
        </w:tc>
        <w:tc>
          <w:tcPr>
            <w:tcW w:w="959" w:type="dxa"/>
            <w:tcBorders>
              <w:top w:val="nil"/>
              <w:left w:val="nil"/>
              <w:bottom w:val="single" w:sz="4" w:space="0" w:color="auto"/>
              <w:right w:val="single" w:sz="4" w:space="0" w:color="auto"/>
            </w:tcBorders>
            <w:shd w:val="clear" w:color="auto" w:fill="auto"/>
            <w:noWrap/>
            <w:vAlign w:val="bottom"/>
          </w:tcPr>
          <w:p w14:paraId="2B7C5836" w14:textId="5A39E0C1"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57.3</w:t>
            </w:r>
          </w:p>
        </w:tc>
        <w:tc>
          <w:tcPr>
            <w:tcW w:w="960" w:type="dxa"/>
            <w:tcBorders>
              <w:top w:val="nil"/>
              <w:left w:val="nil"/>
              <w:bottom w:val="single" w:sz="4" w:space="0" w:color="auto"/>
              <w:right w:val="single" w:sz="4" w:space="0" w:color="auto"/>
            </w:tcBorders>
            <w:shd w:val="clear" w:color="auto" w:fill="auto"/>
            <w:noWrap/>
            <w:vAlign w:val="bottom"/>
          </w:tcPr>
          <w:p w14:paraId="5C50D5AC" w14:textId="79702D5E"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55.7</w:t>
            </w:r>
          </w:p>
        </w:tc>
        <w:tc>
          <w:tcPr>
            <w:tcW w:w="961" w:type="dxa"/>
            <w:tcBorders>
              <w:top w:val="nil"/>
              <w:left w:val="nil"/>
              <w:bottom w:val="single" w:sz="4" w:space="0" w:color="auto"/>
              <w:right w:val="single" w:sz="4" w:space="0" w:color="auto"/>
            </w:tcBorders>
            <w:shd w:val="clear" w:color="auto" w:fill="auto"/>
            <w:noWrap/>
            <w:vAlign w:val="bottom"/>
          </w:tcPr>
          <w:p w14:paraId="4C65079A" w14:textId="5F896682"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61.7</w:t>
            </w:r>
          </w:p>
        </w:tc>
        <w:tc>
          <w:tcPr>
            <w:tcW w:w="960" w:type="dxa"/>
            <w:tcBorders>
              <w:top w:val="nil"/>
              <w:left w:val="nil"/>
              <w:bottom w:val="single" w:sz="4" w:space="0" w:color="auto"/>
              <w:right w:val="single" w:sz="4" w:space="0" w:color="auto"/>
            </w:tcBorders>
            <w:shd w:val="clear" w:color="auto" w:fill="auto"/>
            <w:noWrap/>
            <w:vAlign w:val="bottom"/>
          </w:tcPr>
          <w:p w14:paraId="5AE17D5B" w14:textId="4C17BD29"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80.1</w:t>
            </w:r>
          </w:p>
        </w:tc>
        <w:tc>
          <w:tcPr>
            <w:tcW w:w="959" w:type="dxa"/>
            <w:tcBorders>
              <w:top w:val="nil"/>
              <w:left w:val="nil"/>
              <w:bottom w:val="single" w:sz="4" w:space="0" w:color="auto"/>
              <w:right w:val="single" w:sz="4" w:space="0" w:color="auto"/>
            </w:tcBorders>
            <w:shd w:val="clear" w:color="auto" w:fill="auto"/>
            <w:noWrap/>
            <w:vAlign w:val="center"/>
          </w:tcPr>
          <w:p w14:paraId="1792E0CE" w14:textId="45C09AFF"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73.5</w:t>
            </w:r>
          </w:p>
        </w:tc>
        <w:tc>
          <w:tcPr>
            <w:tcW w:w="962" w:type="dxa"/>
            <w:tcBorders>
              <w:top w:val="nil"/>
              <w:left w:val="nil"/>
              <w:bottom w:val="single" w:sz="4" w:space="0" w:color="auto"/>
              <w:right w:val="single" w:sz="4" w:space="0" w:color="auto"/>
            </w:tcBorders>
            <w:shd w:val="clear" w:color="auto" w:fill="auto"/>
            <w:noWrap/>
            <w:vAlign w:val="center"/>
          </w:tcPr>
          <w:p w14:paraId="05CBBBE6" w14:textId="0906FEF5"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74.7</w:t>
            </w:r>
          </w:p>
        </w:tc>
        <w:tc>
          <w:tcPr>
            <w:tcW w:w="959" w:type="dxa"/>
            <w:tcBorders>
              <w:top w:val="nil"/>
              <w:left w:val="nil"/>
              <w:bottom w:val="single" w:sz="4" w:space="0" w:color="auto"/>
              <w:right w:val="single" w:sz="4" w:space="0" w:color="auto"/>
            </w:tcBorders>
            <w:vAlign w:val="bottom"/>
          </w:tcPr>
          <w:p w14:paraId="6E2E61D1" w14:textId="6C6FBA11"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38.9</w:t>
            </w:r>
          </w:p>
        </w:tc>
        <w:tc>
          <w:tcPr>
            <w:tcW w:w="960" w:type="dxa"/>
            <w:tcBorders>
              <w:top w:val="nil"/>
              <w:left w:val="nil"/>
              <w:bottom w:val="single" w:sz="4" w:space="0" w:color="auto"/>
              <w:right w:val="single" w:sz="4" w:space="0" w:color="auto"/>
            </w:tcBorders>
            <w:vAlign w:val="center"/>
          </w:tcPr>
          <w:p w14:paraId="74A51505" w14:textId="15421FCE"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39</w:t>
            </w:r>
          </w:p>
        </w:tc>
        <w:tc>
          <w:tcPr>
            <w:tcW w:w="962" w:type="dxa"/>
            <w:tcBorders>
              <w:top w:val="nil"/>
              <w:left w:val="nil"/>
              <w:bottom w:val="single" w:sz="4" w:space="0" w:color="auto"/>
              <w:right w:val="single" w:sz="4" w:space="0" w:color="auto"/>
            </w:tcBorders>
            <w:vAlign w:val="center"/>
          </w:tcPr>
          <w:p w14:paraId="1F6BF6A6" w14:textId="24CADE9B"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36.4</w:t>
            </w:r>
          </w:p>
        </w:tc>
      </w:tr>
      <w:tr w:rsidR="00DF25B3" w:rsidRPr="00240E45" w14:paraId="6239EE0B" w14:textId="0BE1FED2" w:rsidTr="000A74E8">
        <w:trPr>
          <w:trHeight w:val="236"/>
          <w:jc w:val="center"/>
        </w:trPr>
        <w:tc>
          <w:tcPr>
            <w:tcW w:w="315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76CB343F" w14:textId="77777777" w:rsidR="00DF25B3" w:rsidRPr="00240E45" w:rsidRDefault="00DF25B3" w:rsidP="00DF25B3">
            <w:pPr>
              <w:spacing w:after="0" w:line="240" w:lineRule="auto"/>
              <w:jc w:val="right"/>
              <w:rPr>
                <w:rFonts w:ascii="Calibri" w:eastAsia="Times New Roman" w:hAnsi="Calibri" w:cs="Calibri"/>
                <w:color w:val="000000"/>
                <w:lang w:eastAsia="es-MX"/>
              </w:rPr>
            </w:pPr>
            <w:r w:rsidRPr="00240E45">
              <w:rPr>
                <w:rFonts w:ascii="Calibri" w:eastAsia="Times New Roman" w:hAnsi="Calibri" w:cs="Calibri"/>
                <w:color w:val="000000"/>
                <w:lang w:eastAsia="es-MX"/>
              </w:rPr>
              <w:t>Investigación</w:t>
            </w:r>
          </w:p>
        </w:tc>
        <w:tc>
          <w:tcPr>
            <w:tcW w:w="959" w:type="dxa"/>
            <w:tcBorders>
              <w:top w:val="nil"/>
              <w:left w:val="nil"/>
              <w:bottom w:val="single" w:sz="4" w:space="0" w:color="auto"/>
              <w:right w:val="single" w:sz="4" w:space="0" w:color="auto"/>
            </w:tcBorders>
            <w:shd w:val="clear" w:color="auto" w:fill="E7E6E6" w:themeFill="background2"/>
            <w:noWrap/>
            <w:vAlign w:val="bottom"/>
          </w:tcPr>
          <w:p w14:paraId="6CA0572F" w14:textId="352E70B4"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29.4</w:t>
            </w:r>
          </w:p>
        </w:tc>
        <w:tc>
          <w:tcPr>
            <w:tcW w:w="960" w:type="dxa"/>
            <w:tcBorders>
              <w:top w:val="nil"/>
              <w:left w:val="nil"/>
              <w:bottom w:val="single" w:sz="4" w:space="0" w:color="auto"/>
              <w:right w:val="single" w:sz="4" w:space="0" w:color="auto"/>
            </w:tcBorders>
            <w:shd w:val="clear" w:color="auto" w:fill="E7E6E6" w:themeFill="background2"/>
            <w:noWrap/>
            <w:vAlign w:val="bottom"/>
          </w:tcPr>
          <w:p w14:paraId="5E3DA17B" w14:textId="51A67D4F"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28.1</w:t>
            </w:r>
          </w:p>
        </w:tc>
        <w:tc>
          <w:tcPr>
            <w:tcW w:w="961" w:type="dxa"/>
            <w:tcBorders>
              <w:top w:val="nil"/>
              <w:left w:val="nil"/>
              <w:bottom w:val="single" w:sz="4" w:space="0" w:color="auto"/>
              <w:right w:val="single" w:sz="4" w:space="0" w:color="auto"/>
            </w:tcBorders>
            <w:shd w:val="clear" w:color="auto" w:fill="E7E6E6" w:themeFill="background2"/>
            <w:noWrap/>
            <w:vAlign w:val="bottom"/>
          </w:tcPr>
          <w:p w14:paraId="385FEC7D" w14:textId="7B222A52"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30.4</w:t>
            </w:r>
          </w:p>
        </w:tc>
        <w:tc>
          <w:tcPr>
            <w:tcW w:w="960" w:type="dxa"/>
            <w:tcBorders>
              <w:top w:val="nil"/>
              <w:left w:val="nil"/>
              <w:bottom w:val="single" w:sz="4" w:space="0" w:color="auto"/>
              <w:right w:val="single" w:sz="4" w:space="0" w:color="auto"/>
            </w:tcBorders>
            <w:shd w:val="clear" w:color="auto" w:fill="E7E6E6" w:themeFill="background2"/>
            <w:noWrap/>
            <w:vAlign w:val="bottom"/>
          </w:tcPr>
          <w:p w14:paraId="5300500D" w14:textId="15CA9FB3"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14.8</w:t>
            </w:r>
          </w:p>
        </w:tc>
        <w:tc>
          <w:tcPr>
            <w:tcW w:w="959" w:type="dxa"/>
            <w:tcBorders>
              <w:top w:val="nil"/>
              <w:left w:val="nil"/>
              <w:bottom w:val="single" w:sz="4" w:space="0" w:color="auto"/>
              <w:right w:val="single" w:sz="4" w:space="0" w:color="auto"/>
            </w:tcBorders>
            <w:shd w:val="clear" w:color="auto" w:fill="E7E6E6" w:themeFill="background2"/>
            <w:noWrap/>
            <w:vAlign w:val="center"/>
          </w:tcPr>
          <w:p w14:paraId="4E0BD7FE" w14:textId="195D6322"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16.1</w:t>
            </w:r>
          </w:p>
        </w:tc>
        <w:tc>
          <w:tcPr>
            <w:tcW w:w="962" w:type="dxa"/>
            <w:tcBorders>
              <w:top w:val="nil"/>
              <w:left w:val="nil"/>
              <w:bottom w:val="single" w:sz="4" w:space="0" w:color="auto"/>
              <w:right w:val="single" w:sz="4" w:space="0" w:color="auto"/>
            </w:tcBorders>
            <w:shd w:val="clear" w:color="auto" w:fill="E7E6E6" w:themeFill="background2"/>
            <w:noWrap/>
            <w:vAlign w:val="center"/>
          </w:tcPr>
          <w:p w14:paraId="77A3CE9A" w14:textId="2EB0BF4F"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18.2</w:t>
            </w:r>
          </w:p>
        </w:tc>
        <w:tc>
          <w:tcPr>
            <w:tcW w:w="959" w:type="dxa"/>
            <w:tcBorders>
              <w:top w:val="nil"/>
              <w:left w:val="nil"/>
              <w:bottom w:val="single" w:sz="4" w:space="0" w:color="auto"/>
              <w:right w:val="single" w:sz="4" w:space="0" w:color="auto"/>
            </w:tcBorders>
            <w:shd w:val="clear" w:color="auto" w:fill="E7E6E6" w:themeFill="background2"/>
            <w:vAlign w:val="bottom"/>
          </w:tcPr>
          <w:p w14:paraId="2CE5FC2B" w14:textId="4DA7F6C4"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15.9</w:t>
            </w:r>
          </w:p>
        </w:tc>
        <w:tc>
          <w:tcPr>
            <w:tcW w:w="960" w:type="dxa"/>
            <w:tcBorders>
              <w:top w:val="nil"/>
              <w:left w:val="nil"/>
              <w:bottom w:val="single" w:sz="4" w:space="0" w:color="auto"/>
              <w:right w:val="single" w:sz="4" w:space="0" w:color="auto"/>
            </w:tcBorders>
            <w:shd w:val="clear" w:color="auto" w:fill="E7E6E6" w:themeFill="background2"/>
            <w:vAlign w:val="center"/>
          </w:tcPr>
          <w:p w14:paraId="19EA3728" w14:textId="3FB29877"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15.7</w:t>
            </w:r>
          </w:p>
        </w:tc>
        <w:tc>
          <w:tcPr>
            <w:tcW w:w="962" w:type="dxa"/>
            <w:tcBorders>
              <w:top w:val="nil"/>
              <w:left w:val="nil"/>
              <w:bottom w:val="single" w:sz="4" w:space="0" w:color="auto"/>
              <w:right w:val="single" w:sz="4" w:space="0" w:color="auto"/>
            </w:tcBorders>
            <w:shd w:val="clear" w:color="auto" w:fill="E7E6E6" w:themeFill="background2"/>
            <w:vAlign w:val="center"/>
          </w:tcPr>
          <w:p w14:paraId="77F980D3" w14:textId="418FF036"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16.3</w:t>
            </w:r>
          </w:p>
        </w:tc>
      </w:tr>
      <w:tr w:rsidR="00DF25B3" w:rsidRPr="00240E45" w14:paraId="6A804737" w14:textId="39D003E2" w:rsidTr="000A74E8">
        <w:trPr>
          <w:trHeight w:val="236"/>
          <w:jc w:val="center"/>
        </w:trPr>
        <w:tc>
          <w:tcPr>
            <w:tcW w:w="3159" w:type="dxa"/>
            <w:tcBorders>
              <w:top w:val="nil"/>
              <w:left w:val="single" w:sz="4" w:space="0" w:color="auto"/>
              <w:bottom w:val="single" w:sz="4" w:space="0" w:color="auto"/>
              <w:right w:val="single" w:sz="4" w:space="0" w:color="auto"/>
            </w:tcBorders>
            <w:shd w:val="clear" w:color="auto" w:fill="auto"/>
            <w:noWrap/>
            <w:vAlign w:val="bottom"/>
            <w:hideMark/>
          </w:tcPr>
          <w:p w14:paraId="636DFED3" w14:textId="77777777" w:rsidR="00DF25B3" w:rsidRPr="00240E45" w:rsidRDefault="00DF25B3" w:rsidP="00DF25B3">
            <w:pPr>
              <w:spacing w:after="0" w:line="240" w:lineRule="auto"/>
              <w:jc w:val="right"/>
              <w:rPr>
                <w:rFonts w:ascii="Calibri" w:eastAsia="Times New Roman" w:hAnsi="Calibri" w:cs="Calibri"/>
                <w:color w:val="000000"/>
                <w:lang w:eastAsia="es-MX"/>
              </w:rPr>
            </w:pPr>
            <w:r w:rsidRPr="00240E45">
              <w:rPr>
                <w:rFonts w:ascii="Calibri" w:eastAsia="Times New Roman" w:hAnsi="Calibri" w:cs="Calibri"/>
                <w:color w:val="000000"/>
                <w:lang w:eastAsia="es-MX"/>
              </w:rPr>
              <w:t xml:space="preserve">Citas </w:t>
            </w:r>
          </w:p>
        </w:tc>
        <w:tc>
          <w:tcPr>
            <w:tcW w:w="959" w:type="dxa"/>
            <w:tcBorders>
              <w:top w:val="nil"/>
              <w:left w:val="nil"/>
              <w:bottom w:val="single" w:sz="4" w:space="0" w:color="auto"/>
              <w:right w:val="single" w:sz="4" w:space="0" w:color="auto"/>
            </w:tcBorders>
            <w:shd w:val="clear" w:color="auto" w:fill="auto"/>
            <w:noWrap/>
            <w:vAlign w:val="bottom"/>
          </w:tcPr>
          <w:p w14:paraId="0DD5D4E6" w14:textId="68BE77D5"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19.4</w:t>
            </w:r>
          </w:p>
        </w:tc>
        <w:tc>
          <w:tcPr>
            <w:tcW w:w="960" w:type="dxa"/>
            <w:tcBorders>
              <w:top w:val="nil"/>
              <w:left w:val="nil"/>
              <w:bottom w:val="single" w:sz="4" w:space="0" w:color="auto"/>
              <w:right w:val="single" w:sz="4" w:space="0" w:color="auto"/>
            </w:tcBorders>
            <w:shd w:val="clear" w:color="auto" w:fill="auto"/>
            <w:noWrap/>
            <w:vAlign w:val="bottom"/>
          </w:tcPr>
          <w:p w14:paraId="5F5532C6" w14:textId="6E0823E2"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19.2</w:t>
            </w:r>
          </w:p>
        </w:tc>
        <w:tc>
          <w:tcPr>
            <w:tcW w:w="961" w:type="dxa"/>
            <w:tcBorders>
              <w:top w:val="nil"/>
              <w:left w:val="nil"/>
              <w:bottom w:val="single" w:sz="4" w:space="0" w:color="auto"/>
              <w:right w:val="single" w:sz="4" w:space="0" w:color="auto"/>
            </w:tcBorders>
            <w:shd w:val="clear" w:color="auto" w:fill="auto"/>
            <w:noWrap/>
            <w:vAlign w:val="bottom"/>
          </w:tcPr>
          <w:p w14:paraId="5C2810B0" w14:textId="49557875"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18.9</w:t>
            </w:r>
          </w:p>
        </w:tc>
        <w:tc>
          <w:tcPr>
            <w:tcW w:w="960" w:type="dxa"/>
            <w:tcBorders>
              <w:top w:val="nil"/>
              <w:left w:val="nil"/>
              <w:bottom w:val="single" w:sz="4" w:space="0" w:color="auto"/>
              <w:right w:val="single" w:sz="4" w:space="0" w:color="auto"/>
            </w:tcBorders>
            <w:shd w:val="clear" w:color="auto" w:fill="auto"/>
            <w:noWrap/>
            <w:vAlign w:val="bottom"/>
          </w:tcPr>
          <w:p w14:paraId="081510E6" w14:textId="49FF1F6F"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31.9</w:t>
            </w:r>
          </w:p>
        </w:tc>
        <w:tc>
          <w:tcPr>
            <w:tcW w:w="959" w:type="dxa"/>
            <w:tcBorders>
              <w:top w:val="nil"/>
              <w:left w:val="nil"/>
              <w:bottom w:val="single" w:sz="4" w:space="0" w:color="auto"/>
              <w:right w:val="single" w:sz="4" w:space="0" w:color="auto"/>
            </w:tcBorders>
            <w:shd w:val="clear" w:color="auto" w:fill="auto"/>
            <w:noWrap/>
            <w:vAlign w:val="center"/>
          </w:tcPr>
          <w:p w14:paraId="2B35FCAE" w14:textId="5B65BAAB"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39.8</w:t>
            </w:r>
          </w:p>
        </w:tc>
        <w:tc>
          <w:tcPr>
            <w:tcW w:w="962" w:type="dxa"/>
            <w:tcBorders>
              <w:top w:val="nil"/>
              <w:left w:val="nil"/>
              <w:bottom w:val="single" w:sz="4" w:space="0" w:color="auto"/>
              <w:right w:val="single" w:sz="4" w:space="0" w:color="auto"/>
            </w:tcBorders>
            <w:shd w:val="clear" w:color="auto" w:fill="auto"/>
            <w:noWrap/>
            <w:vAlign w:val="center"/>
          </w:tcPr>
          <w:p w14:paraId="0A90A7C1" w14:textId="68B707B0"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41.8</w:t>
            </w:r>
          </w:p>
        </w:tc>
        <w:tc>
          <w:tcPr>
            <w:tcW w:w="959" w:type="dxa"/>
            <w:tcBorders>
              <w:top w:val="nil"/>
              <w:left w:val="nil"/>
              <w:bottom w:val="single" w:sz="4" w:space="0" w:color="auto"/>
              <w:right w:val="single" w:sz="4" w:space="0" w:color="auto"/>
            </w:tcBorders>
            <w:vAlign w:val="bottom"/>
          </w:tcPr>
          <w:p w14:paraId="5C0D109E" w14:textId="50AED569"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16.4</w:t>
            </w:r>
          </w:p>
        </w:tc>
        <w:tc>
          <w:tcPr>
            <w:tcW w:w="960" w:type="dxa"/>
            <w:tcBorders>
              <w:top w:val="nil"/>
              <w:left w:val="nil"/>
              <w:bottom w:val="single" w:sz="4" w:space="0" w:color="auto"/>
              <w:right w:val="single" w:sz="4" w:space="0" w:color="auto"/>
            </w:tcBorders>
            <w:vAlign w:val="center"/>
          </w:tcPr>
          <w:p w14:paraId="04D7EAFD" w14:textId="5E3DFB41"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42.2</w:t>
            </w:r>
          </w:p>
        </w:tc>
        <w:tc>
          <w:tcPr>
            <w:tcW w:w="962" w:type="dxa"/>
            <w:tcBorders>
              <w:top w:val="nil"/>
              <w:left w:val="nil"/>
              <w:bottom w:val="single" w:sz="4" w:space="0" w:color="auto"/>
              <w:right w:val="single" w:sz="4" w:space="0" w:color="auto"/>
            </w:tcBorders>
            <w:vAlign w:val="center"/>
          </w:tcPr>
          <w:p w14:paraId="7C31B7DC" w14:textId="0ADCCBDA" w:rsidR="00DF25B3" w:rsidRPr="00240E45" w:rsidRDefault="00DF25B3" w:rsidP="00DF25B3">
            <w:pPr>
              <w:spacing w:after="0" w:line="240" w:lineRule="auto"/>
              <w:jc w:val="center"/>
              <w:rPr>
                <w:rFonts w:ascii="Calibri" w:eastAsia="Times New Roman" w:hAnsi="Calibri" w:cs="Calibri"/>
                <w:color w:val="000000"/>
                <w:lang w:eastAsia="es-MX"/>
              </w:rPr>
            </w:pPr>
            <w:r>
              <w:rPr>
                <w:rFonts w:ascii="Calibri" w:hAnsi="Calibri" w:cs="Calibri"/>
                <w:color w:val="000000"/>
              </w:rPr>
              <w:t>68.6</w:t>
            </w:r>
          </w:p>
        </w:tc>
      </w:tr>
      <w:tr w:rsidR="00C439C8" w:rsidRPr="00240E45" w14:paraId="21A34E6C" w14:textId="77777777" w:rsidTr="007A0D8D">
        <w:trPr>
          <w:trHeight w:val="64"/>
          <w:jc w:val="center"/>
        </w:trPr>
        <w:tc>
          <w:tcPr>
            <w:tcW w:w="3159" w:type="dxa"/>
            <w:tcBorders>
              <w:top w:val="single" w:sz="4" w:space="0" w:color="auto"/>
              <w:bottom w:val="single" w:sz="4" w:space="0" w:color="auto"/>
            </w:tcBorders>
            <w:shd w:val="clear" w:color="auto" w:fill="auto"/>
            <w:vAlign w:val="center"/>
          </w:tcPr>
          <w:p w14:paraId="3C4049F1" w14:textId="77777777" w:rsidR="00C439C8" w:rsidRPr="00240E45" w:rsidRDefault="00C439C8" w:rsidP="00C439C8">
            <w:pPr>
              <w:spacing w:after="0" w:line="240" w:lineRule="auto"/>
              <w:jc w:val="center"/>
              <w:rPr>
                <w:rFonts w:ascii="Calibri" w:eastAsia="Times New Roman" w:hAnsi="Calibri" w:cs="Calibri"/>
                <w:b/>
                <w:bCs/>
                <w:color w:val="000000"/>
                <w:lang w:eastAsia="es-MX"/>
              </w:rPr>
            </w:pPr>
          </w:p>
        </w:tc>
        <w:tc>
          <w:tcPr>
            <w:tcW w:w="2880" w:type="dxa"/>
            <w:gridSpan w:val="3"/>
            <w:tcBorders>
              <w:top w:val="single" w:sz="4" w:space="0" w:color="auto"/>
              <w:bottom w:val="single" w:sz="4" w:space="0" w:color="auto"/>
            </w:tcBorders>
            <w:shd w:val="clear" w:color="auto" w:fill="auto"/>
            <w:vAlign w:val="center"/>
          </w:tcPr>
          <w:p w14:paraId="09616684" w14:textId="77777777" w:rsidR="00C439C8" w:rsidRPr="00240E45" w:rsidRDefault="00C439C8" w:rsidP="00C439C8">
            <w:pPr>
              <w:spacing w:after="0" w:line="240" w:lineRule="auto"/>
              <w:jc w:val="center"/>
              <w:rPr>
                <w:rFonts w:ascii="Calibri" w:eastAsia="Times New Roman" w:hAnsi="Calibri" w:cs="Calibri"/>
                <w:b/>
                <w:bCs/>
                <w:color w:val="000000"/>
                <w:lang w:eastAsia="es-MX"/>
              </w:rPr>
            </w:pPr>
          </w:p>
        </w:tc>
        <w:tc>
          <w:tcPr>
            <w:tcW w:w="2881" w:type="dxa"/>
            <w:gridSpan w:val="3"/>
            <w:tcBorders>
              <w:top w:val="single" w:sz="4" w:space="0" w:color="auto"/>
              <w:bottom w:val="single" w:sz="4" w:space="0" w:color="auto"/>
            </w:tcBorders>
            <w:shd w:val="clear" w:color="auto" w:fill="auto"/>
          </w:tcPr>
          <w:p w14:paraId="78A67FC3" w14:textId="77777777" w:rsidR="00C439C8" w:rsidRPr="00240E45" w:rsidRDefault="00C439C8" w:rsidP="00C439C8">
            <w:pPr>
              <w:spacing w:after="0" w:line="240" w:lineRule="auto"/>
              <w:jc w:val="center"/>
              <w:rPr>
                <w:rFonts w:ascii="Calibri" w:eastAsia="Times New Roman" w:hAnsi="Calibri" w:cs="Calibri"/>
                <w:b/>
                <w:bCs/>
                <w:color w:val="000000"/>
                <w:lang w:eastAsia="es-MX"/>
              </w:rPr>
            </w:pPr>
          </w:p>
        </w:tc>
        <w:tc>
          <w:tcPr>
            <w:tcW w:w="2881" w:type="dxa"/>
            <w:gridSpan w:val="3"/>
            <w:tcBorders>
              <w:top w:val="single" w:sz="4" w:space="0" w:color="auto"/>
              <w:bottom w:val="single" w:sz="4" w:space="0" w:color="auto"/>
            </w:tcBorders>
            <w:shd w:val="clear" w:color="auto" w:fill="auto"/>
          </w:tcPr>
          <w:p w14:paraId="26804351" w14:textId="77777777" w:rsidR="00C439C8" w:rsidRPr="00240E45" w:rsidRDefault="00C439C8" w:rsidP="00C439C8">
            <w:pPr>
              <w:spacing w:after="0" w:line="240" w:lineRule="auto"/>
              <w:jc w:val="center"/>
              <w:rPr>
                <w:rFonts w:ascii="Calibri" w:eastAsia="Times New Roman" w:hAnsi="Calibri" w:cs="Calibri"/>
                <w:b/>
                <w:bCs/>
                <w:color w:val="000000"/>
                <w:lang w:eastAsia="es-MX"/>
              </w:rPr>
            </w:pPr>
          </w:p>
        </w:tc>
      </w:tr>
      <w:tr w:rsidR="000A74E8" w:rsidRPr="00240E45" w14:paraId="5B472EEB" w14:textId="1A676D0F" w:rsidTr="000A74E8">
        <w:trPr>
          <w:trHeight w:val="236"/>
          <w:jc w:val="center"/>
        </w:trPr>
        <w:tc>
          <w:tcPr>
            <w:tcW w:w="315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57DA8AD" w14:textId="77777777" w:rsidR="000A74E8" w:rsidRPr="00240E45" w:rsidRDefault="000A74E8" w:rsidP="000A74E8">
            <w:pPr>
              <w:spacing w:after="0" w:line="240" w:lineRule="auto"/>
              <w:jc w:val="center"/>
              <w:rPr>
                <w:rFonts w:ascii="Calibri" w:eastAsia="Times New Roman" w:hAnsi="Calibri" w:cs="Calibri"/>
                <w:b/>
                <w:bCs/>
                <w:color w:val="000000"/>
                <w:lang w:eastAsia="es-MX"/>
              </w:rPr>
            </w:pPr>
            <w:r w:rsidRPr="00240E45">
              <w:rPr>
                <w:rFonts w:ascii="Calibri" w:eastAsia="Times New Roman" w:hAnsi="Calibri" w:cs="Calibri"/>
                <w:b/>
                <w:bCs/>
                <w:color w:val="000000"/>
                <w:lang w:eastAsia="es-MX"/>
              </w:rPr>
              <w:t>Estadísticas</w:t>
            </w:r>
          </w:p>
        </w:tc>
        <w:tc>
          <w:tcPr>
            <w:tcW w:w="2880"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14:paraId="1B45AE94" w14:textId="149EAAC8" w:rsidR="000A74E8" w:rsidRPr="00240E45" w:rsidRDefault="000A74E8" w:rsidP="000A74E8">
            <w:pPr>
              <w:spacing w:after="0" w:line="240" w:lineRule="auto"/>
              <w:jc w:val="center"/>
              <w:rPr>
                <w:rFonts w:ascii="Calibri" w:eastAsia="Times New Roman" w:hAnsi="Calibri" w:cs="Calibri"/>
                <w:b/>
                <w:bCs/>
                <w:color w:val="000000"/>
                <w:lang w:eastAsia="es-MX"/>
              </w:rPr>
            </w:pPr>
            <w:r w:rsidRPr="00240E45">
              <w:rPr>
                <w:rFonts w:ascii="Calibri" w:eastAsia="Times New Roman" w:hAnsi="Calibri" w:cs="Calibri"/>
                <w:b/>
                <w:bCs/>
                <w:color w:val="000000"/>
                <w:lang w:eastAsia="es-MX"/>
              </w:rPr>
              <w:t>UNAM</w:t>
            </w:r>
          </w:p>
        </w:tc>
        <w:tc>
          <w:tcPr>
            <w:tcW w:w="2881"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tcPr>
          <w:p w14:paraId="4938401B" w14:textId="260A7E05" w:rsidR="000A74E8" w:rsidRPr="00240E45" w:rsidRDefault="000A74E8" w:rsidP="000A74E8">
            <w:pPr>
              <w:spacing w:after="0" w:line="240" w:lineRule="auto"/>
              <w:jc w:val="center"/>
              <w:rPr>
                <w:rFonts w:ascii="Calibri" w:eastAsia="Times New Roman" w:hAnsi="Calibri" w:cs="Calibri"/>
                <w:b/>
                <w:bCs/>
                <w:color w:val="000000"/>
                <w:lang w:eastAsia="es-MX"/>
              </w:rPr>
            </w:pPr>
            <w:r w:rsidRPr="00240E45">
              <w:rPr>
                <w:rFonts w:ascii="Calibri" w:eastAsia="Times New Roman" w:hAnsi="Calibri" w:cs="Calibri"/>
                <w:b/>
                <w:bCs/>
                <w:color w:val="000000"/>
                <w:lang w:eastAsia="es-MX"/>
              </w:rPr>
              <w:t>ITESM</w:t>
            </w:r>
          </w:p>
        </w:tc>
        <w:tc>
          <w:tcPr>
            <w:tcW w:w="2881" w:type="dxa"/>
            <w:gridSpan w:val="3"/>
            <w:tcBorders>
              <w:top w:val="single" w:sz="4" w:space="0" w:color="auto"/>
              <w:left w:val="nil"/>
              <w:bottom w:val="single" w:sz="4" w:space="0" w:color="auto"/>
              <w:right w:val="single" w:sz="4" w:space="0" w:color="auto"/>
            </w:tcBorders>
            <w:shd w:val="clear" w:color="auto" w:fill="BDD6EE" w:themeFill="accent1" w:themeFillTint="66"/>
          </w:tcPr>
          <w:p w14:paraId="0CCF8EED" w14:textId="7B91449A" w:rsidR="000A74E8" w:rsidRPr="00240E45" w:rsidRDefault="000A74E8" w:rsidP="000A74E8">
            <w:pPr>
              <w:spacing w:after="0" w:line="240" w:lineRule="auto"/>
              <w:jc w:val="center"/>
              <w:rPr>
                <w:rFonts w:ascii="Calibri" w:eastAsia="Times New Roman" w:hAnsi="Calibri" w:cs="Calibri"/>
                <w:b/>
                <w:bCs/>
                <w:color w:val="000000"/>
                <w:lang w:eastAsia="es-MX"/>
              </w:rPr>
            </w:pPr>
            <w:r w:rsidRPr="00240E45">
              <w:rPr>
                <w:rFonts w:ascii="Calibri" w:eastAsia="Times New Roman" w:hAnsi="Calibri" w:cs="Calibri"/>
                <w:b/>
                <w:bCs/>
                <w:color w:val="000000"/>
                <w:lang w:eastAsia="es-MX"/>
              </w:rPr>
              <w:t>UAM</w:t>
            </w:r>
          </w:p>
        </w:tc>
      </w:tr>
      <w:tr w:rsidR="000A74E8" w:rsidRPr="00240E45" w14:paraId="4D59DB7C" w14:textId="11AACF9A" w:rsidTr="000A74E8">
        <w:trPr>
          <w:trHeight w:val="236"/>
          <w:jc w:val="center"/>
        </w:trPr>
        <w:tc>
          <w:tcPr>
            <w:tcW w:w="3159" w:type="dxa"/>
            <w:tcBorders>
              <w:top w:val="nil"/>
              <w:left w:val="single" w:sz="4" w:space="0" w:color="auto"/>
              <w:bottom w:val="single" w:sz="4" w:space="0" w:color="auto"/>
              <w:right w:val="single" w:sz="4" w:space="0" w:color="auto"/>
            </w:tcBorders>
            <w:shd w:val="clear" w:color="auto" w:fill="auto"/>
            <w:noWrap/>
            <w:vAlign w:val="bottom"/>
            <w:hideMark/>
          </w:tcPr>
          <w:p w14:paraId="54DFCE54" w14:textId="77777777"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eastAsia="Times New Roman" w:hAnsi="Calibri" w:cs="Calibri"/>
                <w:color w:val="000000"/>
                <w:lang w:eastAsia="es-MX"/>
              </w:rPr>
              <w:t>Estudiantes de Tiempo Completo</w:t>
            </w:r>
          </w:p>
        </w:tc>
        <w:tc>
          <w:tcPr>
            <w:tcW w:w="959" w:type="dxa"/>
            <w:tcBorders>
              <w:top w:val="nil"/>
              <w:left w:val="nil"/>
              <w:bottom w:val="single" w:sz="4" w:space="0" w:color="auto"/>
              <w:right w:val="single" w:sz="4" w:space="0" w:color="auto"/>
            </w:tcBorders>
            <w:shd w:val="clear" w:color="auto" w:fill="auto"/>
            <w:noWrap/>
            <w:vAlign w:val="bottom"/>
          </w:tcPr>
          <w:p w14:paraId="28FB4801" w14:textId="30307013"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145,024</w:t>
            </w:r>
          </w:p>
        </w:tc>
        <w:tc>
          <w:tcPr>
            <w:tcW w:w="960" w:type="dxa"/>
            <w:tcBorders>
              <w:top w:val="nil"/>
              <w:left w:val="nil"/>
              <w:bottom w:val="single" w:sz="4" w:space="0" w:color="auto"/>
              <w:right w:val="single" w:sz="4" w:space="0" w:color="auto"/>
            </w:tcBorders>
            <w:shd w:val="clear" w:color="auto" w:fill="auto"/>
            <w:noWrap/>
            <w:vAlign w:val="bottom"/>
          </w:tcPr>
          <w:p w14:paraId="4B061FE3" w14:textId="4D4847FE"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162,018</w:t>
            </w:r>
          </w:p>
        </w:tc>
        <w:tc>
          <w:tcPr>
            <w:tcW w:w="961" w:type="dxa"/>
            <w:tcBorders>
              <w:top w:val="nil"/>
              <w:left w:val="nil"/>
              <w:bottom w:val="single" w:sz="4" w:space="0" w:color="auto"/>
              <w:right w:val="single" w:sz="4" w:space="0" w:color="auto"/>
            </w:tcBorders>
            <w:shd w:val="clear" w:color="auto" w:fill="auto"/>
            <w:noWrap/>
            <w:vAlign w:val="bottom"/>
          </w:tcPr>
          <w:p w14:paraId="7B9C97D6" w14:textId="68FEB2DD"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161,718</w:t>
            </w:r>
          </w:p>
        </w:tc>
        <w:tc>
          <w:tcPr>
            <w:tcW w:w="960" w:type="dxa"/>
            <w:tcBorders>
              <w:top w:val="nil"/>
              <w:left w:val="nil"/>
              <w:bottom w:val="single" w:sz="4" w:space="0" w:color="auto"/>
              <w:right w:val="single" w:sz="4" w:space="0" w:color="auto"/>
            </w:tcBorders>
            <w:shd w:val="clear" w:color="auto" w:fill="auto"/>
            <w:noWrap/>
            <w:vAlign w:val="bottom"/>
          </w:tcPr>
          <w:p w14:paraId="4179DE1C" w14:textId="6A29ECA6"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14,003</w:t>
            </w:r>
          </w:p>
        </w:tc>
        <w:tc>
          <w:tcPr>
            <w:tcW w:w="959" w:type="dxa"/>
            <w:tcBorders>
              <w:top w:val="nil"/>
              <w:left w:val="nil"/>
              <w:bottom w:val="single" w:sz="4" w:space="0" w:color="auto"/>
              <w:right w:val="single" w:sz="4" w:space="0" w:color="auto"/>
            </w:tcBorders>
            <w:shd w:val="clear" w:color="auto" w:fill="auto"/>
            <w:noWrap/>
            <w:vAlign w:val="bottom"/>
          </w:tcPr>
          <w:p w14:paraId="7B4AAB44" w14:textId="65687A56"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14,215</w:t>
            </w:r>
          </w:p>
        </w:tc>
        <w:tc>
          <w:tcPr>
            <w:tcW w:w="962" w:type="dxa"/>
            <w:tcBorders>
              <w:top w:val="nil"/>
              <w:left w:val="nil"/>
              <w:bottom w:val="single" w:sz="4" w:space="0" w:color="auto"/>
              <w:right w:val="single" w:sz="4" w:space="0" w:color="auto"/>
            </w:tcBorders>
            <w:shd w:val="clear" w:color="auto" w:fill="auto"/>
            <w:noWrap/>
            <w:vAlign w:val="bottom"/>
          </w:tcPr>
          <w:p w14:paraId="63624E11" w14:textId="742A33DE"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14,343</w:t>
            </w:r>
          </w:p>
        </w:tc>
        <w:tc>
          <w:tcPr>
            <w:tcW w:w="959" w:type="dxa"/>
            <w:tcBorders>
              <w:top w:val="nil"/>
              <w:left w:val="nil"/>
              <w:bottom w:val="single" w:sz="4" w:space="0" w:color="auto"/>
              <w:right w:val="single" w:sz="4" w:space="0" w:color="auto"/>
            </w:tcBorders>
            <w:vAlign w:val="bottom"/>
          </w:tcPr>
          <w:p w14:paraId="6BF35B5E" w14:textId="756519E8"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57,092</w:t>
            </w:r>
          </w:p>
        </w:tc>
        <w:tc>
          <w:tcPr>
            <w:tcW w:w="960" w:type="dxa"/>
            <w:tcBorders>
              <w:top w:val="nil"/>
              <w:left w:val="nil"/>
              <w:bottom w:val="single" w:sz="4" w:space="0" w:color="auto"/>
              <w:right w:val="single" w:sz="4" w:space="0" w:color="auto"/>
            </w:tcBorders>
            <w:vAlign w:val="bottom"/>
          </w:tcPr>
          <w:p w14:paraId="35A8AEE0" w14:textId="429FDD4E"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57,742</w:t>
            </w:r>
          </w:p>
        </w:tc>
        <w:tc>
          <w:tcPr>
            <w:tcW w:w="962" w:type="dxa"/>
            <w:tcBorders>
              <w:top w:val="nil"/>
              <w:left w:val="nil"/>
              <w:bottom w:val="single" w:sz="4" w:space="0" w:color="auto"/>
              <w:right w:val="single" w:sz="4" w:space="0" w:color="auto"/>
            </w:tcBorders>
            <w:vAlign w:val="bottom"/>
          </w:tcPr>
          <w:p w14:paraId="60EAEE95" w14:textId="09F9D547"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57,827</w:t>
            </w:r>
          </w:p>
        </w:tc>
      </w:tr>
      <w:tr w:rsidR="000A74E8" w:rsidRPr="00240E45" w14:paraId="0419F527" w14:textId="2FCFA757" w:rsidTr="000A74E8">
        <w:trPr>
          <w:trHeight w:val="236"/>
          <w:jc w:val="center"/>
        </w:trPr>
        <w:tc>
          <w:tcPr>
            <w:tcW w:w="315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0B4600D0" w14:textId="77777777"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eastAsia="Times New Roman" w:hAnsi="Calibri" w:cs="Calibri"/>
                <w:color w:val="000000"/>
                <w:lang w:eastAsia="es-MX"/>
              </w:rPr>
              <w:t>Promedio estudiante/personal</w:t>
            </w:r>
          </w:p>
        </w:tc>
        <w:tc>
          <w:tcPr>
            <w:tcW w:w="959" w:type="dxa"/>
            <w:tcBorders>
              <w:top w:val="nil"/>
              <w:left w:val="nil"/>
              <w:bottom w:val="single" w:sz="4" w:space="0" w:color="auto"/>
              <w:right w:val="single" w:sz="4" w:space="0" w:color="auto"/>
            </w:tcBorders>
            <w:shd w:val="clear" w:color="auto" w:fill="E7E6E6" w:themeFill="background2"/>
            <w:noWrap/>
            <w:vAlign w:val="bottom"/>
          </w:tcPr>
          <w:p w14:paraId="1799DA19" w14:textId="0E20AF17"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12.1</w:t>
            </w:r>
          </w:p>
        </w:tc>
        <w:tc>
          <w:tcPr>
            <w:tcW w:w="960" w:type="dxa"/>
            <w:tcBorders>
              <w:top w:val="nil"/>
              <w:left w:val="nil"/>
              <w:bottom w:val="single" w:sz="4" w:space="0" w:color="auto"/>
              <w:right w:val="single" w:sz="4" w:space="0" w:color="auto"/>
            </w:tcBorders>
            <w:shd w:val="clear" w:color="auto" w:fill="E7E6E6" w:themeFill="background2"/>
            <w:noWrap/>
            <w:vAlign w:val="bottom"/>
          </w:tcPr>
          <w:p w14:paraId="04509CD8" w14:textId="16E9C0ED"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13.6</w:t>
            </w:r>
          </w:p>
        </w:tc>
        <w:tc>
          <w:tcPr>
            <w:tcW w:w="961" w:type="dxa"/>
            <w:tcBorders>
              <w:top w:val="nil"/>
              <w:left w:val="nil"/>
              <w:bottom w:val="single" w:sz="4" w:space="0" w:color="auto"/>
              <w:right w:val="single" w:sz="4" w:space="0" w:color="auto"/>
            </w:tcBorders>
            <w:shd w:val="clear" w:color="auto" w:fill="E7E6E6" w:themeFill="background2"/>
            <w:noWrap/>
            <w:vAlign w:val="bottom"/>
          </w:tcPr>
          <w:p w14:paraId="75FFB969" w14:textId="209B0716"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17.1</w:t>
            </w:r>
          </w:p>
        </w:tc>
        <w:tc>
          <w:tcPr>
            <w:tcW w:w="960" w:type="dxa"/>
            <w:tcBorders>
              <w:top w:val="nil"/>
              <w:left w:val="nil"/>
              <w:bottom w:val="single" w:sz="4" w:space="0" w:color="auto"/>
              <w:right w:val="single" w:sz="4" w:space="0" w:color="auto"/>
            </w:tcBorders>
            <w:shd w:val="clear" w:color="auto" w:fill="E7E6E6" w:themeFill="background2"/>
            <w:noWrap/>
            <w:vAlign w:val="bottom"/>
          </w:tcPr>
          <w:p w14:paraId="6E78E581" w14:textId="1214CACE"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17.2</w:t>
            </w:r>
          </w:p>
        </w:tc>
        <w:tc>
          <w:tcPr>
            <w:tcW w:w="959" w:type="dxa"/>
            <w:tcBorders>
              <w:top w:val="nil"/>
              <w:left w:val="nil"/>
              <w:bottom w:val="single" w:sz="4" w:space="0" w:color="auto"/>
              <w:right w:val="single" w:sz="4" w:space="0" w:color="auto"/>
            </w:tcBorders>
            <w:shd w:val="clear" w:color="auto" w:fill="E7E6E6" w:themeFill="background2"/>
            <w:noWrap/>
            <w:vAlign w:val="bottom"/>
          </w:tcPr>
          <w:p w14:paraId="2F098983" w14:textId="42B4FDC1"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16.1</w:t>
            </w:r>
          </w:p>
        </w:tc>
        <w:tc>
          <w:tcPr>
            <w:tcW w:w="962" w:type="dxa"/>
            <w:tcBorders>
              <w:top w:val="nil"/>
              <w:left w:val="nil"/>
              <w:bottom w:val="single" w:sz="4" w:space="0" w:color="auto"/>
              <w:right w:val="single" w:sz="4" w:space="0" w:color="auto"/>
            </w:tcBorders>
            <w:shd w:val="clear" w:color="auto" w:fill="E7E6E6" w:themeFill="background2"/>
            <w:noWrap/>
            <w:vAlign w:val="bottom"/>
          </w:tcPr>
          <w:p w14:paraId="78A2440F" w14:textId="3477A271"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16.2</w:t>
            </w:r>
          </w:p>
        </w:tc>
        <w:tc>
          <w:tcPr>
            <w:tcW w:w="959" w:type="dxa"/>
            <w:tcBorders>
              <w:top w:val="nil"/>
              <w:left w:val="nil"/>
              <w:bottom w:val="single" w:sz="4" w:space="0" w:color="auto"/>
              <w:right w:val="single" w:sz="4" w:space="0" w:color="auto"/>
            </w:tcBorders>
            <w:shd w:val="clear" w:color="auto" w:fill="E7E6E6" w:themeFill="background2"/>
            <w:vAlign w:val="bottom"/>
          </w:tcPr>
          <w:p w14:paraId="456379E6" w14:textId="5077B366"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20.1</w:t>
            </w:r>
          </w:p>
        </w:tc>
        <w:tc>
          <w:tcPr>
            <w:tcW w:w="960" w:type="dxa"/>
            <w:tcBorders>
              <w:top w:val="nil"/>
              <w:left w:val="nil"/>
              <w:bottom w:val="single" w:sz="4" w:space="0" w:color="auto"/>
              <w:right w:val="single" w:sz="4" w:space="0" w:color="auto"/>
            </w:tcBorders>
            <w:shd w:val="clear" w:color="auto" w:fill="E7E6E6" w:themeFill="background2"/>
            <w:vAlign w:val="bottom"/>
          </w:tcPr>
          <w:p w14:paraId="59FCD530" w14:textId="1B2A2926"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20.1</w:t>
            </w:r>
          </w:p>
        </w:tc>
        <w:tc>
          <w:tcPr>
            <w:tcW w:w="962" w:type="dxa"/>
            <w:tcBorders>
              <w:top w:val="nil"/>
              <w:left w:val="nil"/>
              <w:bottom w:val="single" w:sz="4" w:space="0" w:color="auto"/>
              <w:right w:val="single" w:sz="4" w:space="0" w:color="auto"/>
            </w:tcBorders>
            <w:shd w:val="clear" w:color="auto" w:fill="E7E6E6" w:themeFill="background2"/>
            <w:vAlign w:val="bottom"/>
          </w:tcPr>
          <w:p w14:paraId="4C538CF2" w14:textId="3B794928"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20</w:t>
            </w:r>
          </w:p>
        </w:tc>
      </w:tr>
      <w:tr w:rsidR="000A74E8" w:rsidRPr="00240E45" w14:paraId="03B5D9C8" w14:textId="3C52FFAC" w:rsidTr="000A74E8">
        <w:trPr>
          <w:trHeight w:val="236"/>
          <w:jc w:val="center"/>
        </w:trPr>
        <w:tc>
          <w:tcPr>
            <w:tcW w:w="3159" w:type="dxa"/>
            <w:tcBorders>
              <w:top w:val="nil"/>
              <w:left w:val="single" w:sz="4" w:space="0" w:color="auto"/>
              <w:bottom w:val="single" w:sz="4" w:space="0" w:color="auto"/>
              <w:right w:val="single" w:sz="4" w:space="0" w:color="auto"/>
            </w:tcBorders>
            <w:shd w:val="clear" w:color="auto" w:fill="auto"/>
            <w:noWrap/>
            <w:vAlign w:val="bottom"/>
            <w:hideMark/>
          </w:tcPr>
          <w:p w14:paraId="72DE9CD3" w14:textId="77777777"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eastAsia="Times New Roman" w:hAnsi="Calibri" w:cs="Calibri"/>
                <w:color w:val="000000"/>
                <w:lang w:eastAsia="es-MX"/>
              </w:rPr>
              <w:t>Estudiantes internacionales</w:t>
            </w:r>
          </w:p>
        </w:tc>
        <w:tc>
          <w:tcPr>
            <w:tcW w:w="959" w:type="dxa"/>
            <w:tcBorders>
              <w:top w:val="nil"/>
              <w:left w:val="nil"/>
              <w:bottom w:val="single" w:sz="4" w:space="0" w:color="auto"/>
              <w:right w:val="single" w:sz="4" w:space="0" w:color="auto"/>
            </w:tcBorders>
            <w:shd w:val="clear" w:color="auto" w:fill="auto"/>
            <w:noWrap/>
            <w:vAlign w:val="bottom"/>
          </w:tcPr>
          <w:p w14:paraId="61334BAD" w14:textId="766B994D"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6%</w:t>
            </w:r>
          </w:p>
        </w:tc>
        <w:tc>
          <w:tcPr>
            <w:tcW w:w="960" w:type="dxa"/>
            <w:tcBorders>
              <w:top w:val="nil"/>
              <w:left w:val="nil"/>
              <w:bottom w:val="single" w:sz="4" w:space="0" w:color="auto"/>
              <w:right w:val="single" w:sz="4" w:space="0" w:color="auto"/>
            </w:tcBorders>
            <w:shd w:val="clear" w:color="auto" w:fill="auto"/>
            <w:noWrap/>
            <w:vAlign w:val="bottom"/>
          </w:tcPr>
          <w:p w14:paraId="07EB23F6" w14:textId="18E515A9"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6%</w:t>
            </w:r>
          </w:p>
        </w:tc>
        <w:tc>
          <w:tcPr>
            <w:tcW w:w="961" w:type="dxa"/>
            <w:tcBorders>
              <w:top w:val="nil"/>
              <w:left w:val="nil"/>
              <w:bottom w:val="single" w:sz="4" w:space="0" w:color="auto"/>
              <w:right w:val="single" w:sz="4" w:space="0" w:color="auto"/>
            </w:tcBorders>
            <w:shd w:val="clear" w:color="auto" w:fill="auto"/>
            <w:noWrap/>
            <w:vAlign w:val="bottom"/>
          </w:tcPr>
          <w:p w14:paraId="45FE0FE4" w14:textId="277CC372"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8%</w:t>
            </w:r>
          </w:p>
        </w:tc>
        <w:tc>
          <w:tcPr>
            <w:tcW w:w="960" w:type="dxa"/>
            <w:tcBorders>
              <w:top w:val="nil"/>
              <w:left w:val="nil"/>
              <w:bottom w:val="single" w:sz="4" w:space="0" w:color="auto"/>
              <w:right w:val="single" w:sz="4" w:space="0" w:color="auto"/>
            </w:tcBorders>
            <w:shd w:val="clear" w:color="auto" w:fill="auto"/>
            <w:noWrap/>
            <w:vAlign w:val="bottom"/>
          </w:tcPr>
          <w:p w14:paraId="3EB469F5" w14:textId="6C9F8DE8"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13%</w:t>
            </w:r>
          </w:p>
        </w:tc>
        <w:tc>
          <w:tcPr>
            <w:tcW w:w="959" w:type="dxa"/>
            <w:tcBorders>
              <w:top w:val="nil"/>
              <w:left w:val="nil"/>
              <w:bottom w:val="single" w:sz="4" w:space="0" w:color="auto"/>
              <w:right w:val="single" w:sz="4" w:space="0" w:color="auto"/>
            </w:tcBorders>
            <w:shd w:val="clear" w:color="auto" w:fill="auto"/>
            <w:noWrap/>
            <w:vAlign w:val="bottom"/>
          </w:tcPr>
          <w:p w14:paraId="2A51A476" w14:textId="4013FAB6"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11%</w:t>
            </w:r>
          </w:p>
        </w:tc>
        <w:tc>
          <w:tcPr>
            <w:tcW w:w="962" w:type="dxa"/>
            <w:tcBorders>
              <w:top w:val="nil"/>
              <w:left w:val="nil"/>
              <w:bottom w:val="single" w:sz="4" w:space="0" w:color="auto"/>
              <w:right w:val="single" w:sz="4" w:space="0" w:color="auto"/>
            </w:tcBorders>
            <w:shd w:val="clear" w:color="auto" w:fill="auto"/>
            <w:noWrap/>
            <w:vAlign w:val="bottom"/>
          </w:tcPr>
          <w:p w14:paraId="5794D4D5" w14:textId="5985F4A7"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11%</w:t>
            </w:r>
          </w:p>
        </w:tc>
        <w:tc>
          <w:tcPr>
            <w:tcW w:w="959" w:type="dxa"/>
            <w:tcBorders>
              <w:top w:val="nil"/>
              <w:left w:val="nil"/>
              <w:bottom w:val="single" w:sz="4" w:space="0" w:color="auto"/>
              <w:right w:val="single" w:sz="4" w:space="0" w:color="auto"/>
            </w:tcBorders>
            <w:vAlign w:val="bottom"/>
          </w:tcPr>
          <w:p w14:paraId="322EF478" w14:textId="36F85FC5"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0%</w:t>
            </w:r>
          </w:p>
        </w:tc>
        <w:tc>
          <w:tcPr>
            <w:tcW w:w="960" w:type="dxa"/>
            <w:tcBorders>
              <w:top w:val="nil"/>
              <w:left w:val="nil"/>
              <w:bottom w:val="single" w:sz="4" w:space="0" w:color="auto"/>
              <w:right w:val="single" w:sz="4" w:space="0" w:color="auto"/>
            </w:tcBorders>
            <w:vAlign w:val="bottom"/>
          </w:tcPr>
          <w:p w14:paraId="2738AC4B" w14:textId="717ED30B"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0%</w:t>
            </w:r>
          </w:p>
        </w:tc>
        <w:tc>
          <w:tcPr>
            <w:tcW w:w="962" w:type="dxa"/>
            <w:tcBorders>
              <w:top w:val="nil"/>
              <w:left w:val="nil"/>
              <w:bottom w:val="single" w:sz="4" w:space="0" w:color="auto"/>
              <w:right w:val="single" w:sz="4" w:space="0" w:color="auto"/>
            </w:tcBorders>
            <w:vAlign w:val="bottom"/>
          </w:tcPr>
          <w:p w14:paraId="57274891" w14:textId="29733BF7"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0%</w:t>
            </w:r>
          </w:p>
        </w:tc>
      </w:tr>
      <w:tr w:rsidR="000A74E8" w:rsidRPr="00240E45" w14:paraId="5EE62B15" w14:textId="1917CFC6" w:rsidTr="000A74E8">
        <w:trPr>
          <w:trHeight w:val="236"/>
          <w:jc w:val="center"/>
        </w:trPr>
        <w:tc>
          <w:tcPr>
            <w:tcW w:w="3159" w:type="dxa"/>
            <w:tcBorders>
              <w:top w:val="nil"/>
              <w:left w:val="single" w:sz="4" w:space="0" w:color="auto"/>
              <w:bottom w:val="single" w:sz="4" w:space="0" w:color="auto"/>
              <w:right w:val="single" w:sz="4" w:space="0" w:color="auto"/>
            </w:tcBorders>
            <w:shd w:val="clear" w:color="auto" w:fill="E7E6E6" w:themeFill="background2"/>
            <w:noWrap/>
            <w:vAlign w:val="bottom"/>
            <w:hideMark/>
          </w:tcPr>
          <w:p w14:paraId="72707E6F" w14:textId="77777777"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eastAsia="Times New Roman" w:hAnsi="Calibri" w:cs="Calibri"/>
                <w:color w:val="000000"/>
                <w:lang w:eastAsia="es-MX"/>
              </w:rPr>
              <w:t>Promedio estudiantes Mujeres/Hombres</w:t>
            </w:r>
          </w:p>
        </w:tc>
        <w:tc>
          <w:tcPr>
            <w:tcW w:w="959" w:type="dxa"/>
            <w:tcBorders>
              <w:top w:val="nil"/>
              <w:left w:val="nil"/>
              <w:bottom w:val="single" w:sz="4" w:space="0" w:color="auto"/>
              <w:right w:val="single" w:sz="4" w:space="0" w:color="auto"/>
            </w:tcBorders>
            <w:shd w:val="clear" w:color="auto" w:fill="E7E6E6" w:themeFill="background2"/>
            <w:noWrap/>
            <w:vAlign w:val="center"/>
          </w:tcPr>
          <w:p w14:paraId="60AF4BAD" w14:textId="7862B817"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51 : 49</w:t>
            </w:r>
          </w:p>
        </w:tc>
        <w:tc>
          <w:tcPr>
            <w:tcW w:w="960" w:type="dxa"/>
            <w:tcBorders>
              <w:top w:val="nil"/>
              <w:left w:val="nil"/>
              <w:bottom w:val="single" w:sz="4" w:space="0" w:color="auto"/>
              <w:right w:val="single" w:sz="4" w:space="0" w:color="auto"/>
            </w:tcBorders>
            <w:shd w:val="clear" w:color="auto" w:fill="E7E6E6" w:themeFill="background2"/>
            <w:noWrap/>
            <w:vAlign w:val="center"/>
          </w:tcPr>
          <w:p w14:paraId="3FF726A8" w14:textId="7E3D35B9"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51 : 49</w:t>
            </w:r>
          </w:p>
        </w:tc>
        <w:tc>
          <w:tcPr>
            <w:tcW w:w="961" w:type="dxa"/>
            <w:tcBorders>
              <w:top w:val="nil"/>
              <w:left w:val="nil"/>
              <w:bottom w:val="single" w:sz="4" w:space="0" w:color="auto"/>
              <w:right w:val="single" w:sz="4" w:space="0" w:color="auto"/>
            </w:tcBorders>
            <w:shd w:val="clear" w:color="auto" w:fill="E7E6E6" w:themeFill="background2"/>
            <w:noWrap/>
            <w:vAlign w:val="center"/>
          </w:tcPr>
          <w:p w14:paraId="2550F3F4" w14:textId="0D4305A7"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51 : 49</w:t>
            </w:r>
          </w:p>
        </w:tc>
        <w:tc>
          <w:tcPr>
            <w:tcW w:w="960" w:type="dxa"/>
            <w:tcBorders>
              <w:top w:val="nil"/>
              <w:left w:val="nil"/>
              <w:bottom w:val="single" w:sz="4" w:space="0" w:color="auto"/>
              <w:right w:val="single" w:sz="4" w:space="0" w:color="auto"/>
            </w:tcBorders>
            <w:shd w:val="clear" w:color="auto" w:fill="E7E6E6" w:themeFill="background2"/>
            <w:noWrap/>
            <w:vAlign w:val="center"/>
          </w:tcPr>
          <w:p w14:paraId="2DABB142" w14:textId="03079106"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40 : 60</w:t>
            </w:r>
          </w:p>
        </w:tc>
        <w:tc>
          <w:tcPr>
            <w:tcW w:w="959" w:type="dxa"/>
            <w:tcBorders>
              <w:top w:val="nil"/>
              <w:left w:val="nil"/>
              <w:bottom w:val="single" w:sz="4" w:space="0" w:color="auto"/>
              <w:right w:val="single" w:sz="4" w:space="0" w:color="auto"/>
            </w:tcBorders>
            <w:shd w:val="clear" w:color="auto" w:fill="E7E6E6" w:themeFill="background2"/>
            <w:noWrap/>
            <w:vAlign w:val="center"/>
          </w:tcPr>
          <w:p w14:paraId="2EBBEDBF" w14:textId="54534B4D"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41 : 59</w:t>
            </w:r>
          </w:p>
        </w:tc>
        <w:tc>
          <w:tcPr>
            <w:tcW w:w="962" w:type="dxa"/>
            <w:tcBorders>
              <w:top w:val="nil"/>
              <w:left w:val="nil"/>
              <w:bottom w:val="single" w:sz="4" w:space="0" w:color="auto"/>
              <w:right w:val="single" w:sz="4" w:space="0" w:color="auto"/>
            </w:tcBorders>
            <w:shd w:val="clear" w:color="auto" w:fill="E7E6E6" w:themeFill="background2"/>
            <w:noWrap/>
            <w:vAlign w:val="center"/>
          </w:tcPr>
          <w:p w14:paraId="5FABDA65" w14:textId="1A7CA4B1"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41 : 59</w:t>
            </w:r>
          </w:p>
        </w:tc>
        <w:tc>
          <w:tcPr>
            <w:tcW w:w="959" w:type="dxa"/>
            <w:tcBorders>
              <w:top w:val="nil"/>
              <w:left w:val="nil"/>
              <w:bottom w:val="single" w:sz="4" w:space="0" w:color="auto"/>
              <w:right w:val="single" w:sz="4" w:space="0" w:color="auto"/>
            </w:tcBorders>
            <w:shd w:val="clear" w:color="auto" w:fill="E7E6E6" w:themeFill="background2"/>
            <w:vAlign w:val="center"/>
          </w:tcPr>
          <w:p w14:paraId="2618A730" w14:textId="44D04D05"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47 : 53</w:t>
            </w:r>
          </w:p>
        </w:tc>
        <w:tc>
          <w:tcPr>
            <w:tcW w:w="960" w:type="dxa"/>
            <w:tcBorders>
              <w:top w:val="nil"/>
              <w:left w:val="nil"/>
              <w:bottom w:val="single" w:sz="4" w:space="0" w:color="auto"/>
              <w:right w:val="single" w:sz="4" w:space="0" w:color="auto"/>
            </w:tcBorders>
            <w:shd w:val="clear" w:color="auto" w:fill="E7E6E6" w:themeFill="background2"/>
            <w:vAlign w:val="center"/>
          </w:tcPr>
          <w:p w14:paraId="7AEF5918" w14:textId="06278DF0"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48 : 52</w:t>
            </w:r>
          </w:p>
        </w:tc>
        <w:tc>
          <w:tcPr>
            <w:tcW w:w="962" w:type="dxa"/>
            <w:tcBorders>
              <w:top w:val="nil"/>
              <w:left w:val="nil"/>
              <w:bottom w:val="single" w:sz="4" w:space="0" w:color="auto"/>
              <w:right w:val="single" w:sz="4" w:space="0" w:color="auto"/>
            </w:tcBorders>
            <w:shd w:val="clear" w:color="auto" w:fill="E7E6E6" w:themeFill="background2"/>
            <w:vAlign w:val="center"/>
          </w:tcPr>
          <w:p w14:paraId="418AA463" w14:textId="367CF0DA" w:rsidR="000A74E8" w:rsidRPr="00240E45" w:rsidRDefault="000A74E8" w:rsidP="000A74E8">
            <w:pPr>
              <w:spacing w:after="0" w:line="240" w:lineRule="auto"/>
              <w:jc w:val="center"/>
              <w:rPr>
                <w:rFonts w:ascii="Calibri" w:eastAsia="Times New Roman" w:hAnsi="Calibri" w:cs="Calibri"/>
                <w:color w:val="000000"/>
                <w:lang w:eastAsia="es-MX"/>
              </w:rPr>
            </w:pPr>
            <w:r w:rsidRPr="00240E45">
              <w:rPr>
                <w:rFonts w:ascii="Calibri" w:hAnsi="Calibri" w:cs="Calibri"/>
                <w:color w:val="000000"/>
              </w:rPr>
              <w:t>48 : 52</w:t>
            </w:r>
          </w:p>
        </w:tc>
      </w:tr>
    </w:tbl>
    <w:p w14:paraId="005193A9" w14:textId="77777777" w:rsidR="00DE0F03" w:rsidRDefault="00DE0F03" w:rsidP="002062E7">
      <w:pPr>
        <w:pStyle w:val="Prrafodelista"/>
        <w:spacing w:after="0" w:line="240" w:lineRule="auto"/>
        <w:jc w:val="both"/>
        <w:rPr>
          <w:sz w:val="24"/>
        </w:rPr>
      </w:pPr>
    </w:p>
    <w:p w14:paraId="1A19B1A3" w14:textId="77777777" w:rsidR="000228E3" w:rsidRDefault="000228E3" w:rsidP="002062E7">
      <w:pPr>
        <w:pStyle w:val="Prrafodelista"/>
        <w:spacing w:after="0" w:line="240" w:lineRule="auto"/>
        <w:jc w:val="both"/>
        <w:rPr>
          <w:sz w:val="24"/>
        </w:rPr>
      </w:pPr>
    </w:p>
    <w:p w14:paraId="66C08A63" w14:textId="77777777" w:rsidR="000228E3" w:rsidRPr="00240E45" w:rsidRDefault="000228E3" w:rsidP="002062E7">
      <w:pPr>
        <w:pStyle w:val="Prrafodelista"/>
        <w:spacing w:after="0" w:line="240" w:lineRule="auto"/>
        <w:jc w:val="both"/>
        <w:rPr>
          <w:sz w:val="24"/>
        </w:rPr>
      </w:pPr>
    </w:p>
    <w:p w14:paraId="7F00ED2F" w14:textId="77777777" w:rsidR="00AB71DE" w:rsidRPr="00240E45" w:rsidRDefault="00AB71DE" w:rsidP="00D00D1F">
      <w:pPr>
        <w:pStyle w:val="Prrafodelista"/>
        <w:numPr>
          <w:ilvl w:val="0"/>
          <w:numId w:val="1"/>
        </w:numPr>
        <w:jc w:val="both"/>
        <w:rPr>
          <w:b/>
          <w:sz w:val="24"/>
        </w:rPr>
      </w:pPr>
      <w:r w:rsidRPr="00240E45">
        <w:rPr>
          <w:b/>
          <w:sz w:val="24"/>
        </w:rPr>
        <w:lastRenderedPageBreak/>
        <w:t>Comportamiento de la UNAM en el ranking</w:t>
      </w:r>
    </w:p>
    <w:p w14:paraId="6198277F" w14:textId="378F71EA" w:rsidR="00AB71DE" w:rsidRPr="00240E45" w:rsidRDefault="00AB71DE" w:rsidP="00B13F80">
      <w:pPr>
        <w:pStyle w:val="Prrafodelista"/>
        <w:numPr>
          <w:ilvl w:val="1"/>
          <w:numId w:val="23"/>
        </w:numPr>
        <w:spacing w:after="0" w:line="240" w:lineRule="auto"/>
        <w:jc w:val="both"/>
        <w:rPr>
          <w:sz w:val="24"/>
        </w:rPr>
      </w:pPr>
      <w:r w:rsidRPr="00240E45">
        <w:rPr>
          <w:sz w:val="24"/>
        </w:rPr>
        <w:t xml:space="preserve">La UNAM se ubicó </w:t>
      </w:r>
      <w:r w:rsidR="000F49D0" w:rsidRPr="00240E45">
        <w:rPr>
          <w:sz w:val="24"/>
        </w:rPr>
        <w:t>40</w:t>
      </w:r>
      <w:r w:rsidRPr="00240E45">
        <w:rPr>
          <w:sz w:val="24"/>
        </w:rPr>
        <w:t xml:space="preserve"> posiciones por debajo con respecto </w:t>
      </w:r>
      <w:r w:rsidR="003D17B4" w:rsidRPr="00240E45">
        <w:rPr>
          <w:sz w:val="24"/>
        </w:rPr>
        <w:t>a la edición previa del ranking mundial</w:t>
      </w:r>
      <w:r w:rsidRPr="00240E45">
        <w:rPr>
          <w:sz w:val="24"/>
        </w:rPr>
        <w:t xml:space="preserve">, al pasar del lugar </w:t>
      </w:r>
      <w:r w:rsidR="000F49D0" w:rsidRPr="00240E45">
        <w:rPr>
          <w:sz w:val="24"/>
        </w:rPr>
        <w:t>729</w:t>
      </w:r>
      <w:r w:rsidRPr="00240E45">
        <w:rPr>
          <w:sz w:val="24"/>
        </w:rPr>
        <w:t xml:space="preserve"> al lugar </w:t>
      </w:r>
      <w:r w:rsidR="000F49D0" w:rsidRPr="00240E45">
        <w:rPr>
          <w:sz w:val="24"/>
        </w:rPr>
        <w:t>769</w:t>
      </w:r>
      <w:r w:rsidRPr="00240E45">
        <w:rPr>
          <w:sz w:val="24"/>
        </w:rPr>
        <w:t>.</w:t>
      </w:r>
    </w:p>
    <w:p w14:paraId="71A8AF27" w14:textId="0CEACBD0" w:rsidR="00521C83" w:rsidRPr="00521C83" w:rsidRDefault="00AC5659" w:rsidP="001741F5">
      <w:pPr>
        <w:pStyle w:val="Prrafodelista"/>
        <w:numPr>
          <w:ilvl w:val="1"/>
          <w:numId w:val="23"/>
        </w:numPr>
        <w:spacing w:after="0" w:line="240" w:lineRule="auto"/>
        <w:jc w:val="both"/>
        <w:rPr>
          <w:sz w:val="24"/>
        </w:rPr>
      </w:pPr>
      <w:r w:rsidRPr="00521C83">
        <w:rPr>
          <w:sz w:val="24"/>
        </w:rPr>
        <w:t>S</w:t>
      </w:r>
      <w:r w:rsidR="000F49D0" w:rsidRPr="00521C83">
        <w:rPr>
          <w:sz w:val="24"/>
        </w:rPr>
        <w:t xml:space="preserve">e presentó un </w:t>
      </w:r>
      <w:r w:rsidR="003275CC" w:rsidRPr="00521C83">
        <w:rPr>
          <w:sz w:val="24"/>
        </w:rPr>
        <w:t xml:space="preserve">incremento </w:t>
      </w:r>
      <w:r w:rsidR="00521C83" w:rsidRPr="00521C83">
        <w:rPr>
          <w:sz w:val="24"/>
        </w:rPr>
        <w:t>de 6 puntos en el rubro de Financiamiento de la industria, de 3.7 en Perspectiva internacional, y 2.3 en el indicador de Investigación.</w:t>
      </w:r>
    </w:p>
    <w:p w14:paraId="511014FD" w14:textId="71021D07" w:rsidR="00521C83" w:rsidRPr="00240E45" w:rsidRDefault="00521C83" w:rsidP="000F49D0">
      <w:pPr>
        <w:pStyle w:val="Prrafodelista"/>
        <w:numPr>
          <w:ilvl w:val="1"/>
          <w:numId w:val="23"/>
        </w:numPr>
        <w:spacing w:after="0" w:line="240" w:lineRule="auto"/>
        <w:jc w:val="both"/>
        <w:rPr>
          <w:sz w:val="24"/>
        </w:rPr>
      </w:pPr>
      <w:r>
        <w:rPr>
          <w:sz w:val="24"/>
        </w:rPr>
        <w:t xml:space="preserve">Únicamente se mostró un ligero decremento de </w:t>
      </w:r>
      <w:r w:rsidRPr="00240E45">
        <w:rPr>
          <w:sz w:val="24"/>
        </w:rPr>
        <w:t>0.7 en Docencia</w:t>
      </w:r>
      <w:r>
        <w:rPr>
          <w:sz w:val="24"/>
        </w:rPr>
        <w:t xml:space="preserve"> y </w:t>
      </w:r>
      <w:r w:rsidRPr="00240E45">
        <w:rPr>
          <w:sz w:val="24"/>
        </w:rPr>
        <w:t>0.3 en Citas.</w:t>
      </w:r>
    </w:p>
    <w:p w14:paraId="3F60B57D" w14:textId="25F261D8" w:rsidR="00AB71DE" w:rsidRPr="00240E45" w:rsidRDefault="00AB71DE" w:rsidP="00AB71DE">
      <w:pPr>
        <w:pStyle w:val="Prrafodelista"/>
        <w:spacing w:after="0" w:line="240" w:lineRule="auto"/>
        <w:ind w:left="1440"/>
        <w:jc w:val="both"/>
        <w:rPr>
          <w:noProof/>
          <w:lang w:eastAsia="es-MX"/>
        </w:rPr>
      </w:pPr>
    </w:p>
    <w:tbl>
      <w:tblPr>
        <w:tblW w:w="8808" w:type="dxa"/>
        <w:jc w:val="center"/>
        <w:tblLayout w:type="fixed"/>
        <w:tblCellMar>
          <w:left w:w="70" w:type="dxa"/>
          <w:right w:w="70" w:type="dxa"/>
        </w:tblCellMar>
        <w:tblLook w:val="04A0" w:firstRow="1" w:lastRow="0" w:firstColumn="1" w:lastColumn="0" w:noHBand="0" w:noVBand="1"/>
      </w:tblPr>
      <w:tblGrid>
        <w:gridCol w:w="3351"/>
        <w:gridCol w:w="1818"/>
        <w:gridCol w:w="1818"/>
        <w:gridCol w:w="1821"/>
      </w:tblGrid>
      <w:tr w:rsidR="00AB71DE" w:rsidRPr="00240E45" w14:paraId="578A9A73" w14:textId="77777777" w:rsidTr="00373204">
        <w:trPr>
          <w:trHeight w:val="157"/>
          <w:jc w:val="center"/>
        </w:trPr>
        <w:tc>
          <w:tcPr>
            <w:tcW w:w="8808" w:type="dxa"/>
            <w:gridSpan w:val="4"/>
            <w:tcBorders>
              <w:bottom w:val="single" w:sz="4" w:space="0" w:color="000000"/>
            </w:tcBorders>
            <w:shd w:val="clear" w:color="auto" w:fill="auto"/>
            <w:noWrap/>
            <w:vAlign w:val="center"/>
          </w:tcPr>
          <w:p w14:paraId="7C1F4AEF" w14:textId="37630124" w:rsidR="00AB71DE" w:rsidRPr="00240E45" w:rsidRDefault="00AB71DE" w:rsidP="006709C0">
            <w:pPr>
              <w:spacing w:after="0" w:line="240" w:lineRule="auto"/>
              <w:jc w:val="center"/>
              <w:rPr>
                <w:rFonts w:ascii="Calibri" w:eastAsia="Times New Roman" w:hAnsi="Calibri" w:cs="Calibri"/>
                <w:b/>
                <w:bCs/>
                <w:color w:val="000000"/>
                <w:sz w:val="18"/>
                <w:szCs w:val="18"/>
                <w:lang w:eastAsia="es-MX"/>
              </w:rPr>
            </w:pPr>
            <w:r w:rsidRPr="00240E45">
              <w:rPr>
                <w:rFonts w:ascii="Calibri" w:eastAsia="Times New Roman" w:hAnsi="Calibri" w:cs="Times New Roman"/>
                <w:b/>
                <w:color w:val="050505"/>
                <w:sz w:val="20"/>
                <w:szCs w:val="24"/>
                <w:lang w:eastAsia="es-MX"/>
              </w:rPr>
              <w:t xml:space="preserve">Tabla </w:t>
            </w:r>
            <w:r w:rsidR="00270C1A" w:rsidRPr="00240E45">
              <w:rPr>
                <w:rFonts w:ascii="Calibri" w:eastAsia="Times New Roman" w:hAnsi="Calibri" w:cs="Times New Roman"/>
                <w:b/>
                <w:color w:val="050505"/>
                <w:sz w:val="20"/>
                <w:szCs w:val="24"/>
                <w:lang w:eastAsia="es-MX"/>
              </w:rPr>
              <w:t>7</w:t>
            </w:r>
            <w:r w:rsidRPr="00240E45">
              <w:rPr>
                <w:rFonts w:ascii="Calibri" w:eastAsia="Times New Roman" w:hAnsi="Calibri" w:cs="Times New Roman"/>
                <w:b/>
                <w:color w:val="050505"/>
                <w:sz w:val="20"/>
                <w:szCs w:val="24"/>
                <w:lang w:eastAsia="es-MX"/>
              </w:rPr>
              <w:t>. Variación de la UNAM en los indicadores del THE ranking mundial</w:t>
            </w:r>
            <w:r w:rsidR="00373204" w:rsidRPr="00240E45">
              <w:rPr>
                <w:rFonts w:ascii="Calibri" w:eastAsia="Times New Roman" w:hAnsi="Calibri" w:cs="Times New Roman"/>
                <w:b/>
                <w:color w:val="050505"/>
                <w:sz w:val="20"/>
                <w:szCs w:val="24"/>
                <w:lang w:eastAsia="es-MX"/>
              </w:rPr>
              <w:t xml:space="preserve"> en </w:t>
            </w:r>
            <w:r w:rsidR="006709C0" w:rsidRPr="00240E45">
              <w:rPr>
                <w:rFonts w:ascii="Calibri" w:eastAsia="Times New Roman" w:hAnsi="Calibri" w:cs="Times New Roman"/>
                <w:b/>
                <w:color w:val="050505"/>
                <w:sz w:val="20"/>
                <w:szCs w:val="24"/>
                <w:lang w:eastAsia="es-MX"/>
              </w:rPr>
              <w:t>los periodos, 2019</w:t>
            </w:r>
            <w:r w:rsidR="00270C1A" w:rsidRPr="00240E45">
              <w:rPr>
                <w:rFonts w:ascii="Calibri" w:eastAsia="Times New Roman" w:hAnsi="Calibri" w:cs="Times New Roman"/>
                <w:b/>
                <w:color w:val="050505"/>
                <w:sz w:val="20"/>
                <w:szCs w:val="24"/>
                <w:lang w:eastAsia="es-MX"/>
              </w:rPr>
              <w:t xml:space="preserve"> - 20</w:t>
            </w:r>
            <w:r w:rsidR="006709C0" w:rsidRPr="00240E45">
              <w:rPr>
                <w:rFonts w:ascii="Calibri" w:eastAsia="Times New Roman" w:hAnsi="Calibri" w:cs="Times New Roman"/>
                <w:b/>
                <w:color w:val="050505"/>
                <w:sz w:val="20"/>
                <w:szCs w:val="24"/>
                <w:lang w:eastAsia="es-MX"/>
              </w:rPr>
              <w:t>20</w:t>
            </w:r>
            <w:r w:rsidR="00373204" w:rsidRPr="00240E45">
              <w:rPr>
                <w:rFonts w:ascii="Calibri" w:eastAsia="Times New Roman" w:hAnsi="Calibri" w:cs="Times New Roman"/>
                <w:b/>
                <w:color w:val="050505"/>
                <w:sz w:val="20"/>
                <w:szCs w:val="24"/>
                <w:lang w:eastAsia="es-MX"/>
              </w:rPr>
              <w:t>.</w:t>
            </w:r>
          </w:p>
        </w:tc>
      </w:tr>
      <w:tr w:rsidR="00270C1A" w:rsidRPr="00240E45" w14:paraId="5A26C879" w14:textId="77777777" w:rsidTr="00270C1A">
        <w:trPr>
          <w:trHeight w:val="370"/>
          <w:jc w:val="center"/>
        </w:trPr>
        <w:tc>
          <w:tcPr>
            <w:tcW w:w="3351" w:type="dxa"/>
            <w:tcBorders>
              <w:top w:val="single" w:sz="4" w:space="0" w:color="auto"/>
              <w:left w:val="single" w:sz="4" w:space="0" w:color="auto"/>
              <w:bottom w:val="single" w:sz="4" w:space="0" w:color="auto"/>
              <w:right w:val="single" w:sz="4" w:space="0" w:color="auto"/>
            </w:tcBorders>
            <w:shd w:val="clear" w:color="DEEAF6" w:fill="DEEAF6"/>
            <w:vAlign w:val="center"/>
            <w:hideMark/>
          </w:tcPr>
          <w:p w14:paraId="7B540FB5" w14:textId="77777777" w:rsidR="00270C1A" w:rsidRPr="00240E45" w:rsidRDefault="00270C1A" w:rsidP="00270C1A">
            <w:pPr>
              <w:spacing w:after="0" w:line="240" w:lineRule="auto"/>
              <w:jc w:val="center"/>
              <w:rPr>
                <w:rFonts w:ascii="Calibri" w:eastAsia="Times New Roman" w:hAnsi="Calibri" w:cs="Calibri"/>
                <w:b/>
                <w:bCs/>
                <w:color w:val="000000"/>
                <w:sz w:val="20"/>
                <w:szCs w:val="18"/>
                <w:lang w:eastAsia="es-MX"/>
              </w:rPr>
            </w:pPr>
            <w:r w:rsidRPr="00240E45">
              <w:rPr>
                <w:rFonts w:ascii="Calibri" w:eastAsia="Times New Roman" w:hAnsi="Calibri" w:cs="Calibri"/>
                <w:b/>
                <w:bCs/>
                <w:color w:val="000000"/>
                <w:sz w:val="20"/>
                <w:szCs w:val="18"/>
                <w:lang w:eastAsia="es-MX"/>
              </w:rPr>
              <w:t>Indicador</w:t>
            </w:r>
          </w:p>
        </w:tc>
        <w:tc>
          <w:tcPr>
            <w:tcW w:w="1818" w:type="dxa"/>
            <w:tcBorders>
              <w:top w:val="nil"/>
              <w:left w:val="nil"/>
              <w:bottom w:val="single" w:sz="4" w:space="0" w:color="auto"/>
              <w:right w:val="single" w:sz="4" w:space="0" w:color="auto"/>
            </w:tcBorders>
            <w:shd w:val="clear" w:color="000000" w:fill="DEEAF6"/>
            <w:vAlign w:val="center"/>
          </w:tcPr>
          <w:p w14:paraId="62EB7C1A" w14:textId="5518B220" w:rsidR="00270C1A" w:rsidRPr="00240E45" w:rsidRDefault="00270C1A" w:rsidP="00270C1A">
            <w:pPr>
              <w:spacing w:after="0" w:line="240" w:lineRule="auto"/>
              <w:jc w:val="center"/>
              <w:rPr>
                <w:rFonts w:ascii="Calibri" w:eastAsia="Times New Roman" w:hAnsi="Calibri" w:cs="Calibri"/>
                <w:b/>
                <w:bCs/>
                <w:color w:val="000000"/>
                <w:sz w:val="20"/>
                <w:szCs w:val="18"/>
                <w:lang w:eastAsia="es-MX"/>
              </w:rPr>
            </w:pPr>
            <w:r w:rsidRPr="00240E45">
              <w:rPr>
                <w:rFonts w:ascii="Calibri" w:hAnsi="Calibri" w:cs="Calibri"/>
                <w:b/>
                <w:bCs/>
                <w:color w:val="000000"/>
                <w:sz w:val="20"/>
                <w:szCs w:val="18"/>
              </w:rPr>
              <w:t>2018</w:t>
            </w:r>
          </w:p>
        </w:tc>
        <w:tc>
          <w:tcPr>
            <w:tcW w:w="1818" w:type="dxa"/>
            <w:tcBorders>
              <w:top w:val="nil"/>
              <w:left w:val="nil"/>
              <w:bottom w:val="single" w:sz="4" w:space="0" w:color="auto"/>
              <w:right w:val="single" w:sz="4" w:space="0" w:color="auto"/>
            </w:tcBorders>
            <w:shd w:val="clear" w:color="000000" w:fill="DEEAF6"/>
            <w:vAlign w:val="center"/>
          </w:tcPr>
          <w:p w14:paraId="7F04DA44" w14:textId="2F764A72" w:rsidR="00270C1A" w:rsidRPr="00240E45" w:rsidRDefault="00270C1A" w:rsidP="00270C1A">
            <w:pPr>
              <w:spacing w:after="0" w:line="240" w:lineRule="auto"/>
              <w:jc w:val="center"/>
              <w:rPr>
                <w:rFonts w:ascii="Calibri" w:eastAsia="Times New Roman" w:hAnsi="Calibri" w:cs="Calibri"/>
                <w:b/>
                <w:bCs/>
                <w:color w:val="000000"/>
                <w:sz w:val="20"/>
                <w:szCs w:val="18"/>
                <w:lang w:eastAsia="es-MX"/>
              </w:rPr>
            </w:pPr>
            <w:r w:rsidRPr="00240E45">
              <w:rPr>
                <w:rFonts w:ascii="Calibri" w:hAnsi="Calibri" w:cs="Calibri"/>
                <w:b/>
                <w:bCs/>
                <w:color w:val="000000"/>
                <w:sz w:val="20"/>
                <w:szCs w:val="18"/>
              </w:rPr>
              <w:t>2019</w:t>
            </w:r>
          </w:p>
        </w:tc>
        <w:tc>
          <w:tcPr>
            <w:tcW w:w="1821" w:type="dxa"/>
            <w:tcBorders>
              <w:top w:val="nil"/>
              <w:left w:val="nil"/>
              <w:bottom w:val="single" w:sz="4" w:space="0" w:color="auto"/>
              <w:right w:val="single" w:sz="4" w:space="0" w:color="auto"/>
            </w:tcBorders>
            <w:shd w:val="clear" w:color="000000" w:fill="DEEAF6"/>
            <w:vAlign w:val="center"/>
          </w:tcPr>
          <w:p w14:paraId="78366753" w14:textId="6812C291" w:rsidR="00270C1A" w:rsidRPr="00240E45" w:rsidRDefault="00270C1A" w:rsidP="00270C1A">
            <w:pPr>
              <w:spacing w:after="0" w:line="240" w:lineRule="auto"/>
              <w:jc w:val="center"/>
              <w:rPr>
                <w:rFonts w:ascii="Calibri" w:eastAsia="Times New Roman" w:hAnsi="Calibri" w:cs="Calibri"/>
                <w:b/>
                <w:bCs/>
                <w:color w:val="000000"/>
                <w:sz w:val="20"/>
                <w:szCs w:val="18"/>
                <w:lang w:eastAsia="es-MX"/>
              </w:rPr>
            </w:pPr>
            <w:r w:rsidRPr="00240E45">
              <w:rPr>
                <w:rFonts w:ascii="Calibri" w:hAnsi="Calibri" w:cs="Calibri"/>
                <w:b/>
                <w:bCs/>
                <w:color w:val="000000"/>
                <w:sz w:val="20"/>
                <w:szCs w:val="18"/>
              </w:rPr>
              <w:t>Diferencia</w:t>
            </w:r>
          </w:p>
        </w:tc>
      </w:tr>
      <w:tr w:rsidR="00DF25B3" w:rsidRPr="00240E45" w14:paraId="513CD732" w14:textId="77777777" w:rsidTr="00270C1A">
        <w:trPr>
          <w:trHeight w:val="157"/>
          <w:jc w:val="center"/>
        </w:trPr>
        <w:tc>
          <w:tcPr>
            <w:tcW w:w="3351" w:type="dxa"/>
            <w:tcBorders>
              <w:top w:val="nil"/>
              <w:left w:val="single" w:sz="4" w:space="0" w:color="auto"/>
              <w:bottom w:val="single" w:sz="4" w:space="0" w:color="auto"/>
              <w:right w:val="single" w:sz="4" w:space="0" w:color="auto"/>
            </w:tcBorders>
            <w:shd w:val="clear" w:color="auto" w:fill="auto"/>
            <w:noWrap/>
            <w:vAlign w:val="center"/>
            <w:hideMark/>
          </w:tcPr>
          <w:p w14:paraId="1CE5A466" w14:textId="57CD354B" w:rsidR="00DF25B3" w:rsidRPr="00DF25B3" w:rsidRDefault="00DF25B3" w:rsidP="00DF25B3">
            <w:pPr>
              <w:spacing w:after="0" w:line="240" w:lineRule="auto"/>
              <w:jc w:val="right"/>
              <w:rPr>
                <w:rFonts w:ascii="Calibri" w:eastAsia="Times New Roman" w:hAnsi="Calibri" w:cs="Calibri"/>
                <w:b/>
                <w:bCs/>
                <w:color w:val="000000"/>
                <w:sz w:val="18"/>
                <w:szCs w:val="18"/>
                <w:lang w:eastAsia="es-MX"/>
              </w:rPr>
            </w:pPr>
            <w:r w:rsidRPr="00DF25B3">
              <w:rPr>
                <w:rFonts w:ascii="Calibri" w:hAnsi="Calibri" w:cs="Calibri"/>
                <w:b/>
                <w:bCs/>
                <w:color w:val="000000"/>
                <w:sz w:val="18"/>
                <w:szCs w:val="18"/>
              </w:rPr>
              <w:t>Posición</w:t>
            </w:r>
          </w:p>
        </w:tc>
        <w:tc>
          <w:tcPr>
            <w:tcW w:w="1818" w:type="dxa"/>
            <w:tcBorders>
              <w:top w:val="nil"/>
              <w:left w:val="nil"/>
              <w:bottom w:val="single" w:sz="4" w:space="0" w:color="auto"/>
              <w:right w:val="single" w:sz="4" w:space="0" w:color="auto"/>
            </w:tcBorders>
            <w:shd w:val="clear" w:color="auto" w:fill="auto"/>
            <w:noWrap/>
            <w:vAlign w:val="center"/>
          </w:tcPr>
          <w:p w14:paraId="30E099BF" w14:textId="657A8506" w:rsidR="00DF25B3" w:rsidRPr="00DF25B3" w:rsidRDefault="00DF25B3" w:rsidP="00DF25B3">
            <w:pPr>
              <w:spacing w:after="0" w:line="240" w:lineRule="auto"/>
              <w:jc w:val="center"/>
              <w:rPr>
                <w:rFonts w:ascii="Calibri" w:eastAsia="Times New Roman" w:hAnsi="Calibri" w:cs="Calibri"/>
                <w:color w:val="000000"/>
                <w:sz w:val="18"/>
                <w:szCs w:val="18"/>
                <w:lang w:eastAsia="es-MX"/>
              </w:rPr>
            </w:pPr>
            <w:r w:rsidRPr="00DF25B3">
              <w:rPr>
                <w:rFonts w:ascii="Calibri" w:hAnsi="Calibri" w:cs="Calibri"/>
                <w:color w:val="000000"/>
                <w:sz w:val="18"/>
                <w:szCs w:val="18"/>
              </w:rPr>
              <w:t>729</w:t>
            </w:r>
          </w:p>
        </w:tc>
        <w:tc>
          <w:tcPr>
            <w:tcW w:w="1818" w:type="dxa"/>
            <w:tcBorders>
              <w:top w:val="nil"/>
              <w:left w:val="nil"/>
              <w:bottom w:val="single" w:sz="4" w:space="0" w:color="auto"/>
              <w:right w:val="single" w:sz="4" w:space="0" w:color="auto"/>
            </w:tcBorders>
            <w:shd w:val="clear" w:color="auto" w:fill="auto"/>
            <w:noWrap/>
            <w:vAlign w:val="center"/>
          </w:tcPr>
          <w:p w14:paraId="3377132C" w14:textId="59D251BE" w:rsidR="00DF25B3" w:rsidRPr="00DF25B3" w:rsidRDefault="00DF25B3" w:rsidP="00DF25B3">
            <w:pPr>
              <w:spacing w:after="0" w:line="240" w:lineRule="auto"/>
              <w:jc w:val="center"/>
              <w:rPr>
                <w:rFonts w:ascii="Calibri" w:eastAsia="Times New Roman" w:hAnsi="Calibri" w:cs="Calibri"/>
                <w:color w:val="000000"/>
                <w:sz w:val="18"/>
                <w:szCs w:val="18"/>
                <w:lang w:eastAsia="es-MX"/>
              </w:rPr>
            </w:pPr>
            <w:r w:rsidRPr="00DF25B3">
              <w:rPr>
                <w:rFonts w:ascii="Calibri" w:hAnsi="Calibri" w:cs="Calibri"/>
                <w:color w:val="000000"/>
                <w:sz w:val="18"/>
                <w:szCs w:val="18"/>
              </w:rPr>
              <w:t>769</w:t>
            </w:r>
          </w:p>
        </w:tc>
        <w:tc>
          <w:tcPr>
            <w:tcW w:w="1821" w:type="dxa"/>
            <w:tcBorders>
              <w:top w:val="nil"/>
              <w:left w:val="nil"/>
              <w:bottom w:val="single" w:sz="4" w:space="0" w:color="auto"/>
              <w:right w:val="single" w:sz="4" w:space="0" w:color="auto"/>
            </w:tcBorders>
            <w:shd w:val="clear" w:color="auto" w:fill="auto"/>
            <w:noWrap/>
            <w:vAlign w:val="center"/>
          </w:tcPr>
          <w:p w14:paraId="7A275034" w14:textId="5542DEDB" w:rsidR="00DF25B3" w:rsidRPr="00DF25B3" w:rsidRDefault="00DF25B3" w:rsidP="00DF25B3">
            <w:pPr>
              <w:spacing w:after="0" w:line="240" w:lineRule="auto"/>
              <w:jc w:val="center"/>
              <w:rPr>
                <w:rFonts w:ascii="Calibri" w:eastAsia="Times New Roman" w:hAnsi="Calibri" w:cs="Calibri"/>
                <w:color w:val="000000"/>
                <w:sz w:val="18"/>
                <w:szCs w:val="18"/>
                <w:lang w:eastAsia="es-MX"/>
              </w:rPr>
            </w:pPr>
            <w:r w:rsidRPr="00DF25B3">
              <w:rPr>
                <w:rFonts w:ascii="Calibri" w:hAnsi="Calibri" w:cs="Calibri"/>
                <w:color w:val="000000"/>
                <w:sz w:val="18"/>
                <w:szCs w:val="18"/>
              </w:rPr>
              <w:t>-40</w:t>
            </w:r>
          </w:p>
        </w:tc>
      </w:tr>
      <w:tr w:rsidR="00DF25B3" w:rsidRPr="00240E45" w14:paraId="17C3AA76" w14:textId="77777777" w:rsidTr="00270C1A">
        <w:trPr>
          <w:trHeight w:val="157"/>
          <w:jc w:val="center"/>
        </w:trPr>
        <w:tc>
          <w:tcPr>
            <w:tcW w:w="3351" w:type="dxa"/>
            <w:tcBorders>
              <w:top w:val="nil"/>
              <w:left w:val="single" w:sz="4" w:space="0" w:color="auto"/>
              <w:bottom w:val="single" w:sz="4" w:space="0" w:color="auto"/>
              <w:right w:val="single" w:sz="4" w:space="0" w:color="auto"/>
            </w:tcBorders>
            <w:shd w:val="clear" w:color="000000" w:fill="E7E6E6"/>
            <w:noWrap/>
            <w:vAlign w:val="center"/>
            <w:hideMark/>
          </w:tcPr>
          <w:p w14:paraId="26188031" w14:textId="0F2F089C" w:rsidR="00DF25B3" w:rsidRPr="00DF25B3" w:rsidRDefault="00DF25B3" w:rsidP="00DF25B3">
            <w:pPr>
              <w:spacing w:after="0" w:line="240" w:lineRule="auto"/>
              <w:jc w:val="right"/>
              <w:rPr>
                <w:rFonts w:ascii="Calibri" w:eastAsia="Times New Roman" w:hAnsi="Calibri" w:cs="Calibri"/>
                <w:b/>
                <w:bCs/>
                <w:color w:val="000000"/>
                <w:sz w:val="18"/>
                <w:szCs w:val="18"/>
                <w:lang w:eastAsia="es-MX"/>
              </w:rPr>
            </w:pPr>
            <w:r w:rsidRPr="00DF25B3">
              <w:rPr>
                <w:rFonts w:ascii="Calibri" w:hAnsi="Calibri" w:cs="Calibri"/>
                <w:b/>
                <w:bCs/>
                <w:color w:val="000000"/>
                <w:sz w:val="18"/>
                <w:szCs w:val="18"/>
              </w:rPr>
              <w:t>Puntaje general</w:t>
            </w:r>
          </w:p>
        </w:tc>
        <w:tc>
          <w:tcPr>
            <w:tcW w:w="1818" w:type="dxa"/>
            <w:tcBorders>
              <w:top w:val="nil"/>
              <w:left w:val="nil"/>
              <w:bottom w:val="single" w:sz="4" w:space="0" w:color="auto"/>
              <w:right w:val="single" w:sz="4" w:space="0" w:color="auto"/>
            </w:tcBorders>
            <w:shd w:val="clear" w:color="000000" w:fill="E7E6E6"/>
            <w:noWrap/>
            <w:vAlign w:val="center"/>
          </w:tcPr>
          <w:p w14:paraId="14FAA847" w14:textId="32C39001" w:rsidR="00DF25B3" w:rsidRPr="00DF25B3" w:rsidRDefault="00DF25B3" w:rsidP="00DF25B3">
            <w:pPr>
              <w:spacing w:after="0" w:line="240" w:lineRule="auto"/>
              <w:jc w:val="center"/>
              <w:rPr>
                <w:rFonts w:ascii="Calibri" w:eastAsia="Times New Roman" w:hAnsi="Calibri" w:cs="Calibri"/>
                <w:color w:val="000000"/>
                <w:sz w:val="18"/>
                <w:szCs w:val="18"/>
                <w:lang w:eastAsia="es-MX"/>
              </w:rPr>
            </w:pPr>
            <w:r w:rsidRPr="00DF25B3">
              <w:rPr>
                <w:rFonts w:ascii="Calibri" w:hAnsi="Calibri" w:cs="Calibri"/>
                <w:color w:val="000000"/>
                <w:sz w:val="18"/>
                <w:szCs w:val="18"/>
              </w:rPr>
              <w:t>28.4</w:t>
            </w:r>
          </w:p>
        </w:tc>
        <w:tc>
          <w:tcPr>
            <w:tcW w:w="1818" w:type="dxa"/>
            <w:tcBorders>
              <w:top w:val="nil"/>
              <w:left w:val="nil"/>
              <w:bottom w:val="single" w:sz="4" w:space="0" w:color="auto"/>
              <w:right w:val="single" w:sz="4" w:space="0" w:color="auto"/>
            </w:tcBorders>
            <w:shd w:val="clear" w:color="000000" w:fill="E7E6E6"/>
            <w:noWrap/>
            <w:vAlign w:val="center"/>
          </w:tcPr>
          <w:p w14:paraId="6F16626A" w14:textId="08E0811F" w:rsidR="00DF25B3" w:rsidRPr="00DF25B3" w:rsidRDefault="00DF25B3" w:rsidP="00DF25B3">
            <w:pPr>
              <w:spacing w:after="0" w:line="240" w:lineRule="auto"/>
              <w:jc w:val="center"/>
              <w:rPr>
                <w:rFonts w:ascii="Calibri" w:eastAsia="Times New Roman" w:hAnsi="Calibri" w:cs="Calibri"/>
                <w:color w:val="000000"/>
                <w:sz w:val="18"/>
                <w:szCs w:val="18"/>
                <w:lang w:eastAsia="es-MX"/>
              </w:rPr>
            </w:pPr>
            <w:r w:rsidRPr="00DF25B3">
              <w:rPr>
                <w:rFonts w:ascii="Calibri" w:hAnsi="Calibri" w:cs="Calibri"/>
                <w:color w:val="000000"/>
                <w:sz w:val="18"/>
                <w:szCs w:val="18"/>
              </w:rPr>
              <w:t>29.2</w:t>
            </w:r>
          </w:p>
        </w:tc>
        <w:tc>
          <w:tcPr>
            <w:tcW w:w="1821" w:type="dxa"/>
            <w:tcBorders>
              <w:top w:val="nil"/>
              <w:left w:val="nil"/>
              <w:bottom w:val="single" w:sz="4" w:space="0" w:color="auto"/>
              <w:right w:val="single" w:sz="4" w:space="0" w:color="auto"/>
            </w:tcBorders>
            <w:shd w:val="clear" w:color="000000" w:fill="E7E6E6"/>
            <w:noWrap/>
            <w:vAlign w:val="center"/>
          </w:tcPr>
          <w:p w14:paraId="48CA664E" w14:textId="7965FCA3" w:rsidR="00DF25B3" w:rsidRPr="00DF25B3" w:rsidRDefault="00DF25B3" w:rsidP="00DF25B3">
            <w:pPr>
              <w:spacing w:after="0" w:line="240" w:lineRule="auto"/>
              <w:jc w:val="center"/>
              <w:rPr>
                <w:rFonts w:ascii="Calibri" w:eastAsia="Times New Roman" w:hAnsi="Calibri" w:cs="Calibri"/>
                <w:color w:val="000000"/>
                <w:sz w:val="18"/>
                <w:szCs w:val="18"/>
                <w:lang w:eastAsia="es-MX"/>
              </w:rPr>
            </w:pPr>
            <w:r w:rsidRPr="00DF25B3">
              <w:rPr>
                <w:rFonts w:ascii="Calibri" w:hAnsi="Calibri" w:cs="Calibri"/>
                <w:color w:val="000000"/>
                <w:sz w:val="18"/>
                <w:szCs w:val="18"/>
              </w:rPr>
              <w:t>0.8</w:t>
            </w:r>
          </w:p>
        </w:tc>
      </w:tr>
      <w:tr w:rsidR="00DF25B3" w:rsidRPr="00240E45" w14:paraId="5E3EA7D6" w14:textId="77777777" w:rsidTr="00504681">
        <w:trPr>
          <w:trHeight w:val="201"/>
          <w:jc w:val="center"/>
        </w:trPr>
        <w:tc>
          <w:tcPr>
            <w:tcW w:w="3351" w:type="dxa"/>
            <w:tcBorders>
              <w:top w:val="nil"/>
              <w:left w:val="single" w:sz="4" w:space="0" w:color="auto"/>
              <w:bottom w:val="single" w:sz="4" w:space="0" w:color="auto"/>
              <w:right w:val="single" w:sz="4" w:space="0" w:color="auto"/>
            </w:tcBorders>
            <w:shd w:val="clear" w:color="auto" w:fill="auto"/>
            <w:vAlign w:val="center"/>
            <w:hideMark/>
          </w:tcPr>
          <w:p w14:paraId="486F2877" w14:textId="5C6B4A33" w:rsidR="00DF25B3" w:rsidRPr="00DF25B3" w:rsidRDefault="00DF25B3" w:rsidP="00DF25B3">
            <w:pPr>
              <w:spacing w:after="0" w:line="240" w:lineRule="auto"/>
              <w:jc w:val="right"/>
              <w:rPr>
                <w:rFonts w:ascii="Calibri" w:eastAsia="Times New Roman" w:hAnsi="Calibri" w:cs="Calibri"/>
                <w:color w:val="000000"/>
                <w:sz w:val="18"/>
                <w:szCs w:val="18"/>
                <w:lang w:eastAsia="es-MX"/>
              </w:rPr>
            </w:pPr>
            <w:r w:rsidRPr="00DF25B3">
              <w:rPr>
                <w:rFonts w:ascii="Calibri" w:hAnsi="Calibri" w:cs="Calibri"/>
                <w:color w:val="000000"/>
                <w:sz w:val="18"/>
                <w:szCs w:val="18"/>
              </w:rPr>
              <w:t>Citas</w:t>
            </w:r>
          </w:p>
        </w:tc>
        <w:tc>
          <w:tcPr>
            <w:tcW w:w="1818" w:type="dxa"/>
            <w:tcBorders>
              <w:top w:val="nil"/>
              <w:left w:val="nil"/>
              <w:bottom w:val="single" w:sz="4" w:space="0" w:color="auto"/>
              <w:right w:val="single" w:sz="4" w:space="0" w:color="auto"/>
            </w:tcBorders>
            <w:shd w:val="clear" w:color="auto" w:fill="auto"/>
            <w:noWrap/>
            <w:vAlign w:val="center"/>
          </w:tcPr>
          <w:p w14:paraId="6B702E86" w14:textId="23773CF3" w:rsidR="00DF25B3" w:rsidRPr="00DF25B3" w:rsidRDefault="00DF25B3" w:rsidP="00DF25B3">
            <w:pPr>
              <w:spacing w:after="0" w:line="240" w:lineRule="auto"/>
              <w:jc w:val="center"/>
              <w:rPr>
                <w:rFonts w:ascii="Calibri" w:eastAsia="Times New Roman" w:hAnsi="Calibri" w:cs="Calibri"/>
                <w:color w:val="000000"/>
                <w:sz w:val="18"/>
                <w:szCs w:val="18"/>
                <w:lang w:eastAsia="es-MX"/>
              </w:rPr>
            </w:pPr>
            <w:r w:rsidRPr="00DF25B3">
              <w:rPr>
                <w:rFonts w:ascii="Calibri" w:hAnsi="Calibri" w:cs="Calibri"/>
                <w:color w:val="000000"/>
                <w:sz w:val="18"/>
                <w:szCs w:val="18"/>
              </w:rPr>
              <w:t>19.2</w:t>
            </w:r>
          </w:p>
        </w:tc>
        <w:tc>
          <w:tcPr>
            <w:tcW w:w="1818" w:type="dxa"/>
            <w:tcBorders>
              <w:top w:val="nil"/>
              <w:left w:val="nil"/>
              <w:bottom w:val="single" w:sz="4" w:space="0" w:color="auto"/>
              <w:right w:val="single" w:sz="4" w:space="0" w:color="auto"/>
            </w:tcBorders>
            <w:shd w:val="clear" w:color="auto" w:fill="auto"/>
            <w:noWrap/>
            <w:vAlign w:val="bottom"/>
          </w:tcPr>
          <w:p w14:paraId="49B5CDF4" w14:textId="6DA05B99" w:rsidR="00DF25B3" w:rsidRPr="00DF25B3" w:rsidRDefault="00DF25B3" w:rsidP="00DF25B3">
            <w:pPr>
              <w:spacing w:after="0" w:line="240" w:lineRule="auto"/>
              <w:jc w:val="center"/>
              <w:rPr>
                <w:rFonts w:ascii="Calibri" w:eastAsia="Times New Roman" w:hAnsi="Calibri" w:cs="Calibri"/>
                <w:color w:val="000000"/>
                <w:sz w:val="18"/>
                <w:szCs w:val="18"/>
                <w:lang w:eastAsia="es-MX"/>
              </w:rPr>
            </w:pPr>
            <w:r w:rsidRPr="00DF25B3">
              <w:rPr>
                <w:rFonts w:ascii="Calibri" w:hAnsi="Calibri" w:cs="Calibri"/>
                <w:color w:val="000000"/>
                <w:sz w:val="18"/>
                <w:szCs w:val="18"/>
              </w:rPr>
              <w:t>18.9</w:t>
            </w:r>
          </w:p>
        </w:tc>
        <w:tc>
          <w:tcPr>
            <w:tcW w:w="1821" w:type="dxa"/>
            <w:tcBorders>
              <w:top w:val="nil"/>
              <w:left w:val="nil"/>
              <w:bottom w:val="single" w:sz="4" w:space="0" w:color="auto"/>
              <w:right w:val="single" w:sz="4" w:space="0" w:color="auto"/>
            </w:tcBorders>
            <w:shd w:val="clear" w:color="auto" w:fill="auto"/>
            <w:noWrap/>
            <w:vAlign w:val="center"/>
          </w:tcPr>
          <w:p w14:paraId="5EAAEC78" w14:textId="244381CF" w:rsidR="00DF25B3" w:rsidRPr="00DF25B3" w:rsidRDefault="00DF25B3" w:rsidP="00DF25B3">
            <w:pPr>
              <w:spacing w:after="0" w:line="240" w:lineRule="auto"/>
              <w:jc w:val="center"/>
              <w:rPr>
                <w:rFonts w:ascii="Calibri" w:eastAsia="Times New Roman" w:hAnsi="Calibri" w:cs="Calibri"/>
                <w:color w:val="000000"/>
                <w:sz w:val="18"/>
                <w:szCs w:val="18"/>
                <w:lang w:eastAsia="es-MX"/>
              </w:rPr>
            </w:pPr>
            <w:r w:rsidRPr="00DF25B3">
              <w:rPr>
                <w:rFonts w:ascii="Calibri" w:hAnsi="Calibri" w:cs="Calibri"/>
                <w:color w:val="000000"/>
                <w:sz w:val="18"/>
                <w:szCs w:val="18"/>
              </w:rPr>
              <w:t>-0.3</w:t>
            </w:r>
          </w:p>
        </w:tc>
      </w:tr>
      <w:tr w:rsidR="00DF25B3" w:rsidRPr="00240E45" w14:paraId="27FB21BD" w14:textId="77777777" w:rsidTr="00270C1A">
        <w:trPr>
          <w:trHeight w:val="188"/>
          <w:jc w:val="center"/>
        </w:trPr>
        <w:tc>
          <w:tcPr>
            <w:tcW w:w="3351" w:type="dxa"/>
            <w:tcBorders>
              <w:top w:val="nil"/>
              <w:left w:val="single" w:sz="4" w:space="0" w:color="auto"/>
              <w:bottom w:val="single" w:sz="4" w:space="0" w:color="auto"/>
              <w:right w:val="single" w:sz="4" w:space="0" w:color="auto"/>
            </w:tcBorders>
            <w:shd w:val="clear" w:color="000000" w:fill="E7E6E6"/>
            <w:noWrap/>
            <w:vAlign w:val="center"/>
            <w:hideMark/>
          </w:tcPr>
          <w:p w14:paraId="24B99A54" w14:textId="4409FB6E" w:rsidR="00DF25B3" w:rsidRPr="00DF25B3" w:rsidRDefault="00DF25B3" w:rsidP="00DF25B3">
            <w:pPr>
              <w:spacing w:after="0" w:line="240" w:lineRule="auto"/>
              <w:jc w:val="right"/>
              <w:rPr>
                <w:rFonts w:ascii="Calibri" w:eastAsia="Times New Roman" w:hAnsi="Calibri" w:cs="Calibri"/>
                <w:color w:val="000000"/>
                <w:sz w:val="18"/>
                <w:szCs w:val="18"/>
                <w:lang w:eastAsia="es-MX"/>
              </w:rPr>
            </w:pPr>
            <w:r w:rsidRPr="00DF25B3">
              <w:rPr>
                <w:rFonts w:ascii="Calibri" w:hAnsi="Calibri" w:cs="Calibri"/>
                <w:color w:val="000000"/>
                <w:sz w:val="18"/>
                <w:szCs w:val="18"/>
              </w:rPr>
              <w:t xml:space="preserve">Docencia </w:t>
            </w:r>
          </w:p>
        </w:tc>
        <w:tc>
          <w:tcPr>
            <w:tcW w:w="1818" w:type="dxa"/>
            <w:tcBorders>
              <w:top w:val="nil"/>
              <w:left w:val="nil"/>
              <w:bottom w:val="single" w:sz="4" w:space="0" w:color="auto"/>
              <w:right w:val="single" w:sz="4" w:space="0" w:color="auto"/>
            </w:tcBorders>
            <w:shd w:val="clear" w:color="auto" w:fill="E7E6E6" w:themeFill="background2"/>
            <w:noWrap/>
            <w:vAlign w:val="center"/>
          </w:tcPr>
          <w:p w14:paraId="7F625D55" w14:textId="0A4A4956" w:rsidR="00DF25B3" w:rsidRPr="00DF25B3" w:rsidRDefault="00DF25B3" w:rsidP="00DF25B3">
            <w:pPr>
              <w:spacing w:after="0" w:line="240" w:lineRule="auto"/>
              <w:jc w:val="center"/>
              <w:rPr>
                <w:rFonts w:ascii="Calibri" w:eastAsia="Times New Roman" w:hAnsi="Calibri" w:cs="Calibri"/>
                <w:color w:val="000000"/>
                <w:sz w:val="18"/>
                <w:szCs w:val="18"/>
                <w:lang w:eastAsia="es-MX"/>
              </w:rPr>
            </w:pPr>
            <w:r w:rsidRPr="00DF25B3">
              <w:rPr>
                <w:rFonts w:ascii="Calibri" w:hAnsi="Calibri" w:cs="Calibri"/>
                <w:color w:val="000000"/>
                <w:sz w:val="18"/>
                <w:szCs w:val="18"/>
              </w:rPr>
              <w:t>32.6</w:t>
            </w:r>
          </w:p>
        </w:tc>
        <w:tc>
          <w:tcPr>
            <w:tcW w:w="1818" w:type="dxa"/>
            <w:tcBorders>
              <w:top w:val="nil"/>
              <w:left w:val="nil"/>
              <w:bottom w:val="single" w:sz="4" w:space="0" w:color="auto"/>
              <w:right w:val="single" w:sz="4" w:space="0" w:color="auto"/>
            </w:tcBorders>
            <w:shd w:val="clear" w:color="auto" w:fill="E7E6E6" w:themeFill="background2"/>
            <w:noWrap/>
            <w:vAlign w:val="center"/>
          </w:tcPr>
          <w:p w14:paraId="7BA37764" w14:textId="22D094F1" w:rsidR="00DF25B3" w:rsidRPr="00DF25B3" w:rsidRDefault="00DF25B3" w:rsidP="00DF25B3">
            <w:pPr>
              <w:spacing w:after="0" w:line="240" w:lineRule="auto"/>
              <w:jc w:val="center"/>
              <w:rPr>
                <w:rFonts w:ascii="Calibri" w:eastAsia="Times New Roman" w:hAnsi="Calibri" w:cs="Calibri"/>
                <w:color w:val="000000"/>
                <w:sz w:val="18"/>
                <w:szCs w:val="18"/>
                <w:lang w:eastAsia="es-MX"/>
              </w:rPr>
            </w:pPr>
            <w:r w:rsidRPr="00DF25B3">
              <w:rPr>
                <w:rFonts w:ascii="Calibri" w:hAnsi="Calibri" w:cs="Calibri"/>
                <w:color w:val="000000"/>
                <w:sz w:val="18"/>
                <w:szCs w:val="18"/>
              </w:rPr>
              <w:t>31.9</w:t>
            </w:r>
          </w:p>
        </w:tc>
        <w:tc>
          <w:tcPr>
            <w:tcW w:w="1821" w:type="dxa"/>
            <w:tcBorders>
              <w:top w:val="nil"/>
              <w:left w:val="nil"/>
              <w:bottom w:val="single" w:sz="4" w:space="0" w:color="auto"/>
              <w:right w:val="single" w:sz="4" w:space="0" w:color="auto"/>
            </w:tcBorders>
            <w:shd w:val="clear" w:color="auto" w:fill="E7E6E6" w:themeFill="background2"/>
            <w:noWrap/>
            <w:vAlign w:val="center"/>
          </w:tcPr>
          <w:p w14:paraId="49283EB9" w14:textId="7AD213F6" w:rsidR="00DF25B3" w:rsidRPr="00DF25B3" w:rsidRDefault="00DF25B3" w:rsidP="00DF25B3">
            <w:pPr>
              <w:spacing w:after="0" w:line="240" w:lineRule="auto"/>
              <w:jc w:val="center"/>
              <w:rPr>
                <w:rFonts w:ascii="Calibri" w:eastAsia="Times New Roman" w:hAnsi="Calibri" w:cs="Calibri"/>
                <w:color w:val="000000"/>
                <w:sz w:val="18"/>
                <w:szCs w:val="18"/>
                <w:lang w:eastAsia="es-MX"/>
              </w:rPr>
            </w:pPr>
            <w:r w:rsidRPr="00DF25B3">
              <w:rPr>
                <w:rFonts w:ascii="Calibri" w:hAnsi="Calibri" w:cs="Calibri"/>
                <w:color w:val="000000"/>
                <w:sz w:val="18"/>
                <w:szCs w:val="18"/>
              </w:rPr>
              <w:t>-0.7</w:t>
            </w:r>
          </w:p>
        </w:tc>
      </w:tr>
      <w:tr w:rsidR="00DF25B3" w:rsidRPr="00240E45" w14:paraId="27B54656" w14:textId="77777777" w:rsidTr="00504681">
        <w:trPr>
          <w:trHeight w:val="220"/>
          <w:jc w:val="center"/>
        </w:trPr>
        <w:tc>
          <w:tcPr>
            <w:tcW w:w="3351" w:type="dxa"/>
            <w:tcBorders>
              <w:top w:val="nil"/>
              <w:left w:val="single" w:sz="4" w:space="0" w:color="auto"/>
              <w:bottom w:val="single" w:sz="4" w:space="0" w:color="auto"/>
              <w:right w:val="single" w:sz="4" w:space="0" w:color="auto"/>
            </w:tcBorders>
            <w:shd w:val="clear" w:color="auto" w:fill="auto"/>
            <w:vAlign w:val="center"/>
            <w:hideMark/>
          </w:tcPr>
          <w:p w14:paraId="684A2407" w14:textId="1FE32417" w:rsidR="00DF25B3" w:rsidRPr="00DF25B3" w:rsidRDefault="00DF25B3" w:rsidP="00DF25B3">
            <w:pPr>
              <w:spacing w:after="0" w:line="240" w:lineRule="auto"/>
              <w:jc w:val="right"/>
              <w:rPr>
                <w:rFonts w:ascii="Calibri" w:eastAsia="Times New Roman" w:hAnsi="Calibri" w:cs="Calibri"/>
                <w:color w:val="000000"/>
                <w:sz w:val="18"/>
                <w:szCs w:val="18"/>
                <w:lang w:eastAsia="es-MX"/>
              </w:rPr>
            </w:pPr>
            <w:r w:rsidRPr="00DF25B3">
              <w:rPr>
                <w:rFonts w:ascii="Calibri" w:hAnsi="Calibri" w:cs="Calibri"/>
                <w:color w:val="000000"/>
                <w:sz w:val="18"/>
                <w:szCs w:val="18"/>
              </w:rPr>
              <w:t>Investigación</w:t>
            </w:r>
          </w:p>
        </w:tc>
        <w:tc>
          <w:tcPr>
            <w:tcW w:w="1818" w:type="dxa"/>
            <w:tcBorders>
              <w:top w:val="nil"/>
              <w:left w:val="nil"/>
              <w:bottom w:val="single" w:sz="4" w:space="0" w:color="auto"/>
              <w:right w:val="single" w:sz="4" w:space="0" w:color="auto"/>
            </w:tcBorders>
            <w:shd w:val="clear" w:color="auto" w:fill="auto"/>
            <w:noWrap/>
            <w:vAlign w:val="center"/>
          </w:tcPr>
          <w:p w14:paraId="7F550E9C" w14:textId="14F7DE61" w:rsidR="00DF25B3" w:rsidRPr="00DF25B3" w:rsidRDefault="00DF25B3" w:rsidP="00DF25B3">
            <w:pPr>
              <w:spacing w:after="0" w:line="240" w:lineRule="auto"/>
              <w:jc w:val="center"/>
              <w:rPr>
                <w:rFonts w:ascii="Calibri" w:eastAsia="Times New Roman" w:hAnsi="Calibri" w:cs="Calibri"/>
                <w:color w:val="000000"/>
                <w:sz w:val="18"/>
                <w:szCs w:val="18"/>
                <w:lang w:eastAsia="es-MX"/>
              </w:rPr>
            </w:pPr>
            <w:r w:rsidRPr="00DF25B3">
              <w:rPr>
                <w:rFonts w:ascii="Calibri" w:hAnsi="Calibri" w:cs="Calibri"/>
                <w:color w:val="000000"/>
                <w:sz w:val="18"/>
                <w:szCs w:val="18"/>
              </w:rPr>
              <w:t>28.1</w:t>
            </w:r>
          </w:p>
        </w:tc>
        <w:tc>
          <w:tcPr>
            <w:tcW w:w="1818" w:type="dxa"/>
            <w:tcBorders>
              <w:top w:val="nil"/>
              <w:left w:val="nil"/>
              <w:bottom w:val="single" w:sz="4" w:space="0" w:color="auto"/>
              <w:right w:val="single" w:sz="4" w:space="0" w:color="auto"/>
            </w:tcBorders>
            <w:shd w:val="clear" w:color="auto" w:fill="auto"/>
            <w:noWrap/>
            <w:vAlign w:val="bottom"/>
          </w:tcPr>
          <w:p w14:paraId="7D1E705A" w14:textId="1A2FCD59" w:rsidR="00DF25B3" w:rsidRPr="00DF25B3" w:rsidRDefault="00DF25B3" w:rsidP="00DF25B3">
            <w:pPr>
              <w:spacing w:after="0" w:line="240" w:lineRule="auto"/>
              <w:jc w:val="center"/>
              <w:rPr>
                <w:rFonts w:ascii="Calibri" w:eastAsia="Times New Roman" w:hAnsi="Calibri" w:cs="Calibri"/>
                <w:color w:val="000000"/>
                <w:sz w:val="18"/>
                <w:szCs w:val="18"/>
                <w:lang w:eastAsia="es-MX"/>
              </w:rPr>
            </w:pPr>
            <w:r w:rsidRPr="00DF25B3">
              <w:rPr>
                <w:rFonts w:ascii="Calibri" w:hAnsi="Calibri" w:cs="Calibri"/>
                <w:color w:val="000000"/>
                <w:sz w:val="18"/>
                <w:szCs w:val="18"/>
              </w:rPr>
              <w:t>30.4</w:t>
            </w:r>
          </w:p>
        </w:tc>
        <w:tc>
          <w:tcPr>
            <w:tcW w:w="1821" w:type="dxa"/>
            <w:tcBorders>
              <w:top w:val="nil"/>
              <w:left w:val="nil"/>
              <w:bottom w:val="single" w:sz="4" w:space="0" w:color="auto"/>
              <w:right w:val="single" w:sz="4" w:space="0" w:color="auto"/>
            </w:tcBorders>
            <w:shd w:val="clear" w:color="auto" w:fill="auto"/>
            <w:noWrap/>
            <w:vAlign w:val="center"/>
          </w:tcPr>
          <w:p w14:paraId="13C92C4D" w14:textId="2053544B" w:rsidR="00DF25B3" w:rsidRPr="00DF25B3" w:rsidRDefault="00DF25B3" w:rsidP="00DF25B3">
            <w:pPr>
              <w:spacing w:after="0" w:line="240" w:lineRule="auto"/>
              <w:jc w:val="center"/>
              <w:rPr>
                <w:rFonts w:ascii="Calibri" w:eastAsia="Times New Roman" w:hAnsi="Calibri" w:cs="Calibri"/>
                <w:color w:val="000000"/>
                <w:sz w:val="18"/>
                <w:szCs w:val="18"/>
                <w:lang w:eastAsia="es-MX"/>
              </w:rPr>
            </w:pPr>
            <w:r w:rsidRPr="00DF25B3">
              <w:rPr>
                <w:rFonts w:ascii="Calibri" w:hAnsi="Calibri" w:cs="Calibri"/>
                <w:color w:val="000000"/>
                <w:sz w:val="18"/>
                <w:szCs w:val="18"/>
              </w:rPr>
              <w:t>2.3</w:t>
            </w:r>
          </w:p>
        </w:tc>
      </w:tr>
      <w:tr w:rsidR="00DF25B3" w:rsidRPr="00240E45" w14:paraId="087801C6" w14:textId="77777777" w:rsidTr="00270C1A">
        <w:trPr>
          <w:trHeight w:val="188"/>
          <w:jc w:val="center"/>
        </w:trPr>
        <w:tc>
          <w:tcPr>
            <w:tcW w:w="3351" w:type="dxa"/>
            <w:tcBorders>
              <w:top w:val="nil"/>
              <w:left w:val="single" w:sz="4" w:space="0" w:color="auto"/>
              <w:bottom w:val="single" w:sz="4" w:space="0" w:color="auto"/>
              <w:right w:val="single" w:sz="4" w:space="0" w:color="auto"/>
            </w:tcBorders>
            <w:shd w:val="clear" w:color="000000" w:fill="E7E6E6"/>
            <w:noWrap/>
            <w:vAlign w:val="center"/>
            <w:hideMark/>
          </w:tcPr>
          <w:p w14:paraId="70582C34" w14:textId="00E6167A" w:rsidR="00DF25B3" w:rsidRPr="00DF25B3" w:rsidRDefault="00DF25B3" w:rsidP="00DF25B3">
            <w:pPr>
              <w:spacing w:after="0" w:line="240" w:lineRule="auto"/>
              <w:jc w:val="right"/>
              <w:rPr>
                <w:rFonts w:ascii="Calibri" w:eastAsia="Times New Roman" w:hAnsi="Calibri" w:cs="Calibri"/>
                <w:color w:val="000000"/>
                <w:sz w:val="18"/>
                <w:szCs w:val="18"/>
                <w:lang w:eastAsia="es-MX"/>
              </w:rPr>
            </w:pPr>
            <w:r w:rsidRPr="00DF25B3">
              <w:rPr>
                <w:rFonts w:ascii="Calibri" w:hAnsi="Calibri" w:cs="Calibri"/>
                <w:color w:val="000000"/>
                <w:sz w:val="18"/>
                <w:szCs w:val="18"/>
              </w:rPr>
              <w:t>Perspectiva internacional</w:t>
            </w:r>
          </w:p>
        </w:tc>
        <w:tc>
          <w:tcPr>
            <w:tcW w:w="1818" w:type="dxa"/>
            <w:tcBorders>
              <w:top w:val="nil"/>
              <w:left w:val="nil"/>
              <w:bottom w:val="single" w:sz="4" w:space="0" w:color="auto"/>
              <w:right w:val="single" w:sz="4" w:space="0" w:color="auto"/>
            </w:tcBorders>
            <w:shd w:val="clear" w:color="000000" w:fill="E7E6E6"/>
            <w:noWrap/>
            <w:vAlign w:val="center"/>
          </w:tcPr>
          <w:p w14:paraId="01A4B45D" w14:textId="1458BE75" w:rsidR="00DF25B3" w:rsidRPr="00DF25B3" w:rsidRDefault="00DF25B3" w:rsidP="00DF25B3">
            <w:pPr>
              <w:spacing w:after="0" w:line="240" w:lineRule="auto"/>
              <w:jc w:val="center"/>
              <w:rPr>
                <w:rFonts w:ascii="Calibri" w:eastAsia="Times New Roman" w:hAnsi="Calibri" w:cs="Calibri"/>
                <w:color w:val="000000"/>
                <w:sz w:val="18"/>
                <w:szCs w:val="18"/>
                <w:lang w:eastAsia="es-MX"/>
              </w:rPr>
            </w:pPr>
            <w:r w:rsidRPr="00DF25B3">
              <w:rPr>
                <w:rFonts w:ascii="Calibri" w:hAnsi="Calibri" w:cs="Calibri"/>
                <w:color w:val="000000"/>
                <w:sz w:val="18"/>
                <w:szCs w:val="18"/>
              </w:rPr>
              <w:t>40.5</w:t>
            </w:r>
          </w:p>
        </w:tc>
        <w:tc>
          <w:tcPr>
            <w:tcW w:w="1818" w:type="dxa"/>
            <w:tcBorders>
              <w:top w:val="nil"/>
              <w:left w:val="nil"/>
              <w:bottom w:val="single" w:sz="4" w:space="0" w:color="auto"/>
              <w:right w:val="single" w:sz="4" w:space="0" w:color="auto"/>
            </w:tcBorders>
            <w:shd w:val="clear" w:color="auto" w:fill="E7E6E6" w:themeFill="background2"/>
            <w:noWrap/>
            <w:vAlign w:val="center"/>
          </w:tcPr>
          <w:p w14:paraId="26A815CD" w14:textId="33DFD4F7" w:rsidR="00DF25B3" w:rsidRPr="00DF25B3" w:rsidRDefault="00DF25B3" w:rsidP="00DF25B3">
            <w:pPr>
              <w:spacing w:after="0" w:line="240" w:lineRule="auto"/>
              <w:jc w:val="center"/>
              <w:rPr>
                <w:rFonts w:ascii="Calibri" w:eastAsia="Times New Roman" w:hAnsi="Calibri" w:cs="Calibri"/>
                <w:color w:val="000000"/>
                <w:sz w:val="18"/>
                <w:szCs w:val="18"/>
                <w:lang w:eastAsia="es-MX"/>
              </w:rPr>
            </w:pPr>
            <w:r w:rsidRPr="00DF25B3">
              <w:rPr>
                <w:rFonts w:ascii="Calibri" w:hAnsi="Calibri" w:cs="Calibri"/>
                <w:color w:val="000000"/>
                <w:sz w:val="18"/>
                <w:szCs w:val="18"/>
              </w:rPr>
              <w:t>44.2</w:t>
            </w:r>
          </w:p>
        </w:tc>
        <w:tc>
          <w:tcPr>
            <w:tcW w:w="1821" w:type="dxa"/>
            <w:tcBorders>
              <w:top w:val="nil"/>
              <w:left w:val="nil"/>
              <w:bottom w:val="single" w:sz="4" w:space="0" w:color="auto"/>
              <w:right w:val="single" w:sz="4" w:space="0" w:color="auto"/>
            </w:tcBorders>
            <w:shd w:val="clear" w:color="auto" w:fill="E7E6E6" w:themeFill="background2"/>
            <w:noWrap/>
            <w:vAlign w:val="center"/>
          </w:tcPr>
          <w:p w14:paraId="19590DED" w14:textId="092A1165" w:rsidR="00DF25B3" w:rsidRPr="00DF25B3" w:rsidRDefault="00DF25B3" w:rsidP="00DF25B3">
            <w:pPr>
              <w:spacing w:after="0" w:line="240" w:lineRule="auto"/>
              <w:jc w:val="center"/>
              <w:rPr>
                <w:rFonts w:ascii="Calibri" w:eastAsia="Times New Roman" w:hAnsi="Calibri" w:cs="Calibri"/>
                <w:color w:val="000000"/>
                <w:sz w:val="18"/>
                <w:szCs w:val="18"/>
                <w:lang w:eastAsia="es-MX"/>
              </w:rPr>
            </w:pPr>
            <w:r w:rsidRPr="00DF25B3">
              <w:rPr>
                <w:rFonts w:ascii="Calibri" w:hAnsi="Calibri" w:cs="Calibri"/>
                <w:color w:val="000000"/>
                <w:sz w:val="18"/>
                <w:szCs w:val="18"/>
              </w:rPr>
              <w:t>3.7</w:t>
            </w:r>
          </w:p>
        </w:tc>
      </w:tr>
      <w:tr w:rsidR="00DF25B3" w:rsidRPr="0057064A" w14:paraId="2D123AF6" w14:textId="77777777" w:rsidTr="00504681">
        <w:trPr>
          <w:trHeight w:val="236"/>
          <w:jc w:val="center"/>
        </w:trPr>
        <w:tc>
          <w:tcPr>
            <w:tcW w:w="3351" w:type="dxa"/>
            <w:tcBorders>
              <w:top w:val="nil"/>
              <w:left w:val="single" w:sz="4" w:space="0" w:color="auto"/>
              <w:bottom w:val="single" w:sz="4" w:space="0" w:color="auto"/>
              <w:right w:val="single" w:sz="4" w:space="0" w:color="auto"/>
            </w:tcBorders>
            <w:shd w:val="clear" w:color="auto" w:fill="auto"/>
            <w:vAlign w:val="center"/>
            <w:hideMark/>
          </w:tcPr>
          <w:p w14:paraId="7EE8BB64" w14:textId="0394078E" w:rsidR="00DF25B3" w:rsidRPr="00DF25B3" w:rsidRDefault="00DF25B3" w:rsidP="00DF25B3">
            <w:pPr>
              <w:spacing w:after="0" w:line="240" w:lineRule="auto"/>
              <w:jc w:val="right"/>
              <w:rPr>
                <w:rFonts w:ascii="Calibri" w:eastAsia="Times New Roman" w:hAnsi="Calibri" w:cs="Calibri"/>
                <w:color w:val="000000"/>
                <w:sz w:val="18"/>
                <w:szCs w:val="18"/>
                <w:lang w:eastAsia="es-MX"/>
              </w:rPr>
            </w:pPr>
            <w:r w:rsidRPr="00DF25B3">
              <w:rPr>
                <w:rFonts w:ascii="Calibri" w:hAnsi="Calibri" w:cs="Calibri"/>
                <w:color w:val="000000"/>
                <w:sz w:val="18"/>
                <w:szCs w:val="18"/>
              </w:rPr>
              <w:t xml:space="preserve">Financiamiento de la industria </w:t>
            </w:r>
          </w:p>
        </w:tc>
        <w:tc>
          <w:tcPr>
            <w:tcW w:w="1818" w:type="dxa"/>
            <w:tcBorders>
              <w:top w:val="nil"/>
              <w:left w:val="nil"/>
              <w:bottom w:val="single" w:sz="4" w:space="0" w:color="auto"/>
              <w:right w:val="single" w:sz="4" w:space="0" w:color="auto"/>
            </w:tcBorders>
            <w:shd w:val="clear" w:color="auto" w:fill="auto"/>
            <w:noWrap/>
            <w:vAlign w:val="center"/>
          </w:tcPr>
          <w:p w14:paraId="4169E533" w14:textId="07BEA0D2" w:rsidR="00DF25B3" w:rsidRPr="00DF25B3" w:rsidRDefault="00DF25B3" w:rsidP="00DF25B3">
            <w:pPr>
              <w:spacing w:after="0" w:line="240" w:lineRule="auto"/>
              <w:jc w:val="center"/>
              <w:rPr>
                <w:rFonts w:ascii="Calibri" w:eastAsia="Times New Roman" w:hAnsi="Calibri" w:cs="Calibri"/>
                <w:color w:val="000000"/>
                <w:sz w:val="18"/>
                <w:szCs w:val="18"/>
                <w:lang w:eastAsia="es-MX"/>
              </w:rPr>
            </w:pPr>
            <w:r w:rsidRPr="00DF25B3">
              <w:rPr>
                <w:rFonts w:ascii="Calibri" w:hAnsi="Calibri" w:cs="Calibri"/>
                <w:color w:val="000000"/>
                <w:sz w:val="18"/>
                <w:szCs w:val="18"/>
              </w:rPr>
              <w:t>55.7</w:t>
            </w:r>
          </w:p>
        </w:tc>
        <w:tc>
          <w:tcPr>
            <w:tcW w:w="1818" w:type="dxa"/>
            <w:tcBorders>
              <w:top w:val="nil"/>
              <w:left w:val="nil"/>
              <w:bottom w:val="single" w:sz="4" w:space="0" w:color="auto"/>
              <w:right w:val="single" w:sz="4" w:space="0" w:color="auto"/>
            </w:tcBorders>
            <w:shd w:val="clear" w:color="auto" w:fill="auto"/>
            <w:noWrap/>
            <w:vAlign w:val="bottom"/>
          </w:tcPr>
          <w:p w14:paraId="168AAD1F" w14:textId="38639B63" w:rsidR="00DF25B3" w:rsidRPr="00DF25B3" w:rsidRDefault="00DF25B3" w:rsidP="00DF25B3">
            <w:pPr>
              <w:spacing w:after="0" w:line="240" w:lineRule="auto"/>
              <w:jc w:val="center"/>
              <w:rPr>
                <w:rFonts w:ascii="Calibri" w:eastAsia="Times New Roman" w:hAnsi="Calibri" w:cs="Calibri"/>
                <w:color w:val="000000"/>
                <w:sz w:val="18"/>
                <w:szCs w:val="18"/>
                <w:lang w:eastAsia="es-MX"/>
              </w:rPr>
            </w:pPr>
            <w:r w:rsidRPr="00DF25B3">
              <w:rPr>
                <w:rFonts w:ascii="Calibri" w:hAnsi="Calibri" w:cs="Calibri"/>
                <w:color w:val="000000"/>
                <w:sz w:val="18"/>
                <w:szCs w:val="18"/>
              </w:rPr>
              <w:t>61.7</w:t>
            </w:r>
          </w:p>
        </w:tc>
        <w:tc>
          <w:tcPr>
            <w:tcW w:w="1821" w:type="dxa"/>
            <w:tcBorders>
              <w:top w:val="nil"/>
              <w:left w:val="nil"/>
              <w:bottom w:val="single" w:sz="4" w:space="0" w:color="auto"/>
              <w:right w:val="single" w:sz="4" w:space="0" w:color="auto"/>
            </w:tcBorders>
            <w:shd w:val="clear" w:color="auto" w:fill="auto"/>
            <w:noWrap/>
            <w:vAlign w:val="center"/>
          </w:tcPr>
          <w:p w14:paraId="61203EB3" w14:textId="023FF463" w:rsidR="00DF25B3" w:rsidRPr="00DF25B3" w:rsidRDefault="00DF25B3" w:rsidP="00DF25B3">
            <w:pPr>
              <w:spacing w:after="0" w:line="240" w:lineRule="auto"/>
              <w:ind w:left="708" w:hanging="708"/>
              <w:jc w:val="center"/>
              <w:rPr>
                <w:rFonts w:ascii="Calibri" w:eastAsia="Times New Roman" w:hAnsi="Calibri" w:cs="Calibri"/>
                <w:color w:val="000000"/>
                <w:sz w:val="18"/>
                <w:szCs w:val="18"/>
                <w:lang w:eastAsia="es-MX"/>
              </w:rPr>
            </w:pPr>
            <w:r w:rsidRPr="00DF25B3">
              <w:rPr>
                <w:rFonts w:ascii="Calibri" w:hAnsi="Calibri" w:cs="Calibri"/>
                <w:color w:val="000000"/>
                <w:sz w:val="18"/>
                <w:szCs w:val="18"/>
              </w:rPr>
              <w:t>6</w:t>
            </w:r>
          </w:p>
        </w:tc>
      </w:tr>
    </w:tbl>
    <w:p w14:paraId="5F0BC58F" w14:textId="14C4B12F" w:rsidR="00AB71DE" w:rsidRPr="00A02317" w:rsidRDefault="00AB71DE" w:rsidP="00A02317">
      <w:pPr>
        <w:rPr>
          <w:sz w:val="24"/>
        </w:rPr>
      </w:pPr>
    </w:p>
    <w:sectPr w:rsidR="00AB71DE" w:rsidRPr="00A023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6E67A" w14:textId="77777777" w:rsidR="00FD3D97" w:rsidRDefault="00FD3D97" w:rsidP="008A3771">
      <w:pPr>
        <w:spacing w:after="0" w:line="240" w:lineRule="auto"/>
      </w:pPr>
      <w:r>
        <w:separator/>
      </w:r>
    </w:p>
  </w:endnote>
  <w:endnote w:type="continuationSeparator" w:id="0">
    <w:p w14:paraId="593A78BA" w14:textId="77777777" w:rsidR="00FD3D97" w:rsidRDefault="00FD3D97" w:rsidP="008A3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3F775" w14:textId="77777777" w:rsidR="00FD3D97" w:rsidRDefault="00FD3D97" w:rsidP="008A3771">
      <w:pPr>
        <w:spacing w:after="0" w:line="240" w:lineRule="auto"/>
      </w:pPr>
      <w:r>
        <w:separator/>
      </w:r>
    </w:p>
  </w:footnote>
  <w:footnote w:type="continuationSeparator" w:id="0">
    <w:p w14:paraId="604D18CB" w14:textId="77777777" w:rsidR="00FD3D97" w:rsidRDefault="00FD3D97" w:rsidP="008A3771">
      <w:pPr>
        <w:spacing w:after="0" w:line="240" w:lineRule="auto"/>
      </w:pPr>
      <w:r>
        <w:continuationSeparator/>
      </w:r>
    </w:p>
  </w:footnote>
  <w:footnote w:id="1">
    <w:p w14:paraId="7FA403BD" w14:textId="49C8A5B7" w:rsidR="007F5BE0" w:rsidRDefault="007F5BE0">
      <w:pPr>
        <w:pStyle w:val="Textonotapie"/>
      </w:pPr>
      <w:r>
        <w:rPr>
          <w:rStyle w:val="Refdenotaalpie"/>
        </w:rPr>
        <w:footnoteRef/>
      </w:r>
      <w:r>
        <w:t xml:space="preserve"> </w:t>
      </w:r>
      <w:r>
        <w:rPr>
          <w:sz w:val="16"/>
        </w:rPr>
        <w:t xml:space="preserve">El ranking solo publica los primeros 200 lugares, el resto de las universidades se clasifican por medio de rangos. La </w:t>
      </w:r>
      <w:r w:rsidRPr="00265B43">
        <w:rPr>
          <w:sz w:val="16"/>
        </w:rPr>
        <w:t>Dirección General de Evaluación Institucional (DGEI-UNAM)</w:t>
      </w:r>
      <w:r>
        <w:rPr>
          <w:sz w:val="16"/>
        </w:rPr>
        <w:t xml:space="preserve"> estima el lugar calculando el puntaje de los diferentes indicadores y su ponderación.</w:t>
      </w:r>
    </w:p>
  </w:footnote>
  <w:footnote w:id="2">
    <w:p w14:paraId="6DDE7794" w14:textId="77777777" w:rsidR="007F5BE0" w:rsidRPr="00FF282E" w:rsidRDefault="007F5BE0" w:rsidP="00D00D1F">
      <w:pPr>
        <w:pStyle w:val="Textonotapie"/>
        <w:rPr>
          <w:sz w:val="16"/>
        </w:rPr>
      </w:pPr>
      <w:r>
        <w:rPr>
          <w:rStyle w:val="Refdenotaalpie"/>
        </w:rPr>
        <w:footnoteRef/>
      </w:r>
      <w:r>
        <w:t xml:space="preserve"> </w:t>
      </w:r>
      <w:r w:rsidRPr="008E2B5C">
        <w:rPr>
          <w:sz w:val="14"/>
        </w:rPr>
        <w:t xml:space="preserve">“Datos y Cifras” del ITESM en disponible en: </w:t>
      </w:r>
      <w:hyperlink r:id="rId1" w:history="1">
        <w:r w:rsidRPr="008E2B5C">
          <w:rPr>
            <w:rStyle w:val="Hipervnculo"/>
            <w:sz w:val="14"/>
          </w:rPr>
          <w:t>https://tec.mx/es/diferencia-tec/numeralia/datos-y-cifras</w:t>
        </w:r>
      </w:hyperlink>
      <w:r w:rsidRPr="008E2B5C">
        <w:rPr>
          <w:sz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13DC"/>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09D4397"/>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003BB9"/>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365640"/>
    <w:multiLevelType w:val="hybridMultilevel"/>
    <w:tmpl w:val="308250D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0BAA38C8"/>
    <w:multiLevelType w:val="hybridMultilevel"/>
    <w:tmpl w:val="CAFA8CDA"/>
    <w:lvl w:ilvl="0" w:tplc="0F3CACBC">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A6783C"/>
    <w:multiLevelType w:val="hybridMultilevel"/>
    <w:tmpl w:val="4672ECDE"/>
    <w:lvl w:ilvl="0" w:tplc="080A000F">
      <w:start w:val="1"/>
      <w:numFmt w:val="decimal"/>
      <w:lvlText w:val="%1."/>
      <w:lvlJc w:val="left"/>
      <w:pPr>
        <w:ind w:left="1776" w:hanging="360"/>
      </w:pPr>
      <w:rPr>
        <w:rFonts w:hint="default"/>
      </w:r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1C83716A"/>
    <w:multiLevelType w:val="hybridMultilevel"/>
    <w:tmpl w:val="9A263C7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1">
      <w:start w:val="1"/>
      <w:numFmt w:val="bullet"/>
      <w:lvlText w:val=""/>
      <w:lvlJc w:val="left"/>
      <w:pPr>
        <w:ind w:left="2880" w:hanging="360"/>
      </w:pPr>
      <w:rPr>
        <w:rFonts w:ascii="Symbol" w:hAnsi="Symbo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8977F0"/>
    <w:multiLevelType w:val="hybridMultilevel"/>
    <w:tmpl w:val="EB00DBDC"/>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8" w15:restartNumberingAfterBreak="0">
    <w:nsid w:val="2BAE5B69"/>
    <w:multiLevelType w:val="hybridMultilevel"/>
    <w:tmpl w:val="1A7EDA7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D3761FA"/>
    <w:multiLevelType w:val="hybridMultilevel"/>
    <w:tmpl w:val="F5BE07B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1">
      <w:start w:val="1"/>
      <w:numFmt w:val="bullet"/>
      <w:lvlText w:val=""/>
      <w:lvlJc w:val="left"/>
      <w:pPr>
        <w:ind w:left="2880" w:hanging="360"/>
      </w:pPr>
      <w:rPr>
        <w:rFonts w:ascii="Symbol" w:hAnsi="Symbol"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454369"/>
    <w:multiLevelType w:val="hybridMultilevel"/>
    <w:tmpl w:val="A516CDD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7167EFB"/>
    <w:multiLevelType w:val="hybridMultilevel"/>
    <w:tmpl w:val="471A4054"/>
    <w:lvl w:ilvl="0" w:tplc="386A9FBE">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F36934"/>
    <w:multiLevelType w:val="hybridMultilevel"/>
    <w:tmpl w:val="91D89B02"/>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43B82ADB"/>
    <w:multiLevelType w:val="hybridMultilevel"/>
    <w:tmpl w:val="8A5C77D0"/>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4523BB7"/>
    <w:multiLevelType w:val="hybridMultilevel"/>
    <w:tmpl w:val="59245686"/>
    <w:lvl w:ilvl="0" w:tplc="386A9FBE">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39538B7"/>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B226BD6"/>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91715E"/>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3CA76FF"/>
    <w:multiLevelType w:val="hybridMultilevel"/>
    <w:tmpl w:val="C9E4A7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41D6A16"/>
    <w:multiLevelType w:val="hybridMultilevel"/>
    <w:tmpl w:val="762255C4"/>
    <w:lvl w:ilvl="0" w:tplc="386A9FBE">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C84BD2"/>
    <w:multiLevelType w:val="hybridMultilevel"/>
    <w:tmpl w:val="DCA075F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73012D81"/>
    <w:multiLevelType w:val="hybridMultilevel"/>
    <w:tmpl w:val="F1E213F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3137955"/>
    <w:multiLevelType w:val="hybridMultilevel"/>
    <w:tmpl w:val="2C7E4562"/>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3" w15:restartNumberingAfterBreak="0">
    <w:nsid w:val="792A0070"/>
    <w:multiLevelType w:val="hybridMultilevel"/>
    <w:tmpl w:val="F1E21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124999"/>
    <w:multiLevelType w:val="hybridMultilevel"/>
    <w:tmpl w:val="19BEEE0C"/>
    <w:lvl w:ilvl="0" w:tplc="386A9FBE">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4"/>
  </w:num>
  <w:num w:numId="2">
    <w:abstractNumId w:val="20"/>
  </w:num>
  <w:num w:numId="3">
    <w:abstractNumId w:val="7"/>
  </w:num>
  <w:num w:numId="4">
    <w:abstractNumId w:val="12"/>
  </w:num>
  <w:num w:numId="5">
    <w:abstractNumId w:val="10"/>
  </w:num>
  <w:num w:numId="6">
    <w:abstractNumId w:val="15"/>
  </w:num>
  <w:num w:numId="7">
    <w:abstractNumId w:val="5"/>
  </w:num>
  <w:num w:numId="8">
    <w:abstractNumId w:val="3"/>
  </w:num>
  <w:num w:numId="9">
    <w:abstractNumId w:val="22"/>
  </w:num>
  <w:num w:numId="10">
    <w:abstractNumId w:val="23"/>
  </w:num>
  <w:num w:numId="11">
    <w:abstractNumId w:val="0"/>
  </w:num>
  <w:num w:numId="12">
    <w:abstractNumId w:val="17"/>
  </w:num>
  <w:num w:numId="13">
    <w:abstractNumId w:val="11"/>
  </w:num>
  <w:num w:numId="14">
    <w:abstractNumId w:val="8"/>
  </w:num>
  <w:num w:numId="15">
    <w:abstractNumId w:val="13"/>
  </w:num>
  <w:num w:numId="16">
    <w:abstractNumId w:val="4"/>
  </w:num>
  <w:num w:numId="17">
    <w:abstractNumId w:val="16"/>
  </w:num>
  <w:num w:numId="18">
    <w:abstractNumId w:val="1"/>
  </w:num>
  <w:num w:numId="19">
    <w:abstractNumId w:val="2"/>
  </w:num>
  <w:num w:numId="20">
    <w:abstractNumId w:val="21"/>
  </w:num>
  <w:num w:numId="21">
    <w:abstractNumId w:val="18"/>
  </w:num>
  <w:num w:numId="22">
    <w:abstractNumId w:val="19"/>
  </w:num>
  <w:num w:numId="23">
    <w:abstractNumId w:val="14"/>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87"/>
    <w:rsid w:val="00020057"/>
    <w:rsid w:val="00021108"/>
    <w:rsid w:val="00022797"/>
    <w:rsid w:val="000228E3"/>
    <w:rsid w:val="00033DBE"/>
    <w:rsid w:val="00037DAC"/>
    <w:rsid w:val="0004030C"/>
    <w:rsid w:val="00041D71"/>
    <w:rsid w:val="00056BA6"/>
    <w:rsid w:val="00057B8F"/>
    <w:rsid w:val="00074F01"/>
    <w:rsid w:val="00080ACB"/>
    <w:rsid w:val="00095E29"/>
    <w:rsid w:val="000A1862"/>
    <w:rsid w:val="000A62C9"/>
    <w:rsid w:val="000A74E8"/>
    <w:rsid w:val="000B3CEF"/>
    <w:rsid w:val="000B75AF"/>
    <w:rsid w:val="000C3D13"/>
    <w:rsid w:val="000C6A1B"/>
    <w:rsid w:val="000D0015"/>
    <w:rsid w:val="000E7136"/>
    <w:rsid w:val="000F054A"/>
    <w:rsid w:val="000F1AED"/>
    <w:rsid w:val="000F49D0"/>
    <w:rsid w:val="001011BD"/>
    <w:rsid w:val="0011183D"/>
    <w:rsid w:val="00114D13"/>
    <w:rsid w:val="001212A0"/>
    <w:rsid w:val="00121ECB"/>
    <w:rsid w:val="001247D2"/>
    <w:rsid w:val="00135A7C"/>
    <w:rsid w:val="001416AF"/>
    <w:rsid w:val="00143D31"/>
    <w:rsid w:val="001511A2"/>
    <w:rsid w:val="00153214"/>
    <w:rsid w:val="001718E6"/>
    <w:rsid w:val="001823FA"/>
    <w:rsid w:val="00182EA8"/>
    <w:rsid w:val="00183CB5"/>
    <w:rsid w:val="00187675"/>
    <w:rsid w:val="00193D13"/>
    <w:rsid w:val="00197C4B"/>
    <w:rsid w:val="001A286B"/>
    <w:rsid w:val="001A7CDB"/>
    <w:rsid w:val="001C5260"/>
    <w:rsid w:val="001C6EB8"/>
    <w:rsid w:val="001D1553"/>
    <w:rsid w:val="001D3CCF"/>
    <w:rsid w:val="001D4545"/>
    <w:rsid w:val="001D5EBD"/>
    <w:rsid w:val="001E129B"/>
    <w:rsid w:val="001E345D"/>
    <w:rsid w:val="001E3B47"/>
    <w:rsid w:val="001E50E9"/>
    <w:rsid w:val="001F507B"/>
    <w:rsid w:val="00200691"/>
    <w:rsid w:val="00200E0C"/>
    <w:rsid w:val="002062E7"/>
    <w:rsid w:val="002072EB"/>
    <w:rsid w:val="00210497"/>
    <w:rsid w:val="00213521"/>
    <w:rsid w:val="00215044"/>
    <w:rsid w:val="00216C99"/>
    <w:rsid w:val="002215D9"/>
    <w:rsid w:val="00230DB2"/>
    <w:rsid w:val="00231026"/>
    <w:rsid w:val="00236AB1"/>
    <w:rsid w:val="00240E45"/>
    <w:rsid w:val="00246D7A"/>
    <w:rsid w:val="00253754"/>
    <w:rsid w:val="00257087"/>
    <w:rsid w:val="0026150C"/>
    <w:rsid w:val="00270C1A"/>
    <w:rsid w:val="00286835"/>
    <w:rsid w:val="002871EB"/>
    <w:rsid w:val="00291132"/>
    <w:rsid w:val="002938AF"/>
    <w:rsid w:val="002A5C36"/>
    <w:rsid w:val="002B285D"/>
    <w:rsid w:val="002B6314"/>
    <w:rsid w:val="002B705F"/>
    <w:rsid w:val="002D04B0"/>
    <w:rsid w:val="002D2258"/>
    <w:rsid w:val="002D2F67"/>
    <w:rsid w:val="002E24B1"/>
    <w:rsid w:val="002E342B"/>
    <w:rsid w:val="002F1244"/>
    <w:rsid w:val="002F62AE"/>
    <w:rsid w:val="003062D3"/>
    <w:rsid w:val="0031474A"/>
    <w:rsid w:val="003201C2"/>
    <w:rsid w:val="003215C3"/>
    <w:rsid w:val="00325265"/>
    <w:rsid w:val="003275CC"/>
    <w:rsid w:val="00340787"/>
    <w:rsid w:val="00344794"/>
    <w:rsid w:val="003470CF"/>
    <w:rsid w:val="00350282"/>
    <w:rsid w:val="0035751C"/>
    <w:rsid w:val="00357C25"/>
    <w:rsid w:val="00357C5B"/>
    <w:rsid w:val="003613E0"/>
    <w:rsid w:val="00363CB4"/>
    <w:rsid w:val="00373204"/>
    <w:rsid w:val="0037348B"/>
    <w:rsid w:val="00375109"/>
    <w:rsid w:val="0038484C"/>
    <w:rsid w:val="00385B7D"/>
    <w:rsid w:val="00396BBE"/>
    <w:rsid w:val="003970E6"/>
    <w:rsid w:val="003A1A80"/>
    <w:rsid w:val="003A1FA2"/>
    <w:rsid w:val="003C102E"/>
    <w:rsid w:val="003C4631"/>
    <w:rsid w:val="003D17B4"/>
    <w:rsid w:val="003D4E0C"/>
    <w:rsid w:val="003E1861"/>
    <w:rsid w:val="0040622D"/>
    <w:rsid w:val="0041260E"/>
    <w:rsid w:val="00416CC0"/>
    <w:rsid w:val="00424437"/>
    <w:rsid w:val="004245EE"/>
    <w:rsid w:val="00441D90"/>
    <w:rsid w:val="00465EE6"/>
    <w:rsid w:val="00467DEF"/>
    <w:rsid w:val="004744A4"/>
    <w:rsid w:val="00494054"/>
    <w:rsid w:val="004A1F03"/>
    <w:rsid w:val="004A53F4"/>
    <w:rsid w:val="004B4A0F"/>
    <w:rsid w:val="004C4F5D"/>
    <w:rsid w:val="004D3A44"/>
    <w:rsid w:val="004E1ADF"/>
    <w:rsid w:val="004F0722"/>
    <w:rsid w:val="004F61D3"/>
    <w:rsid w:val="00502E4A"/>
    <w:rsid w:val="00516B87"/>
    <w:rsid w:val="005204F6"/>
    <w:rsid w:val="00521C83"/>
    <w:rsid w:val="00523F50"/>
    <w:rsid w:val="0052669D"/>
    <w:rsid w:val="00536ABF"/>
    <w:rsid w:val="00540434"/>
    <w:rsid w:val="0054176F"/>
    <w:rsid w:val="005427A3"/>
    <w:rsid w:val="0054305B"/>
    <w:rsid w:val="005439E6"/>
    <w:rsid w:val="00556FA9"/>
    <w:rsid w:val="005612C8"/>
    <w:rsid w:val="00561A19"/>
    <w:rsid w:val="00565C0C"/>
    <w:rsid w:val="00567186"/>
    <w:rsid w:val="00570169"/>
    <w:rsid w:val="0057064A"/>
    <w:rsid w:val="00575FB7"/>
    <w:rsid w:val="00586586"/>
    <w:rsid w:val="00591CFE"/>
    <w:rsid w:val="00591E68"/>
    <w:rsid w:val="005A1ACE"/>
    <w:rsid w:val="005B3D9A"/>
    <w:rsid w:val="005B79EA"/>
    <w:rsid w:val="005C6BF5"/>
    <w:rsid w:val="005C762D"/>
    <w:rsid w:val="005E02C6"/>
    <w:rsid w:val="005E27BD"/>
    <w:rsid w:val="005F7A8A"/>
    <w:rsid w:val="0060110E"/>
    <w:rsid w:val="006018B6"/>
    <w:rsid w:val="00602022"/>
    <w:rsid w:val="0060365B"/>
    <w:rsid w:val="00610EEE"/>
    <w:rsid w:val="0061346E"/>
    <w:rsid w:val="00616A04"/>
    <w:rsid w:val="00627DDA"/>
    <w:rsid w:val="00631508"/>
    <w:rsid w:val="00632A8E"/>
    <w:rsid w:val="006347C7"/>
    <w:rsid w:val="00640209"/>
    <w:rsid w:val="00642C37"/>
    <w:rsid w:val="00644B68"/>
    <w:rsid w:val="00653C36"/>
    <w:rsid w:val="00654163"/>
    <w:rsid w:val="00670550"/>
    <w:rsid w:val="006709C0"/>
    <w:rsid w:val="006736A3"/>
    <w:rsid w:val="0067403C"/>
    <w:rsid w:val="0067491E"/>
    <w:rsid w:val="00676347"/>
    <w:rsid w:val="00680B07"/>
    <w:rsid w:val="0069463B"/>
    <w:rsid w:val="006A5E9B"/>
    <w:rsid w:val="006A60F4"/>
    <w:rsid w:val="006B05EF"/>
    <w:rsid w:val="006B4CCA"/>
    <w:rsid w:val="006B52E8"/>
    <w:rsid w:val="006C79D4"/>
    <w:rsid w:val="006D09C2"/>
    <w:rsid w:val="006D2A38"/>
    <w:rsid w:val="006E0DB2"/>
    <w:rsid w:val="006E1000"/>
    <w:rsid w:val="006F4917"/>
    <w:rsid w:val="006F5E71"/>
    <w:rsid w:val="007038AE"/>
    <w:rsid w:val="00704DE8"/>
    <w:rsid w:val="00723B5A"/>
    <w:rsid w:val="00744819"/>
    <w:rsid w:val="00745041"/>
    <w:rsid w:val="00745E65"/>
    <w:rsid w:val="007467BD"/>
    <w:rsid w:val="00754BE1"/>
    <w:rsid w:val="00757B9E"/>
    <w:rsid w:val="0076328A"/>
    <w:rsid w:val="00764699"/>
    <w:rsid w:val="00776C1B"/>
    <w:rsid w:val="00780F49"/>
    <w:rsid w:val="00785BED"/>
    <w:rsid w:val="00790D03"/>
    <w:rsid w:val="00797EBA"/>
    <w:rsid w:val="007A0505"/>
    <w:rsid w:val="007A0D8D"/>
    <w:rsid w:val="007B2B33"/>
    <w:rsid w:val="007B4D15"/>
    <w:rsid w:val="007C0430"/>
    <w:rsid w:val="007D48C0"/>
    <w:rsid w:val="007E02D3"/>
    <w:rsid w:val="007F336A"/>
    <w:rsid w:val="007F5BE0"/>
    <w:rsid w:val="007F5C4B"/>
    <w:rsid w:val="007F72AE"/>
    <w:rsid w:val="007F746F"/>
    <w:rsid w:val="008005A1"/>
    <w:rsid w:val="00803500"/>
    <w:rsid w:val="0083225D"/>
    <w:rsid w:val="00834AA8"/>
    <w:rsid w:val="0083640D"/>
    <w:rsid w:val="008565ED"/>
    <w:rsid w:val="00857921"/>
    <w:rsid w:val="00860F65"/>
    <w:rsid w:val="0086322B"/>
    <w:rsid w:val="00870446"/>
    <w:rsid w:val="00870806"/>
    <w:rsid w:val="008758A8"/>
    <w:rsid w:val="00876A66"/>
    <w:rsid w:val="00883727"/>
    <w:rsid w:val="00885344"/>
    <w:rsid w:val="00890ACB"/>
    <w:rsid w:val="008945DB"/>
    <w:rsid w:val="008A0463"/>
    <w:rsid w:val="008A3771"/>
    <w:rsid w:val="008A3DE1"/>
    <w:rsid w:val="008B3929"/>
    <w:rsid w:val="008B678C"/>
    <w:rsid w:val="008B75DD"/>
    <w:rsid w:val="008C3B1E"/>
    <w:rsid w:val="008C5182"/>
    <w:rsid w:val="008C705D"/>
    <w:rsid w:val="008D2FE9"/>
    <w:rsid w:val="008D7AE6"/>
    <w:rsid w:val="008E2B5C"/>
    <w:rsid w:val="008F2D1A"/>
    <w:rsid w:val="008F6C6B"/>
    <w:rsid w:val="00903EBE"/>
    <w:rsid w:val="009103B0"/>
    <w:rsid w:val="00911157"/>
    <w:rsid w:val="0091324E"/>
    <w:rsid w:val="009153C8"/>
    <w:rsid w:val="0092095C"/>
    <w:rsid w:val="00922309"/>
    <w:rsid w:val="009265F9"/>
    <w:rsid w:val="00927179"/>
    <w:rsid w:val="00932183"/>
    <w:rsid w:val="009329AB"/>
    <w:rsid w:val="00941419"/>
    <w:rsid w:val="00950D2D"/>
    <w:rsid w:val="00954CDE"/>
    <w:rsid w:val="00955161"/>
    <w:rsid w:val="00955ABB"/>
    <w:rsid w:val="009636DB"/>
    <w:rsid w:val="00963C19"/>
    <w:rsid w:val="0097768D"/>
    <w:rsid w:val="00981CD5"/>
    <w:rsid w:val="009857C4"/>
    <w:rsid w:val="009928A6"/>
    <w:rsid w:val="00992C09"/>
    <w:rsid w:val="009A2617"/>
    <w:rsid w:val="009A4E37"/>
    <w:rsid w:val="009B4626"/>
    <w:rsid w:val="009C487D"/>
    <w:rsid w:val="009C758F"/>
    <w:rsid w:val="009D416B"/>
    <w:rsid w:val="009E06D9"/>
    <w:rsid w:val="009E7FF8"/>
    <w:rsid w:val="009F36F0"/>
    <w:rsid w:val="009F4A57"/>
    <w:rsid w:val="00A02317"/>
    <w:rsid w:val="00A0582A"/>
    <w:rsid w:val="00A12537"/>
    <w:rsid w:val="00A16BE4"/>
    <w:rsid w:val="00A20978"/>
    <w:rsid w:val="00A2224C"/>
    <w:rsid w:val="00A301BB"/>
    <w:rsid w:val="00A377E6"/>
    <w:rsid w:val="00A40842"/>
    <w:rsid w:val="00A52257"/>
    <w:rsid w:val="00A5715F"/>
    <w:rsid w:val="00A603D2"/>
    <w:rsid w:val="00A63125"/>
    <w:rsid w:val="00A6768D"/>
    <w:rsid w:val="00A724CE"/>
    <w:rsid w:val="00A735AF"/>
    <w:rsid w:val="00A819B3"/>
    <w:rsid w:val="00A86B7B"/>
    <w:rsid w:val="00A92D8A"/>
    <w:rsid w:val="00A95334"/>
    <w:rsid w:val="00A97717"/>
    <w:rsid w:val="00AB0508"/>
    <w:rsid w:val="00AB1258"/>
    <w:rsid w:val="00AB71DE"/>
    <w:rsid w:val="00AC3FEF"/>
    <w:rsid w:val="00AC52AC"/>
    <w:rsid w:val="00AC563B"/>
    <w:rsid w:val="00AC5659"/>
    <w:rsid w:val="00AD0E3B"/>
    <w:rsid w:val="00AD2D93"/>
    <w:rsid w:val="00AE5228"/>
    <w:rsid w:val="00AF3EB1"/>
    <w:rsid w:val="00B00D95"/>
    <w:rsid w:val="00B068BC"/>
    <w:rsid w:val="00B1058D"/>
    <w:rsid w:val="00B122CE"/>
    <w:rsid w:val="00B13F80"/>
    <w:rsid w:val="00B14CAF"/>
    <w:rsid w:val="00B167FE"/>
    <w:rsid w:val="00B208EC"/>
    <w:rsid w:val="00B21449"/>
    <w:rsid w:val="00B27D6C"/>
    <w:rsid w:val="00B30AA4"/>
    <w:rsid w:val="00B33DF2"/>
    <w:rsid w:val="00B36D3C"/>
    <w:rsid w:val="00B36FBB"/>
    <w:rsid w:val="00B52342"/>
    <w:rsid w:val="00B57999"/>
    <w:rsid w:val="00B57A50"/>
    <w:rsid w:val="00B60811"/>
    <w:rsid w:val="00B62B09"/>
    <w:rsid w:val="00B742A7"/>
    <w:rsid w:val="00B829B2"/>
    <w:rsid w:val="00B920DE"/>
    <w:rsid w:val="00BA5D4D"/>
    <w:rsid w:val="00BA779A"/>
    <w:rsid w:val="00BC0701"/>
    <w:rsid w:val="00BC0809"/>
    <w:rsid w:val="00BC0C14"/>
    <w:rsid w:val="00BC4F99"/>
    <w:rsid w:val="00BC5A1E"/>
    <w:rsid w:val="00BC7CA6"/>
    <w:rsid w:val="00BD4F67"/>
    <w:rsid w:val="00BF0E0F"/>
    <w:rsid w:val="00BF17FC"/>
    <w:rsid w:val="00C01EB9"/>
    <w:rsid w:val="00C10988"/>
    <w:rsid w:val="00C15148"/>
    <w:rsid w:val="00C25675"/>
    <w:rsid w:val="00C439C8"/>
    <w:rsid w:val="00C513CF"/>
    <w:rsid w:val="00C5267F"/>
    <w:rsid w:val="00C625AC"/>
    <w:rsid w:val="00C67D80"/>
    <w:rsid w:val="00C856B6"/>
    <w:rsid w:val="00C91771"/>
    <w:rsid w:val="00C96CAA"/>
    <w:rsid w:val="00CA0B0D"/>
    <w:rsid w:val="00CA633C"/>
    <w:rsid w:val="00CA7F40"/>
    <w:rsid w:val="00CB0A10"/>
    <w:rsid w:val="00CB7710"/>
    <w:rsid w:val="00CC2FF8"/>
    <w:rsid w:val="00CC3EB2"/>
    <w:rsid w:val="00CC4772"/>
    <w:rsid w:val="00CC478C"/>
    <w:rsid w:val="00CC4F28"/>
    <w:rsid w:val="00CD43A5"/>
    <w:rsid w:val="00CE0B4F"/>
    <w:rsid w:val="00CE1B0F"/>
    <w:rsid w:val="00CE3E8E"/>
    <w:rsid w:val="00D00D1F"/>
    <w:rsid w:val="00D0231C"/>
    <w:rsid w:val="00D110B7"/>
    <w:rsid w:val="00D17E34"/>
    <w:rsid w:val="00D23A42"/>
    <w:rsid w:val="00D246B5"/>
    <w:rsid w:val="00D312F8"/>
    <w:rsid w:val="00D376FA"/>
    <w:rsid w:val="00D44E20"/>
    <w:rsid w:val="00D52CE6"/>
    <w:rsid w:val="00D67286"/>
    <w:rsid w:val="00D70652"/>
    <w:rsid w:val="00D75035"/>
    <w:rsid w:val="00D800F4"/>
    <w:rsid w:val="00D81AEE"/>
    <w:rsid w:val="00D8424B"/>
    <w:rsid w:val="00DA70FB"/>
    <w:rsid w:val="00DB153E"/>
    <w:rsid w:val="00DB2644"/>
    <w:rsid w:val="00DB445F"/>
    <w:rsid w:val="00DB4F05"/>
    <w:rsid w:val="00DC3520"/>
    <w:rsid w:val="00DC4C14"/>
    <w:rsid w:val="00DE0F03"/>
    <w:rsid w:val="00DE6350"/>
    <w:rsid w:val="00DE641C"/>
    <w:rsid w:val="00DF25B3"/>
    <w:rsid w:val="00DF38E0"/>
    <w:rsid w:val="00E16DB1"/>
    <w:rsid w:val="00E21969"/>
    <w:rsid w:val="00E225BE"/>
    <w:rsid w:val="00E2676F"/>
    <w:rsid w:val="00E46BB3"/>
    <w:rsid w:val="00E51696"/>
    <w:rsid w:val="00E61F92"/>
    <w:rsid w:val="00E64262"/>
    <w:rsid w:val="00E800AC"/>
    <w:rsid w:val="00E828D0"/>
    <w:rsid w:val="00E85433"/>
    <w:rsid w:val="00E93F34"/>
    <w:rsid w:val="00EA0F71"/>
    <w:rsid w:val="00EA753F"/>
    <w:rsid w:val="00EC10F8"/>
    <w:rsid w:val="00EC2587"/>
    <w:rsid w:val="00ED566B"/>
    <w:rsid w:val="00ED780C"/>
    <w:rsid w:val="00EE3D6B"/>
    <w:rsid w:val="00EF2128"/>
    <w:rsid w:val="00EF2EDE"/>
    <w:rsid w:val="00EF4296"/>
    <w:rsid w:val="00F066F1"/>
    <w:rsid w:val="00F07646"/>
    <w:rsid w:val="00F23AE7"/>
    <w:rsid w:val="00F25B04"/>
    <w:rsid w:val="00F27902"/>
    <w:rsid w:val="00F3118C"/>
    <w:rsid w:val="00F35480"/>
    <w:rsid w:val="00F4398E"/>
    <w:rsid w:val="00F477EA"/>
    <w:rsid w:val="00F505AC"/>
    <w:rsid w:val="00F57DC0"/>
    <w:rsid w:val="00F65136"/>
    <w:rsid w:val="00F67E34"/>
    <w:rsid w:val="00F7200D"/>
    <w:rsid w:val="00F8199B"/>
    <w:rsid w:val="00F84119"/>
    <w:rsid w:val="00FD3D97"/>
    <w:rsid w:val="00FE4B30"/>
    <w:rsid w:val="00FE5AA4"/>
    <w:rsid w:val="00FF028B"/>
    <w:rsid w:val="00FF06D9"/>
    <w:rsid w:val="00FF0EE1"/>
    <w:rsid w:val="00FF282E"/>
    <w:rsid w:val="00FF6D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E8D8"/>
  <w15:chartTrackingRefBased/>
  <w15:docId w15:val="{80D52E2F-2207-4FD1-8B51-4F5B00F5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398E"/>
    <w:pPr>
      <w:ind w:left="720"/>
      <w:contextualSpacing/>
    </w:pPr>
  </w:style>
  <w:style w:type="table" w:styleId="Tablaconcuadrcula">
    <w:name w:val="Table Grid"/>
    <w:basedOn w:val="Tablanormal"/>
    <w:uiPriority w:val="39"/>
    <w:rsid w:val="00E93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00691"/>
    <w:rPr>
      <w:color w:val="0563C1" w:themeColor="hyperlink"/>
      <w:u w:val="single"/>
    </w:rPr>
  </w:style>
  <w:style w:type="character" w:styleId="Refdecomentario">
    <w:name w:val="annotation reference"/>
    <w:basedOn w:val="Fuentedeprrafopredeter"/>
    <w:uiPriority w:val="99"/>
    <w:semiHidden/>
    <w:unhideWhenUsed/>
    <w:rsid w:val="000B3CEF"/>
    <w:rPr>
      <w:sz w:val="16"/>
      <w:szCs w:val="16"/>
    </w:rPr>
  </w:style>
  <w:style w:type="paragraph" w:styleId="Textocomentario">
    <w:name w:val="annotation text"/>
    <w:basedOn w:val="Normal"/>
    <w:link w:val="TextocomentarioCar"/>
    <w:uiPriority w:val="99"/>
    <w:semiHidden/>
    <w:unhideWhenUsed/>
    <w:rsid w:val="000B3C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B3CEF"/>
    <w:rPr>
      <w:sz w:val="20"/>
      <w:szCs w:val="20"/>
    </w:rPr>
  </w:style>
  <w:style w:type="paragraph" w:styleId="Asuntodelcomentario">
    <w:name w:val="annotation subject"/>
    <w:basedOn w:val="Textocomentario"/>
    <w:next w:val="Textocomentario"/>
    <w:link w:val="AsuntodelcomentarioCar"/>
    <w:uiPriority w:val="99"/>
    <w:semiHidden/>
    <w:unhideWhenUsed/>
    <w:rsid w:val="000B3CEF"/>
    <w:rPr>
      <w:b/>
      <w:bCs/>
    </w:rPr>
  </w:style>
  <w:style w:type="character" w:customStyle="1" w:styleId="AsuntodelcomentarioCar">
    <w:name w:val="Asunto del comentario Car"/>
    <w:basedOn w:val="TextocomentarioCar"/>
    <w:link w:val="Asuntodelcomentario"/>
    <w:uiPriority w:val="99"/>
    <w:semiHidden/>
    <w:rsid w:val="000B3CEF"/>
    <w:rPr>
      <w:b/>
      <w:bCs/>
      <w:sz w:val="20"/>
      <w:szCs w:val="20"/>
    </w:rPr>
  </w:style>
  <w:style w:type="paragraph" w:styleId="Textodeglobo">
    <w:name w:val="Balloon Text"/>
    <w:basedOn w:val="Normal"/>
    <w:link w:val="TextodegloboCar"/>
    <w:uiPriority w:val="99"/>
    <w:semiHidden/>
    <w:unhideWhenUsed/>
    <w:rsid w:val="000B3C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3CEF"/>
    <w:rPr>
      <w:rFonts w:ascii="Segoe UI" w:hAnsi="Segoe UI" w:cs="Segoe UI"/>
      <w:sz w:val="18"/>
      <w:szCs w:val="18"/>
    </w:rPr>
  </w:style>
  <w:style w:type="table" w:styleId="Tabladecuadrcula4-nfasis5">
    <w:name w:val="Grid Table 4 Accent 5"/>
    <w:basedOn w:val="Tablanormal"/>
    <w:uiPriority w:val="49"/>
    <w:rsid w:val="00E16DB1"/>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notapie">
    <w:name w:val="footnote text"/>
    <w:basedOn w:val="Normal"/>
    <w:link w:val="TextonotapieCar"/>
    <w:uiPriority w:val="99"/>
    <w:unhideWhenUsed/>
    <w:rsid w:val="008A3771"/>
    <w:pPr>
      <w:spacing w:after="0" w:line="240" w:lineRule="auto"/>
    </w:pPr>
    <w:rPr>
      <w:sz w:val="20"/>
      <w:szCs w:val="20"/>
    </w:rPr>
  </w:style>
  <w:style w:type="character" w:customStyle="1" w:styleId="TextonotapieCar">
    <w:name w:val="Texto nota pie Car"/>
    <w:basedOn w:val="Fuentedeprrafopredeter"/>
    <w:link w:val="Textonotapie"/>
    <w:uiPriority w:val="99"/>
    <w:rsid w:val="008A3771"/>
    <w:rPr>
      <w:sz w:val="20"/>
      <w:szCs w:val="20"/>
    </w:rPr>
  </w:style>
  <w:style w:type="character" w:styleId="Refdenotaalpie">
    <w:name w:val="footnote reference"/>
    <w:basedOn w:val="Fuentedeprrafopredeter"/>
    <w:uiPriority w:val="99"/>
    <w:semiHidden/>
    <w:unhideWhenUsed/>
    <w:rsid w:val="008A3771"/>
    <w:rPr>
      <w:vertAlign w:val="superscript"/>
    </w:rPr>
  </w:style>
  <w:style w:type="paragraph" w:styleId="Piedepgina">
    <w:name w:val="footer"/>
    <w:basedOn w:val="Normal"/>
    <w:link w:val="PiedepginaCar"/>
    <w:uiPriority w:val="99"/>
    <w:unhideWhenUsed/>
    <w:rsid w:val="00FF28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282E"/>
  </w:style>
  <w:style w:type="paragraph" w:styleId="Encabezado">
    <w:name w:val="header"/>
    <w:basedOn w:val="Normal"/>
    <w:link w:val="EncabezadoCar"/>
    <w:uiPriority w:val="99"/>
    <w:unhideWhenUsed/>
    <w:rsid w:val="000F05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054A"/>
  </w:style>
  <w:style w:type="character" w:styleId="Hipervnculovisitado">
    <w:name w:val="FollowedHyperlink"/>
    <w:basedOn w:val="Fuentedeprrafopredeter"/>
    <w:uiPriority w:val="99"/>
    <w:semiHidden/>
    <w:unhideWhenUsed/>
    <w:rsid w:val="00631508"/>
    <w:rPr>
      <w:color w:val="954F72" w:themeColor="followedHyperlink"/>
      <w:u w:val="single"/>
    </w:rPr>
  </w:style>
  <w:style w:type="paragraph" w:styleId="NormalWeb">
    <w:name w:val="Normal (Web)"/>
    <w:basedOn w:val="Normal"/>
    <w:uiPriority w:val="99"/>
    <w:semiHidden/>
    <w:unhideWhenUsed/>
    <w:rsid w:val="00A0231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translate">
    <w:name w:val="notranslate"/>
    <w:basedOn w:val="Fuentedeprrafopredeter"/>
    <w:rsid w:val="00A02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4733">
      <w:bodyDiv w:val="1"/>
      <w:marLeft w:val="0"/>
      <w:marRight w:val="0"/>
      <w:marTop w:val="0"/>
      <w:marBottom w:val="0"/>
      <w:divBdr>
        <w:top w:val="none" w:sz="0" w:space="0" w:color="auto"/>
        <w:left w:val="none" w:sz="0" w:space="0" w:color="auto"/>
        <w:bottom w:val="none" w:sz="0" w:space="0" w:color="auto"/>
        <w:right w:val="none" w:sz="0" w:space="0" w:color="auto"/>
      </w:divBdr>
    </w:div>
    <w:div w:id="108939796">
      <w:bodyDiv w:val="1"/>
      <w:marLeft w:val="0"/>
      <w:marRight w:val="0"/>
      <w:marTop w:val="0"/>
      <w:marBottom w:val="0"/>
      <w:divBdr>
        <w:top w:val="none" w:sz="0" w:space="0" w:color="auto"/>
        <w:left w:val="none" w:sz="0" w:space="0" w:color="auto"/>
        <w:bottom w:val="none" w:sz="0" w:space="0" w:color="auto"/>
        <w:right w:val="none" w:sz="0" w:space="0" w:color="auto"/>
      </w:divBdr>
    </w:div>
    <w:div w:id="122240474">
      <w:bodyDiv w:val="1"/>
      <w:marLeft w:val="0"/>
      <w:marRight w:val="0"/>
      <w:marTop w:val="0"/>
      <w:marBottom w:val="0"/>
      <w:divBdr>
        <w:top w:val="none" w:sz="0" w:space="0" w:color="auto"/>
        <w:left w:val="none" w:sz="0" w:space="0" w:color="auto"/>
        <w:bottom w:val="none" w:sz="0" w:space="0" w:color="auto"/>
        <w:right w:val="none" w:sz="0" w:space="0" w:color="auto"/>
      </w:divBdr>
    </w:div>
    <w:div w:id="146744950">
      <w:bodyDiv w:val="1"/>
      <w:marLeft w:val="0"/>
      <w:marRight w:val="0"/>
      <w:marTop w:val="0"/>
      <w:marBottom w:val="0"/>
      <w:divBdr>
        <w:top w:val="none" w:sz="0" w:space="0" w:color="auto"/>
        <w:left w:val="none" w:sz="0" w:space="0" w:color="auto"/>
        <w:bottom w:val="none" w:sz="0" w:space="0" w:color="auto"/>
        <w:right w:val="none" w:sz="0" w:space="0" w:color="auto"/>
      </w:divBdr>
    </w:div>
    <w:div w:id="161167870">
      <w:bodyDiv w:val="1"/>
      <w:marLeft w:val="0"/>
      <w:marRight w:val="0"/>
      <w:marTop w:val="0"/>
      <w:marBottom w:val="0"/>
      <w:divBdr>
        <w:top w:val="none" w:sz="0" w:space="0" w:color="auto"/>
        <w:left w:val="none" w:sz="0" w:space="0" w:color="auto"/>
        <w:bottom w:val="none" w:sz="0" w:space="0" w:color="auto"/>
        <w:right w:val="none" w:sz="0" w:space="0" w:color="auto"/>
      </w:divBdr>
    </w:div>
    <w:div w:id="229122672">
      <w:bodyDiv w:val="1"/>
      <w:marLeft w:val="0"/>
      <w:marRight w:val="0"/>
      <w:marTop w:val="0"/>
      <w:marBottom w:val="0"/>
      <w:divBdr>
        <w:top w:val="none" w:sz="0" w:space="0" w:color="auto"/>
        <w:left w:val="none" w:sz="0" w:space="0" w:color="auto"/>
        <w:bottom w:val="none" w:sz="0" w:space="0" w:color="auto"/>
        <w:right w:val="none" w:sz="0" w:space="0" w:color="auto"/>
      </w:divBdr>
    </w:div>
    <w:div w:id="265893685">
      <w:bodyDiv w:val="1"/>
      <w:marLeft w:val="0"/>
      <w:marRight w:val="0"/>
      <w:marTop w:val="0"/>
      <w:marBottom w:val="0"/>
      <w:divBdr>
        <w:top w:val="none" w:sz="0" w:space="0" w:color="auto"/>
        <w:left w:val="none" w:sz="0" w:space="0" w:color="auto"/>
        <w:bottom w:val="none" w:sz="0" w:space="0" w:color="auto"/>
        <w:right w:val="none" w:sz="0" w:space="0" w:color="auto"/>
      </w:divBdr>
    </w:div>
    <w:div w:id="328410597">
      <w:bodyDiv w:val="1"/>
      <w:marLeft w:val="0"/>
      <w:marRight w:val="0"/>
      <w:marTop w:val="0"/>
      <w:marBottom w:val="0"/>
      <w:divBdr>
        <w:top w:val="none" w:sz="0" w:space="0" w:color="auto"/>
        <w:left w:val="none" w:sz="0" w:space="0" w:color="auto"/>
        <w:bottom w:val="none" w:sz="0" w:space="0" w:color="auto"/>
        <w:right w:val="none" w:sz="0" w:space="0" w:color="auto"/>
      </w:divBdr>
    </w:div>
    <w:div w:id="438183877">
      <w:bodyDiv w:val="1"/>
      <w:marLeft w:val="0"/>
      <w:marRight w:val="0"/>
      <w:marTop w:val="0"/>
      <w:marBottom w:val="0"/>
      <w:divBdr>
        <w:top w:val="none" w:sz="0" w:space="0" w:color="auto"/>
        <w:left w:val="none" w:sz="0" w:space="0" w:color="auto"/>
        <w:bottom w:val="none" w:sz="0" w:space="0" w:color="auto"/>
        <w:right w:val="none" w:sz="0" w:space="0" w:color="auto"/>
      </w:divBdr>
    </w:div>
    <w:div w:id="565536486">
      <w:bodyDiv w:val="1"/>
      <w:marLeft w:val="0"/>
      <w:marRight w:val="0"/>
      <w:marTop w:val="0"/>
      <w:marBottom w:val="0"/>
      <w:divBdr>
        <w:top w:val="none" w:sz="0" w:space="0" w:color="auto"/>
        <w:left w:val="none" w:sz="0" w:space="0" w:color="auto"/>
        <w:bottom w:val="none" w:sz="0" w:space="0" w:color="auto"/>
        <w:right w:val="none" w:sz="0" w:space="0" w:color="auto"/>
      </w:divBdr>
    </w:div>
    <w:div w:id="579757755">
      <w:bodyDiv w:val="1"/>
      <w:marLeft w:val="0"/>
      <w:marRight w:val="0"/>
      <w:marTop w:val="0"/>
      <w:marBottom w:val="0"/>
      <w:divBdr>
        <w:top w:val="none" w:sz="0" w:space="0" w:color="auto"/>
        <w:left w:val="none" w:sz="0" w:space="0" w:color="auto"/>
        <w:bottom w:val="none" w:sz="0" w:space="0" w:color="auto"/>
        <w:right w:val="none" w:sz="0" w:space="0" w:color="auto"/>
      </w:divBdr>
    </w:div>
    <w:div w:id="805705321">
      <w:bodyDiv w:val="1"/>
      <w:marLeft w:val="0"/>
      <w:marRight w:val="0"/>
      <w:marTop w:val="0"/>
      <w:marBottom w:val="0"/>
      <w:divBdr>
        <w:top w:val="none" w:sz="0" w:space="0" w:color="auto"/>
        <w:left w:val="none" w:sz="0" w:space="0" w:color="auto"/>
        <w:bottom w:val="none" w:sz="0" w:space="0" w:color="auto"/>
        <w:right w:val="none" w:sz="0" w:space="0" w:color="auto"/>
      </w:divBdr>
    </w:div>
    <w:div w:id="843130856">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898323823">
      <w:bodyDiv w:val="1"/>
      <w:marLeft w:val="0"/>
      <w:marRight w:val="0"/>
      <w:marTop w:val="0"/>
      <w:marBottom w:val="0"/>
      <w:divBdr>
        <w:top w:val="none" w:sz="0" w:space="0" w:color="auto"/>
        <w:left w:val="none" w:sz="0" w:space="0" w:color="auto"/>
        <w:bottom w:val="none" w:sz="0" w:space="0" w:color="auto"/>
        <w:right w:val="none" w:sz="0" w:space="0" w:color="auto"/>
      </w:divBdr>
    </w:div>
    <w:div w:id="901716084">
      <w:bodyDiv w:val="1"/>
      <w:marLeft w:val="0"/>
      <w:marRight w:val="0"/>
      <w:marTop w:val="0"/>
      <w:marBottom w:val="0"/>
      <w:divBdr>
        <w:top w:val="none" w:sz="0" w:space="0" w:color="auto"/>
        <w:left w:val="none" w:sz="0" w:space="0" w:color="auto"/>
        <w:bottom w:val="none" w:sz="0" w:space="0" w:color="auto"/>
        <w:right w:val="none" w:sz="0" w:space="0" w:color="auto"/>
      </w:divBdr>
    </w:div>
    <w:div w:id="922833176">
      <w:bodyDiv w:val="1"/>
      <w:marLeft w:val="0"/>
      <w:marRight w:val="0"/>
      <w:marTop w:val="0"/>
      <w:marBottom w:val="0"/>
      <w:divBdr>
        <w:top w:val="none" w:sz="0" w:space="0" w:color="auto"/>
        <w:left w:val="none" w:sz="0" w:space="0" w:color="auto"/>
        <w:bottom w:val="none" w:sz="0" w:space="0" w:color="auto"/>
        <w:right w:val="none" w:sz="0" w:space="0" w:color="auto"/>
      </w:divBdr>
    </w:div>
    <w:div w:id="991182648">
      <w:bodyDiv w:val="1"/>
      <w:marLeft w:val="0"/>
      <w:marRight w:val="0"/>
      <w:marTop w:val="0"/>
      <w:marBottom w:val="0"/>
      <w:divBdr>
        <w:top w:val="none" w:sz="0" w:space="0" w:color="auto"/>
        <w:left w:val="none" w:sz="0" w:space="0" w:color="auto"/>
        <w:bottom w:val="none" w:sz="0" w:space="0" w:color="auto"/>
        <w:right w:val="none" w:sz="0" w:space="0" w:color="auto"/>
      </w:divBdr>
    </w:div>
    <w:div w:id="1016274804">
      <w:bodyDiv w:val="1"/>
      <w:marLeft w:val="0"/>
      <w:marRight w:val="0"/>
      <w:marTop w:val="0"/>
      <w:marBottom w:val="0"/>
      <w:divBdr>
        <w:top w:val="none" w:sz="0" w:space="0" w:color="auto"/>
        <w:left w:val="none" w:sz="0" w:space="0" w:color="auto"/>
        <w:bottom w:val="none" w:sz="0" w:space="0" w:color="auto"/>
        <w:right w:val="none" w:sz="0" w:space="0" w:color="auto"/>
      </w:divBdr>
    </w:div>
    <w:div w:id="1043797719">
      <w:bodyDiv w:val="1"/>
      <w:marLeft w:val="0"/>
      <w:marRight w:val="0"/>
      <w:marTop w:val="0"/>
      <w:marBottom w:val="0"/>
      <w:divBdr>
        <w:top w:val="none" w:sz="0" w:space="0" w:color="auto"/>
        <w:left w:val="none" w:sz="0" w:space="0" w:color="auto"/>
        <w:bottom w:val="none" w:sz="0" w:space="0" w:color="auto"/>
        <w:right w:val="none" w:sz="0" w:space="0" w:color="auto"/>
      </w:divBdr>
    </w:div>
    <w:div w:id="1120219134">
      <w:bodyDiv w:val="1"/>
      <w:marLeft w:val="0"/>
      <w:marRight w:val="0"/>
      <w:marTop w:val="0"/>
      <w:marBottom w:val="0"/>
      <w:divBdr>
        <w:top w:val="none" w:sz="0" w:space="0" w:color="auto"/>
        <w:left w:val="none" w:sz="0" w:space="0" w:color="auto"/>
        <w:bottom w:val="none" w:sz="0" w:space="0" w:color="auto"/>
        <w:right w:val="none" w:sz="0" w:space="0" w:color="auto"/>
      </w:divBdr>
    </w:div>
    <w:div w:id="1158692164">
      <w:bodyDiv w:val="1"/>
      <w:marLeft w:val="0"/>
      <w:marRight w:val="0"/>
      <w:marTop w:val="0"/>
      <w:marBottom w:val="0"/>
      <w:divBdr>
        <w:top w:val="none" w:sz="0" w:space="0" w:color="auto"/>
        <w:left w:val="none" w:sz="0" w:space="0" w:color="auto"/>
        <w:bottom w:val="none" w:sz="0" w:space="0" w:color="auto"/>
        <w:right w:val="none" w:sz="0" w:space="0" w:color="auto"/>
      </w:divBdr>
    </w:div>
    <w:div w:id="1221526317">
      <w:bodyDiv w:val="1"/>
      <w:marLeft w:val="0"/>
      <w:marRight w:val="0"/>
      <w:marTop w:val="0"/>
      <w:marBottom w:val="0"/>
      <w:divBdr>
        <w:top w:val="none" w:sz="0" w:space="0" w:color="auto"/>
        <w:left w:val="none" w:sz="0" w:space="0" w:color="auto"/>
        <w:bottom w:val="none" w:sz="0" w:space="0" w:color="auto"/>
        <w:right w:val="none" w:sz="0" w:space="0" w:color="auto"/>
      </w:divBdr>
    </w:div>
    <w:div w:id="1264075166">
      <w:bodyDiv w:val="1"/>
      <w:marLeft w:val="0"/>
      <w:marRight w:val="0"/>
      <w:marTop w:val="0"/>
      <w:marBottom w:val="0"/>
      <w:divBdr>
        <w:top w:val="none" w:sz="0" w:space="0" w:color="auto"/>
        <w:left w:val="none" w:sz="0" w:space="0" w:color="auto"/>
        <w:bottom w:val="none" w:sz="0" w:space="0" w:color="auto"/>
        <w:right w:val="none" w:sz="0" w:space="0" w:color="auto"/>
      </w:divBdr>
    </w:div>
    <w:div w:id="1275751768">
      <w:bodyDiv w:val="1"/>
      <w:marLeft w:val="0"/>
      <w:marRight w:val="0"/>
      <w:marTop w:val="0"/>
      <w:marBottom w:val="0"/>
      <w:divBdr>
        <w:top w:val="none" w:sz="0" w:space="0" w:color="auto"/>
        <w:left w:val="none" w:sz="0" w:space="0" w:color="auto"/>
        <w:bottom w:val="none" w:sz="0" w:space="0" w:color="auto"/>
        <w:right w:val="none" w:sz="0" w:space="0" w:color="auto"/>
      </w:divBdr>
    </w:div>
    <w:div w:id="1357652275">
      <w:bodyDiv w:val="1"/>
      <w:marLeft w:val="0"/>
      <w:marRight w:val="0"/>
      <w:marTop w:val="0"/>
      <w:marBottom w:val="0"/>
      <w:divBdr>
        <w:top w:val="none" w:sz="0" w:space="0" w:color="auto"/>
        <w:left w:val="none" w:sz="0" w:space="0" w:color="auto"/>
        <w:bottom w:val="none" w:sz="0" w:space="0" w:color="auto"/>
        <w:right w:val="none" w:sz="0" w:space="0" w:color="auto"/>
      </w:divBdr>
    </w:div>
    <w:div w:id="1403603375">
      <w:bodyDiv w:val="1"/>
      <w:marLeft w:val="0"/>
      <w:marRight w:val="0"/>
      <w:marTop w:val="0"/>
      <w:marBottom w:val="0"/>
      <w:divBdr>
        <w:top w:val="none" w:sz="0" w:space="0" w:color="auto"/>
        <w:left w:val="none" w:sz="0" w:space="0" w:color="auto"/>
        <w:bottom w:val="none" w:sz="0" w:space="0" w:color="auto"/>
        <w:right w:val="none" w:sz="0" w:space="0" w:color="auto"/>
      </w:divBdr>
    </w:div>
    <w:div w:id="1437404327">
      <w:bodyDiv w:val="1"/>
      <w:marLeft w:val="0"/>
      <w:marRight w:val="0"/>
      <w:marTop w:val="0"/>
      <w:marBottom w:val="0"/>
      <w:divBdr>
        <w:top w:val="none" w:sz="0" w:space="0" w:color="auto"/>
        <w:left w:val="none" w:sz="0" w:space="0" w:color="auto"/>
        <w:bottom w:val="none" w:sz="0" w:space="0" w:color="auto"/>
        <w:right w:val="none" w:sz="0" w:space="0" w:color="auto"/>
      </w:divBdr>
    </w:div>
    <w:div w:id="1453280219">
      <w:bodyDiv w:val="1"/>
      <w:marLeft w:val="0"/>
      <w:marRight w:val="0"/>
      <w:marTop w:val="0"/>
      <w:marBottom w:val="0"/>
      <w:divBdr>
        <w:top w:val="none" w:sz="0" w:space="0" w:color="auto"/>
        <w:left w:val="none" w:sz="0" w:space="0" w:color="auto"/>
        <w:bottom w:val="none" w:sz="0" w:space="0" w:color="auto"/>
        <w:right w:val="none" w:sz="0" w:space="0" w:color="auto"/>
      </w:divBdr>
    </w:div>
    <w:div w:id="1527065203">
      <w:bodyDiv w:val="1"/>
      <w:marLeft w:val="0"/>
      <w:marRight w:val="0"/>
      <w:marTop w:val="0"/>
      <w:marBottom w:val="0"/>
      <w:divBdr>
        <w:top w:val="none" w:sz="0" w:space="0" w:color="auto"/>
        <w:left w:val="none" w:sz="0" w:space="0" w:color="auto"/>
        <w:bottom w:val="none" w:sz="0" w:space="0" w:color="auto"/>
        <w:right w:val="none" w:sz="0" w:space="0" w:color="auto"/>
      </w:divBdr>
    </w:div>
    <w:div w:id="1538660728">
      <w:bodyDiv w:val="1"/>
      <w:marLeft w:val="0"/>
      <w:marRight w:val="0"/>
      <w:marTop w:val="0"/>
      <w:marBottom w:val="0"/>
      <w:divBdr>
        <w:top w:val="none" w:sz="0" w:space="0" w:color="auto"/>
        <w:left w:val="none" w:sz="0" w:space="0" w:color="auto"/>
        <w:bottom w:val="none" w:sz="0" w:space="0" w:color="auto"/>
        <w:right w:val="none" w:sz="0" w:space="0" w:color="auto"/>
      </w:divBdr>
    </w:div>
    <w:div w:id="1570651783">
      <w:bodyDiv w:val="1"/>
      <w:marLeft w:val="0"/>
      <w:marRight w:val="0"/>
      <w:marTop w:val="0"/>
      <w:marBottom w:val="0"/>
      <w:divBdr>
        <w:top w:val="none" w:sz="0" w:space="0" w:color="auto"/>
        <w:left w:val="none" w:sz="0" w:space="0" w:color="auto"/>
        <w:bottom w:val="none" w:sz="0" w:space="0" w:color="auto"/>
        <w:right w:val="none" w:sz="0" w:space="0" w:color="auto"/>
      </w:divBdr>
    </w:div>
    <w:div w:id="1604997109">
      <w:bodyDiv w:val="1"/>
      <w:marLeft w:val="0"/>
      <w:marRight w:val="0"/>
      <w:marTop w:val="0"/>
      <w:marBottom w:val="0"/>
      <w:divBdr>
        <w:top w:val="none" w:sz="0" w:space="0" w:color="auto"/>
        <w:left w:val="none" w:sz="0" w:space="0" w:color="auto"/>
        <w:bottom w:val="none" w:sz="0" w:space="0" w:color="auto"/>
        <w:right w:val="none" w:sz="0" w:space="0" w:color="auto"/>
      </w:divBdr>
    </w:div>
    <w:div w:id="1605730301">
      <w:bodyDiv w:val="1"/>
      <w:marLeft w:val="0"/>
      <w:marRight w:val="0"/>
      <w:marTop w:val="0"/>
      <w:marBottom w:val="0"/>
      <w:divBdr>
        <w:top w:val="none" w:sz="0" w:space="0" w:color="auto"/>
        <w:left w:val="none" w:sz="0" w:space="0" w:color="auto"/>
        <w:bottom w:val="none" w:sz="0" w:space="0" w:color="auto"/>
        <w:right w:val="none" w:sz="0" w:space="0" w:color="auto"/>
      </w:divBdr>
    </w:div>
    <w:div w:id="1669481809">
      <w:bodyDiv w:val="1"/>
      <w:marLeft w:val="0"/>
      <w:marRight w:val="0"/>
      <w:marTop w:val="0"/>
      <w:marBottom w:val="0"/>
      <w:divBdr>
        <w:top w:val="none" w:sz="0" w:space="0" w:color="auto"/>
        <w:left w:val="none" w:sz="0" w:space="0" w:color="auto"/>
        <w:bottom w:val="none" w:sz="0" w:space="0" w:color="auto"/>
        <w:right w:val="none" w:sz="0" w:space="0" w:color="auto"/>
      </w:divBdr>
    </w:div>
    <w:div w:id="1694696052">
      <w:bodyDiv w:val="1"/>
      <w:marLeft w:val="0"/>
      <w:marRight w:val="0"/>
      <w:marTop w:val="0"/>
      <w:marBottom w:val="0"/>
      <w:divBdr>
        <w:top w:val="none" w:sz="0" w:space="0" w:color="auto"/>
        <w:left w:val="none" w:sz="0" w:space="0" w:color="auto"/>
        <w:bottom w:val="none" w:sz="0" w:space="0" w:color="auto"/>
        <w:right w:val="none" w:sz="0" w:space="0" w:color="auto"/>
      </w:divBdr>
    </w:div>
    <w:div w:id="1699507544">
      <w:bodyDiv w:val="1"/>
      <w:marLeft w:val="0"/>
      <w:marRight w:val="0"/>
      <w:marTop w:val="0"/>
      <w:marBottom w:val="0"/>
      <w:divBdr>
        <w:top w:val="none" w:sz="0" w:space="0" w:color="auto"/>
        <w:left w:val="none" w:sz="0" w:space="0" w:color="auto"/>
        <w:bottom w:val="none" w:sz="0" w:space="0" w:color="auto"/>
        <w:right w:val="none" w:sz="0" w:space="0" w:color="auto"/>
      </w:divBdr>
    </w:div>
    <w:div w:id="1715614613">
      <w:bodyDiv w:val="1"/>
      <w:marLeft w:val="0"/>
      <w:marRight w:val="0"/>
      <w:marTop w:val="0"/>
      <w:marBottom w:val="0"/>
      <w:divBdr>
        <w:top w:val="none" w:sz="0" w:space="0" w:color="auto"/>
        <w:left w:val="none" w:sz="0" w:space="0" w:color="auto"/>
        <w:bottom w:val="none" w:sz="0" w:space="0" w:color="auto"/>
        <w:right w:val="none" w:sz="0" w:space="0" w:color="auto"/>
      </w:divBdr>
    </w:div>
    <w:div w:id="1757634551">
      <w:bodyDiv w:val="1"/>
      <w:marLeft w:val="0"/>
      <w:marRight w:val="0"/>
      <w:marTop w:val="0"/>
      <w:marBottom w:val="0"/>
      <w:divBdr>
        <w:top w:val="none" w:sz="0" w:space="0" w:color="auto"/>
        <w:left w:val="none" w:sz="0" w:space="0" w:color="auto"/>
        <w:bottom w:val="none" w:sz="0" w:space="0" w:color="auto"/>
        <w:right w:val="none" w:sz="0" w:space="0" w:color="auto"/>
      </w:divBdr>
    </w:div>
    <w:div w:id="1762026230">
      <w:bodyDiv w:val="1"/>
      <w:marLeft w:val="0"/>
      <w:marRight w:val="0"/>
      <w:marTop w:val="0"/>
      <w:marBottom w:val="0"/>
      <w:divBdr>
        <w:top w:val="none" w:sz="0" w:space="0" w:color="auto"/>
        <w:left w:val="none" w:sz="0" w:space="0" w:color="auto"/>
        <w:bottom w:val="none" w:sz="0" w:space="0" w:color="auto"/>
        <w:right w:val="none" w:sz="0" w:space="0" w:color="auto"/>
      </w:divBdr>
    </w:div>
    <w:div w:id="1780638179">
      <w:bodyDiv w:val="1"/>
      <w:marLeft w:val="0"/>
      <w:marRight w:val="0"/>
      <w:marTop w:val="0"/>
      <w:marBottom w:val="0"/>
      <w:divBdr>
        <w:top w:val="none" w:sz="0" w:space="0" w:color="auto"/>
        <w:left w:val="none" w:sz="0" w:space="0" w:color="auto"/>
        <w:bottom w:val="none" w:sz="0" w:space="0" w:color="auto"/>
        <w:right w:val="none" w:sz="0" w:space="0" w:color="auto"/>
      </w:divBdr>
    </w:div>
    <w:div w:id="1828786456">
      <w:bodyDiv w:val="1"/>
      <w:marLeft w:val="0"/>
      <w:marRight w:val="0"/>
      <w:marTop w:val="0"/>
      <w:marBottom w:val="0"/>
      <w:divBdr>
        <w:top w:val="none" w:sz="0" w:space="0" w:color="auto"/>
        <w:left w:val="none" w:sz="0" w:space="0" w:color="auto"/>
        <w:bottom w:val="none" w:sz="0" w:space="0" w:color="auto"/>
        <w:right w:val="none" w:sz="0" w:space="0" w:color="auto"/>
      </w:divBdr>
    </w:div>
    <w:div w:id="1865364376">
      <w:bodyDiv w:val="1"/>
      <w:marLeft w:val="0"/>
      <w:marRight w:val="0"/>
      <w:marTop w:val="0"/>
      <w:marBottom w:val="0"/>
      <w:divBdr>
        <w:top w:val="none" w:sz="0" w:space="0" w:color="auto"/>
        <w:left w:val="none" w:sz="0" w:space="0" w:color="auto"/>
        <w:bottom w:val="none" w:sz="0" w:space="0" w:color="auto"/>
        <w:right w:val="none" w:sz="0" w:space="0" w:color="auto"/>
      </w:divBdr>
    </w:div>
    <w:div w:id="1923907023">
      <w:bodyDiv w:val="1"/>
      <w:marLeft w:val="0"/>
      <w:marRight w:val="0"/>
      <w:marTop w:val="0"/>
      <w:marBottom w:val="0"/>
      <w:divBdr>
        <w:top w:val="none" w:sz="0" w:space="0" w:color="auto"/>
        <w:left w:val="none" w:sz="0" w:space="0" w:color="auto"/>
        <w:bottom w:val="none" w:sz="0" w:space="0" w:color="auto"/>
        <w:right w:val="none" w:sz="0" w:space="0" w:color="auto"/>
      </w:divBdr>
    </w:div>
    <w:div w:id="1949197896">
      <w:bodyDiv w:val="1"/>
      <w:marLeft w:val="0"/>
      <w:marRight w:val="0"/>
      <w:marTop w:val="0"/>
      <w:marBottom w:val="0"/>
      <w:divBdr>
        <w:top w:val="none" w:sz="0" w:space="0" w:color="auto"/>
        <w:left w:val="none" w:sz="0" w:space="0" w:color="auto"/>
        <w:bottom w:val="none" w:sz="0" w:space="0" w:color="auto"/>
        <w:right w:val="none" w:sz="0" w:space="0" w:color="auto"/>
      </w:divBdr>
    </w:div>
    <w:div w:id="1987203324">
      <w:bodyDiv w:val="1"/>
      <w:marLeft w:val="0"/>
      <w:marRight w:val="0"/>
      <w:marTop w:val="0"/>
      <w:marBottom w:val="0"/>
      <w:divBdr>
        <w:top w:val="none" w:sz="0" w:space="0" w:color="auto"/>
        <w:left w:val="none" w:sz="0" w:space="0" w:color="auto"/>
        <w:bottom w:val="none" w:sz="0" w:space="0" w:color="auto"/>
        <w:right w:val="none" w:sz="0" w:space="0" w:color="auto"/>
      </w:divBdr>
    </w:div>
    <w:div w:id="1991975697">
      <w:bodyDiv w:val="1"/>
      <w:marLeft w:val="0"/>
      <w:marRight w:val="0"/>
      <w:marTop w:val="0"/>
      <w:marBottom w:val="0"/>
      <w:divBdr>
        <w:top w:val="none" w:sz="0" w:space="0" w:color="auto"/>
        <w:left w:val="none" w:sz="0" w:space="0" w:color="auto"/>
        <w:bottom w:val="none" w:sz="0" w:space="0" w:color="auto"/>
        <w:right w:val="none" w:sz="0" w:space="0" w:color="auto"/>
      </w:divBdr>
    </w:div>
    <w:div w:id="2001955832">
      <w:bodyDiv w:val="1"/>
      <w:marLeft w:val="0"/>
      <w:marRight w:val="0"/>
      <w:marTop w:val="0"/>
      <w:marBottom w:val="0"/>
      <w:divBdr>
        <w:top w:val="none" w:sz="0" w:space="0" w:color="auto"/>
        <w:left w:val="none" w:sz="0" w:space="0" w:color="auto"/>
        <w:bottom w:val="none" w:sz="0" w:space="0" w:color="auto"/>
        <w:right w:val="none" w:sz="0" w:space="0" w:color="auto"/>
      </w:divBdr>
    </w:div>
    <w:div w:id="2044354579">
      <w:bodyDiv w:val="1"/>
      <w:marLeft w:val="0"/>
      <w:marRight w:val="0"/>
      <w:marTop w:val="0"/>
      <w:marBottom w:val="0"/>
      <w:divBdr>
        <w:top w:val="none" w:sz="0" w:space="0" w:color="auto"/>
        <w:left w:val="none" w:sz="0" w:space="0" w:color="auto"/>
        <w:bottom w:val="none" w:sz="0" w:space="0" w:color="auto"/>
        <w:right w:val="none" w:sz="0" w:space="0" w:color="auto"/>
      </w:divBdr>
    </w:div>
    <w:div w:id="2064988255">
      <w:bodyDiv w:val="1"/>
      <w:marLeft w:val="0"/>
      <w:marRight w:val="0"/>
      <w:marTop w:val="0"/>
      <w:marBottom w:val="0"/>
      <w:divBdr>
        <w:top w:val="none" w:sz="0" w:space="0" w:color="auto"/>
        <w:left w:val="none" w:sz="0" w:space="0" w:color="auto"/>
        <w:bottom w:val="none" w:sz="0" w:space="0" w:color="auto"/>
        <w:right w:val="none" w:sz="0" w:space="0" w:color="auto"/>
      </w:divBdr>
    </w:div>
    <w:div w:id="207319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_rels/footnotes.xml.rels><?xml version="1.0" encoding="UTF-8" standalone="yes"?>
<Relationships xmlns="http://schemas.openxmlformats.org/package/2006/relationships"><Relationship Id="rId1" Type="http://schemas.openxmlformats.org/officeDocument/2006/relationships/hyperlink" Target="https://tec.mx/es/diferencia-tec/numeralia/datos-y-cifra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ropbox\DGEI%20-%20UNAM\Reportes%20Rankings\Estadisticas\Ranking%20THE%202020%20(1109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ropbox\DGEI%20-%20UNAM\Reportes%20Rankings\Estadisticas\Ranking%20THE%202020%20(1109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Paises!$A$1</c:f>
              <c:strCache>
                <c:ptCount val="1"/>
                <c:pt idx="0">
                  <c:v>Brasil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Paises!$B$1</c:f>
              <c:numCache>
                <c:formatCode>General</c:formatCode>
                <c:ptCount val="1"/>
                <c:pt idx="0">
                  <c:v>46</c:v>
                </c:pt>
              </c:numCache>
            </c:numRef>
          </c:val>
        </c:ser>
        <c:ser>
          <c:idx val="1"/>
          <c:order val="1"/>
          <c:tx>
            <c:strRef>
              <c:f>Paises!$A$2</c:f>
              <c:strCache>
                <c:ptCount val="1"/>
                <c:pt idx="0">
                  <c:v>España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Paises!$B$2</c:f>
              <c:numCache>
                <c:formatCode>General</c:formatCode>
                <c:ptCount val="1"/>
                <c:pt idx="0">
                  <c:v>45</c:v>
                </c:pt>
              </c:numCache>
            </c:numRef>
          </c:val>
        </c:ser>
        <c:ser>
          <c:idx val="2"/>
          <c:order val="2"/>
          <c:tx>
            <c:strRef>
              <c:f>Paises!$A$3</c:f>
              <c:strCache>
                <c:ptCount val="1"/>
                <c:pt idx="0">
                  <c:v>Chile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Paises!$B$3</c:f>
              <c:numCache>
                <c:formatCode>General</c:formatCode>
                <c:ptCount val="1"/>
                <c:pt idx="0">
                  <c:v>18</c:v>
                </c:pt>
              </c:numCache>
            </c:numRef>
          </c:val>
        </c:ser>
        <c:ser>
          <c:idx val="3"/>
          <c:order val="3"/>
          <c:tx>
            <c:strRef>
              <c:f>Paises!$A$4</c:f>
              <c:strCache>
                <c:ptCount val="1"/>
                <c:pt idx="0">
                  <c:v>México</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Paises!$B$4</c:f>
              <c:numCache>
                <c:formatCode>General</c:formatCode>
                <c:ptCount val="1"/>
                <c:pt idx="0">
                  <c:v>17</c:v>
                </c:pt>
              </c:numCache>
            </c:numRef>
          </c:val>
        </c:ser>
        <c:ser>
          <c:idx val="4"/>
          <c:order val="4"/>
          <c:tx>
            <c:strRef>
              <c:f>Paises!$A$5</c:f>
              <c:strCache>
                <c:ptCount val="1"/>
                <c:pt idx="0">
                  <c:v>Portugal</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Paises!$B$5</c:f>
              <c:numCache>
                <c:formatCode>General</c:formatCode>
                <c:ptCount val="1"/>
                <c:pt idx="0">
                  <c:v>13</c:v>
                </c:pt>
              </c:numCache>
            </c:numRef>
          </c:val>
        </c:ser>
        <c:ser>
          <c:idx val="5"/>
          <c:order val="5"/>
          <c:tx>
            <c:strRef>
              <c:f>Paises!$A$6</c:f>
              <c:strCache>
                <c:ptCount val="1"/>
                <c:pt idx="0">
                  <c:v>Colombia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Paises!$B$6</c:f>
              <c:numCache>
                <c:formatCode>General</c:formatCode>
                <c:ptCount val="1"/>
                <c:pt idx="0">
                  <c:v>8</c:v>
                </c:pt>
              </c:numCache>
            </c:numRef>
          </c:val>
        </c:ser>
        <c:ser>
          <c:idx val="6"/>
          <c:order val="6"/>
          <c:tx>
            <c:strRef>
              <c:f>Paises!$A$7</c:f>
              <c:strCache>
                <c:ptCount val="1"/>
                <c:pt idx="0">
                  <c:v>Argentina</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Paises!$B$7</c:f>
              <c:numCache>
                <c:formatCode>General</c:formatCode>
                <c:ptCount val="1"/>
                <c:pt idx="0">
                  <c:v>4</c:v>
                </c:pt>
              </c:numCache>
            </c:numRef>
          </c:val>
        </c:ser>
        <c:ser>
          <c:idx val="7"/>
          <c:order val="7"/>
          <c:tx>
            <c:strRef>
              <c:f>Paises!$A$8</c:f>
              <c:strCache>
                <c:ptCount val="1"/>
                <c:pt idx="0">
                  <c:v>Venezuela</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Paises!$B$8</c:f>
              <c:numCache>
                <c:formatCode>General</c:formatCode>
                <c:ptCount val="1"/>
                <c:pt idx="0">
                  <c:v>2</c:v>
                </c:pt>
              </c:numCache>
            </c:numRef>
          </c:val>
        </c:ser>
        <c:ser>
          <c:idx val="8"/>
          <c:order val="8"/>
          <c:tx>
            <c:strRef>
              <c:f>Paises!$A$9</c:f>
              <c:strCache>
                <c:ptCount val="1"/>
                <c:pt idx="0">
                  <c:v>Perú</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Paises!$B$9</c:f>
              <c:numCache>
                <c:formatCode>General</c:formatCode>
                <c:ptCount val="1"/>
                <c:pt idx="0">
                  <c:v>2</c:v>
                </c:pt>
              </c:numCache>
            </c:numRef>
          </c:val>
        </c:ser>
        <c:ser>
          <c:idx val="9"/>
          <c:order val="9"/>
          <c:tx>
            <c:strRef>
              <c:f>Paises!$A$10</c:f>
              <c:strCache>
                <c:ptCount val="1"/>
                <c:pt idx="0">
                  <c:v>Cuba</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Paises!$B$10</c:f>
              <c:numCache>
                <c:formatCode>General</c:formatCode>
                <c:ptCount val="1"/>
                <c:pt idx="0">
                  <c:v>1</c:v>
                </c:pt>
              </c:numCache>
            </c:numRef>
          </c:val>
        </c:ser>
        <c:ser>
          <c:idx val="10"/>
          <c:order val="10"/>
          <c:tx>
            <c:strRef>
              <c:f>Paises!$A$11</c:f>
              <c:strCache>
                <c:ptCount val="1"/>
                <c:pt idx="0">
                  <c:v>Costa Rica</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Paises!$B$11</c:f>
              <c:numCache>
                <c:formatCode>General</c:formatCode>
                <c:ptCount val="1"/>
                <c:pt idx="0">
                  <c:v>1</c:v>
                </c:pt>
              </c:numCache>
            </c:numRef>
          </c:val>
        </c:ser>
        <c:dLbls>
          <c:dLblPos val="outEnd"/>
          <c:showLegendKey val="0"/>
          <c:showVal val="1"/>
          <c:showCatName val="0"/>
          <c:showSerName val="0"/>
          <c:showPercent val="0"/>
          <c:showBubbleSize val="0"/>
        </c:dLbls>
        <c:gapWidth val="219"/>
        <c:overlap val="-27"/>
        <c:axId val="461581472"/>
        <c:axId val="461581864"/>
      </c:barChart>
      <c:catAx>
        <c:axId val="461581472"/>
        <c:scaling>
          <c:orientation val="minMax"/>
        </c:scaling>
        <c:delete val="1"/>
        <c:axPos val="b"/>
        <c:numFmt formatCode="General" sourceLinked="1"/>
        <c:majorTickMark val="none"/>
        <c:minorTickMark val="none"/>
        <c:tickLblPos val="nextTo"/>
        <c:crossAx val="461581864"/>
        <c:crosses val="autoZero"/>
        <c:auto val="1"/>
        <c:lblAlgn val="ctr"/>
        <c:lblOffset val="100"/>
        <c:noMultiLvlLbl val="0"/>
      </c:catAx>
      <c:valAx>
        <c:axId val="461581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461581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'U Mexicanas'!$X$9</c:f>
              <c:strCache>
                <c:ptCount val="1"/>
                <c:pt idx="0">
                  <c:v>Universidad Autónoma Metropolitana</c:v>
                </c:pt>
              </c:strCache>
            </c:strRef>
          </c:tx>
          <c:spPr>
            <a:ln w="28575" cap="rnd">
              <a:solidFill>
                <a:schemeClr val="accent1"/>
              </a:solidFill>
              <a:round/>
            </a:ln>
            <a:effectLst/>
          </c:spPr>
          <c:marker>
            <c:symbol val="none"/>
          </c:marker>
          <c:cat>
            <c:numRef>
              <c:f>'U Mexicanas'!$Y$8:$AA$8</c:f>
              <c:numCache>
                <c:formatCode>General</c:formatCode>
                <c:ptCount val="3"/>
                <c:pt idx="0">
                  <c:v>2018</c:v>
                </c:pt>
                <c:pt idx="1">
                  <c:v>2019</c:v>
                </c:pt>
                <c:pt idx="2">
                  <c:v>2020</c:v>
                </c:pt>
              </c:numCache>
            </c:numRef>
          </c:cat>
          <c:val>
            <c:numRef>
              <c:f>'U Mexicanas'!$Y$9:$AA$9</c:f>
              <c:numCache>
                <c:formatCode>General</c:formatCode>
                <c:ptCount val="3"/>
                <c:pt idx="0">
                  <c:v>935</c:v>
                </c:pt>
                <c:pt idx="1">
                  <c:v>826</c:v>
                </c:pt>
                <c:pt idx="2">
                  <c:v>657</c:v>
                </c:pt>
              </c:numCache>
            </c:numRef>
          </c:val>
          <c:smooth val="0"/>
        </c:ser>
        <c:ser>
          <c:idx val="1"/>
          <c:order val="1"/>
          <c:tx>
            <c:strRef>
              <c:f>'U Mexicanas'!$X$10</c:f>
              <c:strCache>
                <c:ptCount val="1"/>
                <c:pt idx="0">
                  <c:v>Instituto Tecnológico y de Estudios Superiores de Monterrey</c:v>
                </c:pt>
              </c:strCache>
            </c:strRef>
          </c:tx>
          <c:spPr>
            <a:ln w="28575" cap="rnd">
              <a:solidFill>
                <a:schemeClr val="accent2"/>
              </a:solidFill>
              <a:round/>
            </a:ln>
            <a:effectLst/>
          </c:spPr>
          <c:marker>
            <c:symbol val="none"/>
          </c:marker>
          <c:cat>
            <c:numRef>
              <c:f>'U Mexicanas'!$Y$8:$AA$8</c:f>
              <c:numCache>
                <c:formatCode>General</c:formatCode>
                <c:ptCount val="3"/>
                <c:pt idx="0">
                  <c:v>2018</c:v>
                </c:pt>
                <c:pt idx="1">
                  <c:v>2019</c:v>
                </c:pt>
                <c:pt idx="2">
                  <c:v>2020</c:v>
                </c:pt>
              </c:numCache>
            </c:numRef>
          </c:cat>
          <c:val>
            <c:numRef>
              <c:f>'U Mexicanas'!$Y$10:$AA$10</c:f>
              <c:numCache>
                <c:formatCode>General</c:formatCode>
                <c:ptCount val="3"/>
                <c:pt idx="0">
                  <c:v>653</c:v>
                </c:pt>
                <c:pt idx="1">
                  <c:v>690</c:v>
                </c:pt>
                <c:pt idx="2">
                  <c:v>737</c:v>
                </c:pt>
              </c:numCache>
            </c:numRef>
          </c:val>
          <c:smooth val="0"/>
        </c:ser>
        <c:ser>
          <c:idx val="2"/>
          <c:order val="2"/>
          <c:tx>
            <c:strRef>
              <c:f>'U Mexicanas'!$X$11</c:f>
              <c:strCache>
                <c:ptCount val="1"/>
                <c:pt idx="0">
                  <c:v>Universidad Nacional Autónoma de México</c:v>
                </c:pt>
              </c:strCache>
            </c:strRef>
          </c:tx>
          <c:spPr>
            <a:ln w="28575" cap="rnd">
              <a:solidFill>
                <a:schemeClr val="accent3"/>
              </a:solidFill>
              <a:round/>
            </a:ln>
            <a:effectLst/>
          </c:spPr>
          <c:marker>
            <c:symbol val="none"/>
          </c:marker>
          <c:cat>
            <c:numRef>
              <c:f>'U Mexicanas'!$Y$8:$AA$8</c:f>
              <c:numCache>
                <c:formatCode>General</c:formatCode>
                <c:ptCount val="3"/>
                <c:pt idx="0">
                  <c:v>2018</c:v>
                </c:pt>
                <c:pt idx="1">
                  <c:v>2019</c:v>
                </c:pt>
                <c:pt idx="2">
                  <c:v>2020</c:v>
                </c:pt>
              </c:numCache>
            </c:numRef>
          </c:cat>
          <c:val>
            <c:numRef>
              <c:f>'U Mexicanas'!$Y$11:$AA$11</c:f>
              <c:numCache>
                <c:formatCode>General</c:formatCode>
                <c:ptCount val="3"/>
                <c:pt idx="0">
                  <c:v>631</c:v>
                </c:pt>
                <c:pt idx="1">
                  <c:v>729</c:v>
                </c:pt>
                <c:pt idx="2">
                  <c:v>769</c:v>
                </c:pt>
              </c:numCache>
            </c:numRef>
          </c:val>
          <c:smooth val="0"/>
        </c:ser>
        <c:dLbls>
          <c:showLegendKey val="0"/>
          <c:showVal val="0"/>
          <c:showCatName val="0"/>
          <c:showSerName val="0"/>
          <c:showPercent val="0"/>
          <c:showBubbleSize val="0"/>
        </c:dLbls>
        <c:smooth val="0"/>
        <c:axId val="329723848"/>
        <c:axId val="455487792"/>
      </c:lineChart>
      <c:catAx>
        <c:axId val="329723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crossAx val="455487792"/>
        <c:crosses val="max"/>
        <c:auto val="1"/>
        <c:lblAlgn val="ctr"/>
        <c:lblOffset val="100"/>
        <c:noMultiLvlLbl val="0"/>
      </c:catAx>
      <c:valAx>
        <c:axId val="455487792"/>
        <c:scaling>
          <c:orientation val="maxMin"/>
          <c:min val="5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crossAx val="329723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D6AAE-2D76-4F93-AE96-553DD049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7</Pages>
  <Words>2146</Words>
  <Characters>11805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DGEI Sala de juntas</dc:creator>
  <cp:keywords/>
  <dc:description/>
  <cp:lastModifiedBy>admin</cp:lastModifiedBy>
  <cp:revision>67</cp:revision>
  <cp:lastPrinted>2019-09-12T16:10:00Z</cp:lastPrinted>
  <dcterms:created xsi:type="dcterms:W3CDTF">2018-09-26T14:55:00Z</dcterms:created>
  <dcterms:modified xsi:type="dcterms:W3CDTF">2019-09-13T16:36:00Z</dcterms:modified>
</cp:coreProperties>
</file>