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D5EB3" w14:textId="77777777" w:rsidR="001511A2" w:rsidRPr="0017155C" w:rsidRDefault="001511A2" w:rsidP="007A309D">
      <w:pPr>
        <w:spacing w:after="0" w:line="240" w:lineRule="auto"/>
        <w:jc w:val="center"/>
        <w:rPr>
          <w:b/>
          <w:sz w:val="24"/>
        </w:rPr>
      </w:pPr>
      <w:r w:rsidRPr="0017155C">
        <w:rPr>
          <w:b/>
          <w:sz w:val="24"/>
        </w:rPr>
        <w:t>Dirección General de Evaluación Institucional</w:t>
      </w:r>
    </w:p>
    <w:p w14:paraId="6A06AB9A" w14:textId="25D325E0" w:rsidR="001511A2" w:rsidRPr="0017155C" w:rsidRDefault="001511A2" w:rsidP="007A309D">
      <w:pPr>
        <w:spacing w:after="0" w:line="240" w:lineRule="auto"/>
        <w:jc w:val="center"/>
        <w:rPr>
          <w:b/>
          <w:sz w:val="24"/>
        </w:rPr>
      </w:pPr>
      <w:r w:rsidRPr="0017155C">
        <w:rPr>
          <w:b/>
          <w:sz w:val="24"/>
        </w:rPr>
        <w:t xml:space="preserve">Ciudad Universitaria, DF a </w:t>
      </w:r>
      <w:r w:rsidR="006E52EA" w:rsidRPr="0017155C">
        <w:rPr>
          <w:b/>
          <w:sz w:val="24"/>
        </w:rPr>
        <w:t>2</w:t>
      </w:r>
      <w:r w:rsidR="00C46B82">
        <w:rPr>
          <w:b/>
          <w:sz w:val="24"/>
        </w:rPr>
        <w:t>5</w:t>
      </w:r>
      <w:r w:rsidRPr="0017155C">
        <w:rPr>
          <w:b/>
          <w:sz w:val="24"/>
        </w:rPr>
        <w:t xml:space="preserve"> de </w:t>
      </w:r>
      <w:r w:rsidR="006E52EA" w:rsidRPr="0017155C">
        <w:rPr>
          <w:b/>
          <w:sz w:val="24"/>
        </w:rPr>
        <w:t>octubre de 2019</w:t>
      </w:r>
    </w:p>
    <w:p w14:paraId="1CF22417" w14:textId="77777777" w:rsidR="001511A2" w:rsidRPr="0017155C" w:rsidRDefault="001511A2" w:rsidP="007A309D">
      <w:pPr>
        <w:spacing w:after="0" w:line="240" w:lineRule="auto"/>
        <w:jc w:val="center"/>
        <w:rPr>
          <w:b/>
          <w:sz w:val="24"/>
        </w:rPr>
      </w:pPr>
    </w:p>
    <w:p w14:paraId="61B94DBB" w14:textId="2BBCF458" w:rsidR="00260339" w:rsidRPr="0017155C" w:rsidRDefault="001511A2" w:rsidP="004A79F2">
      <w:pPr>
        <w:spacing w:after="0" w:line="240" w:lineRule="auto"/>
        <w:jc w:val="center"/>
        <w:rPr>
          <w:b/>
          <w:sz w:val="28"/>
          <w:szCs w:val="28"/>
        </w:rPr>
      </w:pPr>
      <w:r w:rsidRPr="0017155C">
        <w:rPr>
          <w:b/>
          <w:sz w:val="28"/>
          <w:szCs w:val="28"/>
        </w:rPr>
        <w:t xml:space="preserve">UNAM EN </w:t>
      </w:r>
      <w:r w:rsidR="007B4D15" w:rsidRPr="0017155C">
        <w:rPr>
          <w:b/>
          <w:sz w:val="28"/>
          <w:szCs w:val="28"/>
        </w:rPr>
        <w:t xml:space="preserve">EL </w:t>
      </w:r>
      <w:r w:rsidR="00FF505C" w:rsidRPr="0017155C">
        <w:rPr>
          <w:b/>
          <w:sz w:val="28"/>
          <w:szCs w:val="28"/>
        </w:rPr>
        <w:t>QS R</w:t>
      </w:r>
      <w:r w:rsidR="003043A7" w:rsidRPr="0017155C">
        <w:rPr>
          <w:b/>
          <w:sz w:val="28"/>
          <w:szCs w:val="28"/>
        </w:rPr>
        <w:t xml:space="preserve">ANKING </w:t>
      </w:r>
      <w:r w:rsidR="004A79F2" w:rsidRPr="0017155C">
        <w:rPr>
          <w:b/>
          <w:sz w:val="28"/>
          <w:szCs w:val="28"/>
        </w:rPr>
        <w:t>LATINOAMÉRICA</w:t>
      </w:r>
    </w:p>
    <w:p w14:paraId="206DCAFA" w14:textId="77777777" w:rsidR="00EF2EDE" w:rsidRPr="0017155C" w:rsidRDefault="00EF2EDE" w:rsidP="007A309D">
      <w:pPr>
        <w:spacing w:after="0" w:line="240" w:lineRule="auto"/>
        <w:rPr>
          <w:sz w:val="24"/>
        </w:rPr>
      </w:pPr>
    </w:p>
    <w:p w14:paraId="270AFEB9" w14:textId="632D1857" w:rsidR="00894FE3" w:rsidRPr="00BC4065" w:rsidRDefault="00FC2854" w:rsidP="007A309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BC4065">
        <w:rPr>
          <w:sz w:val="24"/>
        </w:rPr>
        <w:t xml:space="preserve">Quacquarelli Symonds </w:t>
      </w:r>
      <w:r w:rsidR="00894FE3" w:rsidRPr="00BC4065">
        <w:rPr>
          <w:sz w:val="24"/>
        </w:rPr>
        <w:t xml:space="preserve">(QS) </w:t>
      </w:r>
      <w:r w:rsidRPr="00BC4065">
        <w:rPr>
          <w:sz w:val="24"/>
        </w:rPr>
        <w:t xml:space="preserve">publicó los resultados del ranking </w:t>
      </w:r>
      <w:r w:rsidR="00654A3F" w:rsidRPr="00BC4065">
        <w:rPr>
          <w:sz w:val="24"/>
        </w:rPr>
        <w:t xml:space="preserve">latinoamericano de </w:t>
      </w:r>
      <w:r w:rsidRPr="00BC4065">
        <w:rPr>
          <w:sz w:val="24"/>
        </w:rPr>
        <w:t>universidades.</w:t>
      </w:r>
      <w:r w:rsidR="00894FE3" w:rsidRPr="00BC4065">
        <w:rPr>
          <w:sz w:val="24"/>
        </w:rPr>
        <w:t xml:space="preserve"> </w:t>
      </w:r>
    </w:p>
    <w:p w14:paraId="35E445E8" w14:textId="77777777" w:rsidR="00FC2854" w:rsidRPr="00BC4065" w:rsidRDefault="00FC2854" w:rsidP="007A309D">
      <w:pPr>
        <w:pStyle w:val="Prrafodelista"/>
        <w:spacing w:after="0" w:line="240" w:lineRule="auto"/>
        <w:jc w:val="both"/>
      </w:pPr>
    </w:p>
    <w:p w14:paraId="61552FAA" w14:textId="06F558C2" w:rsidR="00471AC7" w:rsidRPr="00BC4065" w:rsidRDefault="006E52EA" w:rsidP="00471AC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BC4065">
        <w:rPr>
          <w:sz w:val="24"/>
        </w:rPr>
        <w:t>En la edición 2020</w:t>
      </w:r>
      <w:r w:rsidR="004A79F2" w:rsidRPr="00BC4065">
        <w:rPr>
          <w:sz w:val="24"/>
        </w:rPr>
        <w:t xml:space="preserve"> del QS ranking Latinoamérica de universidades. La UNAM </w:t>
      </w:r>
      <w:r w:rsidR="00C51390" w:rsidRPr="00BC4065">
        <w:rPr>
          <w:sz w:val="24"/>
        </w:rPr>
        <w:t xml:space="preserve">fue clasificada en el </w:t>
      </w:r>
      <w:r w:rsidR="00471AC7" w:rsidRPr="00BC4065">
        <w:rPr>
          <w:sz w:val="24"/>
        </w:rPr>
        <w:t>sexto</w:t>
      </w:r>
      <w:r w:rsidR="00C51390" w:rsidRPr="00BC4065">
        <w:rPr>
          <w:sz w:val="24"/>
        </w:rPr>
        <w:t xml:space="preserve"> lugar del ranking, por detrás </w:t>
      </w:r>
      <w:r w:rsidR="004A79F2" w:rsidRPr="00BC4065">
        <w:rPr>
          <w:sz w:val="24"/>
        </w:rPr>
        <w:t xml:space="preserve">de la </w:t>
      </w:r>
      <w:r w:rsidR="00471AC7" w:rsidRPr="00BC4065">
        <w:rPr>
          <w:sz w:val="24"/>
        </w:rPr>
        <w:t>Pontificia Universidad Católica de Chile en primer lugar, la Universidad de Sao Paulo (Brasil) en segundo lugar, el Instituto Tecnológico y de Es</w:t>
      </w:r>
      <w:r w:rsidR="00D92256" w:rsidRPr="00BC4065">
        <w:rPr>
          <w:sz w:val="24"/>
        </w:rPr>
        <w:t>tudios Superiores de Monterrey</w:t>
      </w:r>
      <w:r w:rsidR="00471AC7" w:rsidRPr="00BC4065">
        <w:rPr>
          <w:sz w:val="24"/>
        </w:rPr>
        <w:t xml:space="preserve"> en tercera posición, la Universidad de los Andes (Colombia) en cuarto lugar, y</w:t>
      </w:r>
      <w:r w:rsidR="00061C78" w:rsidRPr="00BC4065">
        <w:rPr>
          <w:sz w:val="24"/>
        </w:rPr>
        <w:t xml:space="preserve"> </w:t>
      </w:r>
      <w:r w:rsidR="00471AC7" w:rsidRPr="00BC4065">
        <w:rPr>
          <w:sz w:val="24"/>
        </w:rPr>
        <w:t>la Universidad Estatal de Campinas (Brasil)</w:t>
      </w:r>
      <w:r w:rsidR="00061C78" w:rsidRPr="00BC4065">
        <w:rPr>
          <w:sz w:val="24"/>
        </w:rPr>
        <w:t xml:space="preserve"> en quinta posición</w:t>
      </w:r>
      <w:r w:rsidR="00471AC7" w:rsidRPr="00BC4065">
        <w:rPr>
          <w:sz w:val="24"/>
        </w:rPr>
        <w:t>.</w:t>
      </w:r>
    </w:p>
    <w:p w14:paraId="1856B4F7" w14:textId="77777777" w:rsidR="00E96D6C" w:rsidRPr="00BC4065" w:rsidRDefault="00E96D6C" w:rsidP="00E96D6C">
      <w:pPr>
        <w:pStyle w:val="Prrafodelista"/>
        <w:rPr>
          <w:sz w:val="24"/>
        </w:rPr>
      </w:pPr>
    </w:p>
    <w:p w14:paraId="435016C0" w14:textId="5AB57DDB" w:rsidR="009511D0" w:rsidRPr="00BC4065" w:rsidRDefault="00337FE5" w:rsidP="009511D0">
      <w:pPr>
        <w:pStyle w:val="Prrafodelista"/>
        <w:jc w:val="both"/>
        <w:rPr>
          <w:sz w:val="24"/>
        </w:rPr>
      </w:pPr>
      <w:r w:rsidRPr="00BC4065">
        <w:rPr>
          <w:sz w:val="24"/>
        </w:rPr>
        <w:t>E</w:t>
      </w:r>
      <w:r w:rsidR="004D1553" w:rsidRPr="00BC4065">
        <w:rPr>
          <w:sz w:val="24"/>
        </w:rPr>
        <w:t xml:space="preserve">s importante mencionar que este </w:t>
      </w:r>
      <w:r w:rsidR="009511D0" w:rsidRPr="00BC4065">
        <w:rPr>
          <w:sz w:val="24"/>
        </w:rPr>
        <w:t xml:space="preserve">ranking no guarda relación con el ranking </w:t>
      </w:r>
      <w:r w:rsidR="009511D0" w:rsidRPr="00BC4065">
        <w:rPr>
          <w:sz w:val="24"/>
        </w:rPr>
        <w:t>QS Mundial</w:t>
      </w:r>
      <w:r w:rsidR="009511D0" w:rsidRPr="00BC4065">
        <w:rPr>
          <w:sz w:val="24"/>
        </w:rPr>
        <w:t xml:space="preserve">, donde la </w:t>
      </w:r>
      <w:r w:rsidR="0004712B">
        <w:rPr>
          <w:sz w:val="24"/>
        </w:rPr>
        <w:t xml:space="preserve">UNAM </w:t>
      </w:r>
      <w:r w:rsidR="009511D0" w:rsidRPr="00BC4065">
        <w:rPr>
          <w:sz w:val="24"/>
        </w:rPr>
        <w:t xml:space="preserve">fue clasificada en el lugar </w:t>
      </w:r>
      <w:r w:rsidR="009511D0" w:rsidRPr="00BC4065">
        <w:rPr>
          <w:sz w:val="24"/>
        </w:rPr>
        <w:t>103</w:t>
      </w:r>
      <w:r w:rsidR="009511D0" w:rsidRPr="00BC4065">
        <w:rPr>
          <w:sz w:val="24"/>
        </w:rPr>
        <w:t>, lo que la posiciona como la mejor universidad de México.</w:t>
      </w:r>
    </w:p>
    <w:p w14:paraId="48966DF1" w14:textId="77777777" w:rsidR="00C51390" w:rsidRPr="00BC4065" w:rsidRDefault="00C51390" w:rsidP="00C51390">
      <w:pPr>
        <w:pStyle w:val="Prrafodelista"/>
      </w:pPr>
    </w:p>
    <w:p w14:paraId="0BC92464" w14:textId="77777777" w:rsidR="00014724" w:rsidRPr="00BC4065" w:rsidRDefault="00014724" w:rsidP="0001472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sz w:val="24"/>
        </w:rPr>
      </w:pPr>
      <w:r w:rsidRPr="00BC4065">
        <w:rPr>
          <w:b/>
          <w:sz w:val="24"/>
        </w:rPr>
        <w:t>Metodología e Indicadores</w:t>
      </w:r>
    </w:p>
    <w:p w14:paraId="08C11885" w14:textId="02660571" w:rsidR="004A79F2" w:rsidRPr="00BC4065" w:rsidRDefault="004A79F2" w:rsidP="004A79F2">
      <w:pPr>
        <w:pStyle w:val="Prrafodelista"/>
        <w:numPr>
          <w:ilvl w:val="0"/>
          <w:numId w:val="10"/>
        </w:numPr>
        <w:spacing w:after="0" w:line="240" w:lineRule="auto"/>
        <w:rPr>
          <w:sz w:val="24"/>
        </w:rPr>
      </w:pPr>
      <w:r w:rsidRPr="00BC4065">
        <w:rPr>
          <w:b/>
          <w:sz w:val="24"/>
        </w:rPr>
        <w:t>Reputación según académicos</w:t>
      </w:r>
      <w:r w:rsidRPr="00BC4065">
        <w:rPr>
          <w:sz w:val="24"/>
        </w:rPr>
        <w:t xml:space="preserve"> (30%). </w:t>
      </w:r>
    </w:p>
    <w:p w14:paraId="72D6675A" w14:textId="4BBB7CB2" w:rsidR="004A79F2" w:rsidRPr="00BC4065" w:rsidRDefault="004A79F2" w:rsidP="004A79F2">
      <w:pPr>
        <w:pStyle w:val="Prrafodelista"/>
        <w:numPr>
          <w:ilvl w:val="0"/>
          <w:numId w:val="10"/>
        </w:numPr>
        <w:spacing w:after="0" w:line="240" w:lineRule="auto"/>
        <w:rPr>
          <w:sz w:val="24"/>
        </w:rPr>
      </w:pPr>
      <w:r w:rsidRPr="00BC4065">
        <w:rPr>
          <w:b/>
          <w:sz w:val="24"/>
        </w:rPr>
        <w:t>Reputación según empleadores</w:t>
      </w:r>
      <w:r w:rsidRPr="00BC4065">
        <w:rPr>
          <w:sz w:val="24"/>
        </w:rPr>
        <w:t xml:space="preserve"> (20%).</w:t>
      </w:r>
    </w:p>
    <w:p w14:paraId="2647DB03" w14:textId="77777777" w:rsidR="004A79F2" w:rsidRPr="00BC4065" w:rsidRDefault="004A79F2" w:rsidP="004A79F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sz w:val="24"/>
        </w:rPr>
      </w:pPr>
      <w:r w:rsidRPr="00BC4065">
        <w:rPr>
          <w:b/>
          <w:sz w:val="24"/>
        </w:rPr>
        <w:t xml:space="preserve">Promedio de citas académicas por artículo </w:t>
      </w:r>
      <w:r w:rsidRPr="00BC4065">
        <w:rPr>
          <w:sz w:val="24"/>
        </w:rPr>
        <w:t>(10%).</w:t>
      </w:r>
    </w:p>
    <w:p w14:paraId="2DA9CA8C" w14:textId="77777777" w:rsidR="004A79F2" w:rsidRPr="00BC4065" w:rsidRDefault="004A79F2" w:rsidP="004A79F2">
      <w:pPr>
        <w:pStyle w:val="Prrafodelista"/>
        <w:numPr>
          <w:ilvl w:val="0"/>
          <w:numId w:val="10"/>
        </w:numPr>
        <w:spacing w:after="0" w:line="240" w:lineRule="auto"/>
        <w:rPr>
          <w:sz w:val="24"/>
        </w:rPr>
      </w:pPr>
      <w:r w:rsidRPr="00BC4065">
        <w:rPr>
          <w:b/>
          <w:sz w:val="24"/>
        </w:rPr>
        <w:t>Relación entre estudiantes y profesores</w:t>
      </w:r>
      <w:r w:rsidRPr="00BC4065">
        <w:rPr>
          <w:sz w:val="24"/>
        </w:rPr>
        <w:t xml:space="preserve"> (10%).</w:t>
      </w:r>
    </w:p>
    <w:p w14:paraId="65CC2922" w14:textId="77777777" w:rsidR="004A79F2" w:rsidRPr="00BC4065" w:rsidRDefault="004A79F2" w:rsidP="004A79F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sz w:val="24"/>
        </w:rPr>
      </w:pPr>
      <w:r w:rsidRPr="00BC4065">
        <w:rPr>
          <w:b/>
          <w:sz w:val="24"/>
        </w:rPr>
        <w:t xml:space="preserve">Proporción de personal académico con doctorado </w:t>
      </w:r>
      <w:r w:rsidRPr="00BC4065">
        <w:rPr>
          <w:sz w:val="24"/>
        </w:rPr>
        <w:t>(10%).</w:t>
      </w:r>
    </w:p>
    <w:p w14:paraId="6452FA1B" w14:textId="77777777" w:rsidR="004A79F2" w:rsidRPr="00BC4065" w:rsidRDefault="004A79F2" w:rsidP="004A79F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sz w:val="24"/>
        </w:rPr>
      </w:pPr>
      <w:r w:rsidRPr="00BC4065">
        <w:rPr>
          <w:b/>
          <w:sz w:val="24"/>
        </w:rPr>
        <w:t xml:space="preserve">Proporción de artículos por personal académico </w:t>
      </w:r>
      <w:r w:rsidRPr="00BC4065">
        <w:rPr>
          <w:sz w:val="24"/>
        </w:rPr>
        <w:t>(5%).</w:t>
      </w:r>
    </w:p>
    <w:p w14:paraId="027A7066" w14:textId="7BF10D20" w:rsidR="004A79F2" w:rsidRPr="00BC4065" w:rsidRDefault="004A79F2" w:rsidP="005061FB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b/>
          <w:sz w:val="16"/>
        </w:rPr>
      </w:pPr>
      <w:r w:rsidRPr="00BC4065">
        <w:rPr>
          <w:b/>
          <w:sz w:val="24"/>
        </w:rPr>
        <w:t xml:space="preserve">Impacto en internet </w:t>
      </w:r>
      <w:r w:rsidRPr="00BC4065">
        <w:rPr>
          <w:sz w:val="24"/>
        </w:rPr>
        <w:t>(5%).</w:t>
      </w:r>
    </w:p>
    <w:p w14:paraId="03F2BEA9" w14:textId="7E90A073" w:rsidR="004A79F2" w:rsidRPr="00BC4065" w:rsidRDefault="00014724" w:rsidP="004A79F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sz w:val="24"/>
        </w:rPr>
      </w:pPr>
      <w:r w:rsidRPr="00BC4065">
        <w:rPr>
          <w:b/>
          <w:sz w:val="24"/>
        </w:rPr>
        <w:t>R</w:t>
      </w:r>
      <w:r w:rsidR="004A79F2" w:rsidRPr="00BC4065">
        <w:rPr>
          <w:b/>
          <w:sz w:val="24"/>
        </w:rPr>
        <w:t>ed Internacional de Investigación</w:t>
      </w:r>
      <w:r w:rsidR="004A79F2" w:rsidRPr="00BC4065">
        <w:rPr>
          <w:i/>
          <w:sz w:val="24"/>
        </w:rPr>
        <w:t xml:space="preserve"> </w:t>
      </w:r>
      <w:r w:rsidR="004A79F2" w:rsidRPr="00BC4065">
        <w:rPr>
          <w:sz w:val="24"/>
        </w:rPr>
        <w:t>(10%). Considera la publicación de uno o más artículos con colaboración internacional indexados en SCOPUS durante un periodo de 5 años</w:t>
      </w:r>
      <w:r w:rsidR="00AA3DCE" w:rsidRPr="00BC4065">
        <w:rPr>
          <w:sz w:val="24"/>
        </w:rPr>
        <w:t>.</w:t>
      </w:r>
    </w:p>
    <w:p w14:paraId="12890AC6" w14:textId="77777777" w:rsidR="004A79F2" w:rsidRPr="00BC4065" w:rsidRDefault="004A79F2" w:rsidP="004A79F2">
      <w:pPr>
        <w:pStyle w:val="Prrafodelista"/>
        <w:spacing w:after="0" w:line="240" w:lineRule="auto"/>
        <w:jc w:val="both"/>
        <w:rPr>
          <w:sz w:val="24"/>
        </w:rPr>
      </w:pPr>
    </w:p>
    <w:p w14:paraId="36835AC7" w14:textId="77777777" w:rsidR="00014724" w:rsidRPr="00BC4065" w:rsidRDefault="00014724" w:rsidP="004F71C0">
      <w:pPr>
        <w:pStyle w:val="Prrafodelista"/>
        <w:spacing w:after="0" w:line="240" w:lineRule="auto"/>
        <w:jc w:val="both"/>
        <w:rPr>
          <w:sz w:val="24"/>
        </w:rPr>
      </w:pPr>
      <w:r w:rsidRPr="00BC4065">
        <w:rPr>
          <w:sz w:val="24"/>
        </w:rPr>
        <w:t>Todos los puntajes del ranking se encuentran normalizados al 100% con respecto a las universidades con mejor desempeño en cada indicador.</w:t>
      </w:r>
    </w:p>
    <w:p w14:paraId="08C23D07" w14:textId="77777777" w:rsidR="00654A3F" w:rsidRPr="00BC4065" w:rsidRDefault="00654A3F" w:rsidP="004F71C0">
      <w:pPr>
        <w:pStyle w:val="Prrafodelista"/>
        <w:spacing w:after="0" w:line="240" w:lineRule="auto"/>
        <w:jc w:val="both"/>
        <w:rPr>
          <w:sz w:val="24"/>
        </w:rPr>
      </w:pPr>
    </w:p>
    <w:p w14:paraId="340B08A7" w14:textId="542D0E53" w:rsidR="003B185E" w:rsidRDefault="00BC4065" w:rsidP="003B185E">
      <w:pPr>
        <w:pStyle w:val="Prrafodelista"/>
        <w:spacing w:after="0" w:line="240" w:lineRule="auto"/>
        <w:jc w:val="both"/>
        <w:rPr>
          <w:sz w:val="24"/>
        </w:rPr>
      </w:pPr>
      <w:r w:rsidRPr="00BC4065">
        <w:rPr>
          <w:sz w:val="24"/>
        </w:rPr>
        <w:t>E</w:t>
      </w:r>
      <w:r w:rsidR="00762B6E" w:rsidRPr="00BC4065">
        <w:rPr>
          <w:sz w:val="24"/>
        </w:rPr>
        <w:t xml:space="preserve">xisten diferencias metodológicas </w:t>
      </w:r>
      <w:r w:rsidRPr="00BC4065">
        <w:rPr>
          <w:sz w:val="24"/>
        </w:rPr>
        <w:t xml:space="preserve">entre el QS Ranking Mundial y Latinoamérica </w:t>
      </w:r>
      <w:r w:rsidR="004E47A3" w:rsidRPr="00BC4065">
        <w:rPr>
          <w:sz w:val="24"/>
        </w:rPr>
        <w:t>con respecto al número de indicadores y su ponderación</w:t>
      </w:r>
      <w:r w:rsidR="003B185E" w:rsidRPr="00BC4065">
        <w:rPr>
          <w:sz w:val="24"/>
        </w:rPr>
        <w:t>, como se puede apreciar a continuación:</w:t>
      </w:r>
    </w:p>
    <w:p w14:paraId="457B4BB6" w14:textId="77777777" w:rsidR="002D090A" w:rsidRDefault="002D090A" w:rsidP="004F71C0">
      <w:pPr>
        <w:pStyle w:val="Prrafodelista"/>
        <w:spacing w:after="0" w:line="240" w:lineRule="auto"/>
        <w:jc w:val="both"/>
        <w:rPr>
          <w:sz w:val="24"/>
        </w:rPr>
      </w:pPr>
    </w:p>
    <w:tbl>
      <w:tblPr>
        <w:tblW w:w="5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851"/>
        <w:gridCol w:w="967"/>
      </w:tblGrid>
      <w:tr w:rsidR="00464CE0" w:rsidRPr="00464CE0" w14:paraId="25115B2A" w14:textId="77777777" w:rsidTr="00464CE0">
        <w:trPr>
          <w:trHeight w:val="327"/>
          <w:tblHeader/>
          <w:jc w:val="center"/>
        </w:trPr>
        <w:tc>
          <w:tcPr>
            <w:tcW w:w="522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A88C0A" w14:textId="1321F4CB" w:rsidR="00464CE0" w:rsidRPr="00464CE0" w:rsidRDefault="001C1B5F" w:rsidP="00464CE0">
            <w:pPr>
              <w:spacing w:after="0" w:line="240" w:lineRule="auto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Tabla 1. </w:t>
            </w:r>
            <w:r w:rsidR="00464CE0" w:rsidRPr="00464CE0">
              <w:rPr>
                <w:b/>
                <w:sz w:val="20"/>
                <w:szCs w:val="18"/>
              </w:rPr>
              <w:t xml:space="preserve">Variación en los </w:t>
            </w:r>
            <w:r w:rsidR="00464CE0" w:rsidRPr="00464CE0">
              <w:rPr>
                <w:b/>
                <w:sz w:val="20"/>
                <w:szCs w:val="18"/>
              </w:rPr>
              <w:t xml:space="preserve">indicadores y ponderadores del QS </w:t>
            </w:r>
            <w:r w:rsidR="00464CE0" w:rsidRPr="00464CE0">
              <w:rPr>
                <w:b/>
                <w:sz w:val="20"/>
                <w:szCs w:val="18"/>
              </w:rPr>
              <w:t>ranking mundial</w:t>
            </w:r>
            <w:r w:rsidR="00464CE0" w:rsidRPr="00464CE0">
              <w:rPr>
                <w:b/>
                <w:sz w:val="20"/>
                <w:szCs w:val="18"/>
              </w:rPr>
              <w:t xml:space="preserve"> y Latinoamérica</w:t>
            </w:r>
            <w:r w:rsidR="00464CE0" w:rsidRPr="00464CE0">
              <w:rPr>
                <w:b/>
                <w:sz w:val="20"/>
                <w:szCs w:val="18"/>
              </w:rPr>
              <w:t xml:space="preserve">, </w:t>
            </w:r>
            <w:r w:rsidR="00464CE0" w:rsidRPr="00464CE0">
              <w:rPr>
                <w:b/>
                <w:sz w:val="20"/>
                <w:szCs w:val="18"/>
              </w:rPr>
              <w:t>2020</w:t>
            </w:r>
            <w:r w:rsidR="00464CE0" w:rsidRPr="00464CE0">
              <w:rPr>
                <w:b/>
                <w:sz w:val="20"/>
                <w:szCs w:val="18"/>
              </w:rPr>
              <w:t>.</w:t>
            </w:r>
          </w:p>
        </w:tc>
      </w:tr>
      <w:tr w:rsidR="00464CE0" w:rsidRPr="00464CE0" w14:paraId="37B28F3B" w14:textId="77777777" w:rsidTr="00464CE0">
        <w:trPr>
          <w:trHeight w:val="327"/>
          <w:tblHeader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359CD364" w14:textId="77777777" w:rsidR="00464CE0" w:rsidRPr="00464CE0" w:rsidRDefault="00464CE0" w:rsidP="00464CE0">
            <w:pPr>
              <w:spacing w:after="0"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464CE0">
              <w:rPr>
                <w:rFonts w:cstheme="minorHAnsi"/>
                <w:b/>
                <w:sz w:val="14"/>
                <w:szCs w:val="14"/>
              </w:rPr>
              <w:t>Indicadores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14:paraId="5C6662B7" w14:textId="77777777" w:rsidR="00464CE0" w:rsidRPr="00464CE0" w:rsidRDefault="00464CE0" w:rsidP="00464CE0">
            <w:pPr>
              <w:spacing w:after="0"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464CE0">
              <w:rPr>
                <w:rFonts w:cstheme="minorHAnsi"/>
                <w:b/>
                <w:sz w:val="14"/>
                <w:szCs w:val="14"/>
              </w:rPr>
              <w:t>Mundial</w:t>
            </w:r>
            <w:r w:rsidRPr="00464CE0">
              <w:rPr>
                <w:rFonts w:cstheme="minorHAnsi"/>
                <w:b/>
                <w:sz w:val="14"/>
                <w:szCs w:val="14"/>
              </w:rPr>
              <w:br/>
              <w:t>2020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14:paraId="5EE5F9F2" w14:textId="77777777" w:rsidR="00464CE0" w:rsidRPr="00464CE0" w:rsidRDefault="00464CE0" w:rsidP="00464CE0">
            <w:pPr>
              <w:spacing w:after="0"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464CE0">
              <w:rPr>
                <w:rFonts w:cstheme="minorHAnsi"/>
                <w:b/>
                <w:sz w:val="14"/>
                <w:szCs w:val="14"/>
              </w:rPr>
              <w:t>Latinoamérica</w:t>
            </w:r>
            <w:r w:rsidRPr="00464CE0">
              <w:rPr>
                <w:rFonts w:cstheme="minorHAnsi"/>
                <w:b/>
                <w:sz w:val="14"/>
                <w:szCs w:val="14"/>
              </w:rPr>
              <w:br/>
              <w:t>2020</w:t>
            </w:r>
          </w:p>
        </w:tc>
      </w:tr>
      <w:tr w:rsidR="00464CE0" w:rsidRPr="00464CE0" w14:paraId="0B423B00" w14:textId="77777777" w:rsidTr="00464CE0">
        <w:trPr>
          <w:trHeight w:val="16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ADDD" w14:textId="77777777" w:rsidR="00464CE0" w:rsidRPr="00464CE0" w:rsidRDefault="00464CE0" w:rsidP="0046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464CE0">
              <w:rPr>
                <w:rFonts w:ascii="Calibri" w:eastAsia="Times New Roman" w:hAnsi="Calibri" w:cstheme="minorHAnsi"/>
                <w:color w:val="000000"/>
                <w:sz w:val="14"/>
                <w:szCs w:val="14"/>
                <w:lang w:eastAsia="es-MX"/>
              </w:rPr>
              <w:t>Reputación según académicos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3D28C" w14:textId="77777777" w:rsidR="00464CE0" w:rsidRPr="00464CE0" w:rsidRDefault="00464CE0" w:rsidP="0046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464CE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40%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27D7" w14:textId="77777777" w:rsidR="00464CE0" w:rsidRPr="00464CE0" w:rsidRDefault="00464CE0" w:rsidP="0046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464CE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30%</w:t>
            </w:r>
          </w:p>
        </w:tc>
      </w:tr>
      <w:tr w:rsidR="00DB477B" w:rsidRPr="00464CE0" w14:paraId="12D78EAD" w14:textId="77777777" w:rsidTr="00DB477B">
        <w:trPr>
          <w:trHeight w:val="16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06DE24F4" w14:textId="77777777" w:rsidR="00464CE0" w:rsidRPr="00464CE0" w:rsidRDefault="00464CE0" w:rsidP="0046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464CE0">
              <w:rPr>
                <w:rFonts w:ascii="Calibri" w:eastAsia="Times New Roman" w:hAnsi="Calibri" w:cstheme="minorHAnsi"/>
                <w:color w:val="000000"/>
                <w:sz w:val="14"/>
                <w:szCs w:val="14"/>
                <w:lang w:eastAsia="es-MX"/>
              </w:rPr>
              <w:t>Reputación según empleadores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33C4FBA" w14:textId="77777777" w:rsidR="00464CE0" w:rsidRPr="00464CE0" w:rsidRDefault="00464CE0" w:rsidP="0046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464CE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10%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BCB570F" w14:textId="77777777" w:rsidR="00464CE0" w:rsidRPr="00464CE0" w:rsidRDefault="00464CE0" w:rsidP="0046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464CE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20%</w:t>
            </w:r>
          </w:p>
        </w:tc>
      </w:tr>
      <w:tr w:rsidR="00DB477B" w:rsidRPr="00464CE0" w14:paraId="33574229" w14:textId="77777777" w:rsidTr="007B1425">
        <w:trPr>
          <w:trHeight w:val="16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3E5A" w14:textId="77777777" w:rsidR="00DB477B" w:rsidRPr="00464CE0" w:rsidRDefault="00DB477B" w:rsidP="007B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464CE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Citas académicas por artículo entre planta académica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DEC9" w14:textId="77777777" w:rsidR="00DB477B" w:rsidRPr="00464CE0" w:rsidRDefault="00DB477B" w:rsidP="007B1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464CE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20%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8191" w14:textId="77777777" w:rsidR="00DB477B" w:rsidRPr="00464CE0" w:rsidRDefault="00DB477B" w:rsidP="007B1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</w:p>
        </w:tc>
      </w:tr>
      <w:tr w:rsidR="00DB477B" w:rsidRPr="00464CE0" w14:paraId="2ED06642" w14:textId="77777777" w:rsidTr="00DB477B">
        <w:trPr>
          <w:trHeight w:val="16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3591F85C" w14:textId="77777777" w:rsidR="00DB477B" w:rsidRPr="00464CE0" w:rsidRDefault="00DB477B" w:rsidP="007B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464CE0">
              <w:rPr>
                <w:rFonts w:ascii="Calibri" w:eastAsia="Times New Roman" w:hAnsi="Calibri" w:cstheme="minorHAnsi"/>
                <w:color w:val="000000"/>
                <w:sz w:val="14"/>
                <w:szCs w:val="14"/>
                <w:lang w:eastAsia="es-MX"/>
              </w:rPr>
              <w:t>Relación entre estudiantes y profesores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BF1B69E" w14:textId="77777777" w:rsidR="00DB477B" w:rsidRPr="00464CE0" w:rsidRDefault="00DB477B" w:rsidP="007B1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464CE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20%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2F79308" w14:textId="77777777" w:rsidR="00DB477B" w:rsidRPr="00464CE0" w:rsidRDefault="00DB477B" w:rsidP="007B1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464CE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10%</w:t>
            </w:r>
          </w:p>
        </w:tc>
      </w:tr>
      <w:tr w:rsidR="00DB477B" w:rsidRPr="00464CE0" w14:paraId="6F133D40" w14:textId="77777777" w:rsidTr="007B1425">
        <w:trPr>
          <w:trHeight w:val="16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7B5D" w14:textId="77777777" w:rsidR="00DB477B" w:rsidRPr="00464CE0" w:rsidRDefault="00DB477B" w:rsidP="007B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464CE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Proporción de estudiantes extranjeros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7C39" w14:textId="77777777" w:rsidR="00DB477B" w:rsidRPr="00464CE0" w:rsidRDefault="00DB477B" w:rsidP="007B1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464CE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5%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5D96" w14:textId="77777777" w:rsidR="00DB477B" w:rsidRPr="00464CE0" w:rsidRDefault="00DB477B" w:rsidP="007B1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</w:p>
        </w:tc>
      </w:tr>
      <w:tr w:rsidR="00DB477B" w:rsidRPr="00464CE0" w14:paraId="46159161" w14:textId="77777777" w:rsidTr="00DB477B">
        <w:trPr>
          <w:trHeight w:val="5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021A088" w14:textId="77777777" w:rsidR="00DB477B" w:rsidRPr="00464CE0" w:rsidRDefault="00DB477B" w:rsidP="007B1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464CE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Proporción de académicos extranjeros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5186AFB" w14:textId="77777777" w:rsidR="00DB477B" w:rsidRPr="00464CE0" w:rsidRDefault="00DB477B" w:rsidP="007B1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464CE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5%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4CCF667" w14:textId="77777777" w:rsidR="00DB477B" w:rsidRPr="00464CE0" w:rsidRDefault="00DB477B" w:rsidP="007B1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</w:p>
        </w:tc>
      </w:tr>
      <w:tr w:rsidR="00464CE0" w:rsidRPr="00464CE0" w14:paraId="6AD4D1BF" w14:textId="77777777" w:rsidTr="00464CE0">
        <w:trPr>
          <w:trHeight w:val="16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94D79" w14:textId="77777777" w:rsidR="00464CE0" w:rsidRPr="00464CE0" w:rsidRDefault="00464CE0" w:rsidP="0046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464CE0">
              <w:rPr>
                <w:rFonts w:ascii="Calibri" w:eastAsia="Times New Roman" w:hAnsi="Calibri" w:cstheme="minorHAnsi"/>
                <w:color w:val="000000"/>
                <w:sz w:val="14"/>
                <w:szCs w:val="14"/>
                <w:lang w:eastAsia="es-MX"/>
              </w:rPr>
              <w:lastRenderedPageBreak/>
              <w:t>Promedio de citas académicas por artículo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E17DE" w14:textId="150EF2A3" w:rsidR="00464CE0" w:rsidRPr="00464CE0" w:rsidRDefault="00464CE0" w:rsidP="0046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64B55" w14:textId="77777777" w:rsidR="00464CE0" w:rsidRPr="00464CE0" w:rsidRDefault="00464CE0" w:rsidP="0046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464CE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10%</w:t>
            </w:r>
          </w:p>
        </w:tc>
      </w:tr>
      <w:tr w:rsidR="00DB477B" w:rsidRPr="00464CE0" w14:paraId="296280D6" w14:textId="77777777" w:rsidTr="00DB477B">
        <w:trPr>
          <w:trHeight w:val="16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307D111" w14:textId="77777777" w:rsidR="00464CE0" w:rsidRPr="00464CE0" w:rsidRDefault="00464CE0" w:rsidP="0046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464CE0">
              <w:rPr>
                <w:rFonts w:ascii="Calibri" w:eastAsia="Times New Roman" w:hAnsi="Calibri" w:cstheme="minorHAnsi"/>
                <w:color w:val="000000"/>
                <w:sz w:val="14"/>
                <w:szCs w:val="14"/>
                <w:lang w:eastAsia="es-MX"/>
              </w:rPr>
              <w:t>Proporción de personal académico con doctorado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DEC6D18" w14:textId="1AA5E015" w:rsidR="00464CE0" w:rsidRPr="00464CE0" w:rsidRDefault="00464CE0" w:rsidP="0046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221E532" w14:textId="77777777" w:rsidR="00464CE0" w:rsidRPr="00464CE0" w:rsidRDefault="00464CE0" w:rsidP="0046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464CE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10%</w:t>
            </w:r>
          </w:p>
        </w:tc>
      </w:tr>
      <w:tr w:rsidR="00464CE0" w:rsidRPr="00464CE0" w14:paraId="7509DC4A" w14:textId="77777777" w:rsidTr="00464CE0">
        <w:trPr>
          <w:trHeight w:val="16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6B22" w14:textId="77777777" w:rsidR="00464CE0" w:rsidRPr="00464CE0" w:rsidRDefault="00464CE0" w:rsidP="0046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464CE0">
              <w:rPr>
                <w:rFonts w:ascii="Calibri" w:eastAsia="Times New Roman" w:hAnsi="Calibri" w:cstheme="minorHAnsi"/>
                <w:color w:val="000000"/>
                <w:sz w:val="14"/>
                <w:szCs w:val="14"/>
                <w:lang w:eastAsia="es-MX"/>
              </w:rPr>
              <w:t>Proporción de artículos por personal académico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C593" w14:textId="68924398" w:rsidR="00464CE0" w:rsidRPr="00464CE0" w:rsidRDefault="00464CE0" w:rsidP="0046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8A85" w14:textId="77777777" w:rsidR="00464CE0" w:rsidRPr="00464CE0" w:rsidRDefault="00464CE0" w:rsidP="0046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464CE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5%</w:t>
            </w:r>
          </w:p>
        </w:tc>
      </w:tr>
      <w:tr w:rsidR="00DB477B" w:rsidRPr="00464CE0" w14:paraId="67AD57FA" w14:textId="77777777" w:rsidTr="00DB477B">
        <w:trPr>
          <w:trHeight w:val="16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6550A22" w14:textId="77777777" w:rsidR="00464CE0" w:rsidRPr="00464CE0" w:rsidRDefault="00464CE0" w:rsidP="0046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464CE0">
              <w:rPr>
                <w:rFonts w:ascii="Calibri" w:eastAsia="Times New Roman" w:hAnsi="Calibri" w:cstheme="minorHAnsi"/>
                <w:color w:val="000000"/>
                <w:sz w:val="14"/>
                <w:szCs w:val="14"/>
                <w:lang w:eastAsia="es-MX"/>
              </w:rPr>
              <w:t>Impacto en internet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7726895" w14:textId="4E380060" w:rsidR="00464CE0" w:rsidRPr="00464CE0" w:rsidRDefault="00464CE0" w:rsidP="0046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B22F8BD" w14:textId="77777777" w:rsidR="00464CE0" w:rsidRPr="00464CE0" w:rsidRDefault="00464CE0" w:rsidP="0046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464CE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5%</w:t>
            </w:r>
          </w:p>
        </w:tc>
      </w:tr>
      <w:tr w:rsidR="00464CE0" w:rsidRPr="00464CE0" w14:paraId="06B384C7" w14:textId="77777777" w:rsidTr="00464CE0">
        <w:trPr>
          <w:trHeight w:val="16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128D" w14:textId="77777777" w:rsidR="00464CE0" w:rsidRPr="00464CE0" w:rsidRDefault="00464CE0" w:rsidP="0046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464CE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Red Internacional de Investigación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60F2" w14:textId="55733AC4" w:rsidR="00464CE0" w:rsidRPr="00464CE0" w:rsidRDefault="00464CE0" w:rsidP="0046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06D3" w14:textId="77777777" w:rsidR="00464CE0" w:rsidRPr="00464CE0" w:rsidRDefault="00464CE0" w:rsidP="0046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464CE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10%</w:t>
            </w:r>
          </w:p>
        </w:tc>
      </w:tr>
    </w:tbl>
    <w:p w14:paraId="51AC73B2" w14:textId="77777777" w:rsidR="003B185E" w:rsidRDefault="003B185E" w:rsidP="004F71C0">
      <w:pPr>
        <w:pStyle w:val="Prrafodelista"/>
        <w:spacing w:after="0" w:line="240" w:lineRule="auto"/>
        <w:jc w:val="both"/>
        <w:rPr>
          <w:sz w:val="24"/>
        </w:rPr>
      </w:pPr>
    </w:p>
    <w:p w14:paraId="5E8634FB" w14:textId="77777777" w:rsidR="004F71C0" w:rsidRPr="0017155C" w:rsidRDefault="004F71C0" w:rsidP="004F71C0">
      <w:pPr>
        <w:pStyle w:val="Prrafodelista"/>
        <w:jc w:val="both"/>
        <w:rPr>
          <w:b/>
          <w:sz w:val="24"/>
        </w:rPr>
      </w:pPr>
      <w:r w:rsidRPr="0017155C">
        <w:rPr>
          <w:b/>
          <w:sz w:val="24"/>
        </w:rPr>
        <w:t xml:space="preserve">Resultados </w:t>
      </w:r>
    </w:p>
    <w:p w14:paraId="5795AFAB" w14:textId="675A1FBA" w:rsidR="00F944CC" w:rsidRPr="0017155C" w:rsidRDefault="00F944CC" w:rsidP="0036499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17155C">
        <w:rPr>
          <w:sz w:val="24"/>
        </w:rPr>
        <w:t xml:space="preserve">El QS ranking Latinoamérica 2019 clasificó a </w:t>
      </w:r>
      <w:r w:rsidR="006E52EA" w:rsidRPr="0017155C">
        <w:rPr>
          <w:sz w:val="24"/>
        </w:rPr>
        <w:t>400</w:t>
      </w:r>
      <w:r w:rsidR="00654A3F" w:rsidRPr="0017155C">
        <w:rPr>
          <w:sz w:val="24"/>
        </w:rPr>
        <w:t xml:space="preserve"> </w:t>
      </w:r>
      <w:r w:rsidR="007F08E1" w:rsidRPr="0017155C">
        <w:rPr>
          <w:sz w:val="24"/>
        </w:rPr>
        <w:t xml:space="preserve">universidades de </w:t>
      </w:r>
      <w:r w:rsidR="00654A3F" w:rsidRPr="0017155C">
        <w:rPr>
          <w:sz w:val="24"/>
        </w:rPr>
        <w:t xml:space="preserve">veinte </w:t>
      </w:r>
      <w:r w:rsidR="00AF6E41" w:rsidRPr="0017155C">
        <w:rPr>
          <w:sz w:val="24"/>
        </w:rPr>
        <w:t xml:space="preserve">países, </w:t>
      </w:r>
      <w:r w:rsidRPr="0017155C">
        <w:rPr>
          <w:sz w:val="24"/>
        </w:rPr>
        <w:t xml:space="preserve">a continuación se presentan los datos del número de universidades por país, así como el puntaje obtenido </w:t>
      </w:r>
      <w:r w:rsidR="00AF6E41" w:rsidRPr="0017155C">
        <w:rPr>
          <w:sz w:val="24"/>
        </w:rPr>
        <w:t xml:space="preserve">de las primeras 150 </w:t>
      </w:r>
      <w:r w:rsidRPr="0017155C">
        <w:rPr>
          <w:sz w:val="24"/>
        </w:rPr>
        <w:t xml:space="preserve">universidades </w:t>
      </w:r>
      <w:r w:rsidR="00AF6E41" w:rsidRPr="0017155C">
        <w:rPr>
          <w:sz w:val="24"/>
        </w:rPr>
        <w:t xml:space="preserve">clasificadas </w:t>
      </w:r>
      <w:r w:rsidRPr="0017155C">
        <w:rPr>
          <w:sz w:val="24"/>
        </w:rPr>
        <w:t>en los diferentes indicadores.</w:t>
      </w:r>
    </w:p>
    <w:p w14:paraId="788669CC" w14:textId="77777777" w:rsidR="00F944CC" w:rsidRPr="0017155C" w:rsidRDefault="00F944CC" w:rsidP="00AF6E41">
      <w:pPr>
        <w:pStyle w:val="Prrafodelista"/>
        <w:spacing w:after="0" w:line="240" w:lineRule="auto"/>
        <w:jc w:val="both"/>
        <w:rPr>
          <w:sz w:val="24"/>
        </w:rPr>
      </w:pPr>
    </w:p>
    <w:tbl>
      <w:tblPr>
        <w:tblW w:w="95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0"/>
      </w:tblGrid>
      <w:tr w:rsidR="007F08E1" w:rsidRPr="0017155C" w14:paraId="45AA81D0" w14:textId="77777777" w:rsidTr="00D92256">
        <w:trPr>
          <w:trHeight w:val="123"/>
          <w:jc w:val="center"/>
        </w:trPr>
        <w:tc>
          <w:tcPr>
            <w:tcW w:w="9576" w:type="dxa"/>
            <w:shd w:val="clear" w:color="auto" w:fill="auto"/>
            <w:noWrap/>
            <w:vAlign w:val="center"/>
          </w:tcPr>
          <w:p w14:paraId="4DEE2FBF" w14:textId="065C4E65" w:rsidR="007F08E1" w:rsidRPr="0017155C" w:rsidRDefault="001C1B5F" w:rsidP="006E52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4"/>
                <w:lang w:eastAsia="es-MX"/>
              </w:rPr>
              <w:t>Gráfico 2</w:t>
            </w:r>
            <w:r w:rsidR="007F08E1" w:rsidRPr="0017155C">
              <w:rPr>
                <w:rFonts w:ascii="Calibri" w:eastAsia="Times New Roman" w:hAnsi="Calibri" w:cs="Times New Roman"/>
                <w:b/>
                <w:sz w:val="20"/>
                <w:szCs w:val="24"/>
                <w:lang w:eastAsia="es-MX"/>
              </w:rPr>
              <w:t>. Total de universidades por país en el</w:t>
            </w:r>
            <w:r w:rsidR="007F08E1" w:rsidRPr="0017155C">
              <w:t xml:space="preserve"> </w:t>
            </w:r>
            <w:r w:rsidR="007F08E1" w:rsidRPr="0017155C">
              <w:rPr>
                <w:rFonts w:ascii="Calibri" w:eastAsia="Times New Roman" w:hAnsi="Calibri" w:cs="Times New Roman"/>
                <w:b/>
                <w:sz w:val="20"/>
                <w:szCs w:val="24"/>
                <w:lang w:eastAsia="es-MX"/>
              </w:rPr>
              <w:t xml:space="preserve">QS ranking </w:t>
            </w:r>
            <w:r w:rsidR="00804CF9" w:rsidRPr="0017155C">
              <w:rPr>
                <w:rFonts w:ascii="Calibri" w:eastAsia="Times New Roman" w:hAnsi="Calibri" w:cs="Times New Roman"/>
                <w:b/>
                <w:sz w:val="20"/>
                <w:szCs w:val="24"/>
                <w:lang w:eastAsia="es-MX"/>
              </w:rPr>
              <w:t>Latinoamérica</w:t>
            </w:r>
            <w:r w:rsidR="007F08E1" w:rsidRPr="0017155C">
              <w:rPr>
                <w:rFonts w:ascii="Calibri" w:eastAsia="Times New Roman" w:hAnsi="Calibri" w:cs="Times New Roman"/>
                <w:b/>
                <w:sz w:val="20"/>
                <w:szCs w:val="24"/>
                <w:lang w:eastAsia="es-MX"/>
              </w:rPr>
              <w:t xml:space="preserve"> </w:t>
            </w:r>
            <w:r w:rsidR="00F66F2B" w:rsidRPr="0017155C">
              <w:rPr>
                <w:rFonts w:ascii="Calibri" w:eastAsia="Times New Roman" w:hAnsi="Calibri" w:cs="Times New Roman"/>
                <w:b/>
                <w:sz w:val="20"/>
                <w:szCs w:val="24"/>
                <w:lang w:eastAsia="es-MX"/>
              </w:rPr>
              <w:t>de universidades, 20</w:t>
            </w:r>
            <w:r w:rsidR="006E52EA" w:rsidRPr="0017155C">
              <w:rPr>
                <w:rFonts w:ascii="Calibri" w:eastAsia="Times New Roman" w:hAnsi="Calibri" w:cs="Times New Roman"/>
                <w:b/>
                <w:sz w:val="20"/>
                <w:szCs w:val="24"/>
                <w:lang w:eastAsia="es-MX"/>
              </w:rPr>
              <w:t>20</w:t>
            </w:r>
            <w:r w:rsidR="007F08E1" w:rsidRPr="0017155C">
              <w:rPr>
                <w:rFonts w:ascii="Calibri" w:eastAsia="Times New Roman" w:hAnsi="Calibri" w:cs="Times New Roman"/>
                <w:b/>
                <w:sz w:val="20"/>
                <w:szCs w:val="24"/>
                <w:lang w:eastAsia="es-MX"/>
              </w:rPr>
              <w:t>.</w:t>
            </w:r>
          </w:p>
        </w:tc>
      </w:tr>
      <w:tr w:rsidR="00A56FEF" w:rsidRPr="0017155C" w14:paraId="534DF99C" w14:textId="77777777" w:rsidTr="00D92256">
        <w:trPr>
          <w:cantSplit/>
          <w:trHeight w:val="1134"/>
          <w:jc w:val="center"/>
        </w:trPr>
        <w:tc>
          <w:tcPr>
            <w:tcW w:w="9576" w:type="dxa"/>
            <w:shd w:val="clear" w:color="auto" w:fill="auto"/>
            <w:noWrap/>
            <w:vAlign w:val="center"/>
          </w:tcPr>
          <w:p w14:paraId="3942D0B8" w14:textId="7E65FBD2" w:rsidR="007F08E1" w:rsidRPr="0017155C" w:rsidRDefault="00061C78" w:rsidP="0006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8"/>
                <w:lang w:eastAsia="es-MX"/>
              </w:rPr>
            </w:pPr>
            <w:r w:rsidRPr="0017155C">
              <w:rPr>
                <w:noProof/>
                <w:lang w:eastAsia="es-MX"/>
              </w:rPr>
              <w:drawing>
                <wp:inline distT="0" distB="0" distL="0" distR="0" wp14:anchorId="297AAA57" wp14:editId="56AD6139">
                  <wp:extent cx="6125919" cy="1452880"/>
                  <wp:effectExtent l="0" t="0" r="8255" b="0"/>
                  <wp:docPr id="4" name="Gráfico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7F08E1" w:rsidRPr="0017155C" w14:paraId="19E72FC3" w14:textId="77777777" w:rsidTr="00D92256">
        <w:trPr>
          <w:trHeight w:val="112"/>
          <w:jc w:val="center"/>
        </w:trPr>
        <w:tc>
          <w:tcPr>
            <w:tcW w:w="9576" w:type="dxa"/>
            <w:shd w:val="clear" w:color="auto" w:fill="auto"/>
            <w:noWrap/>
            <w:vAlign w:val="center"/>
          </w:tcPr>
          <w:p w14:paraId="716DBC8C" w14:textId="639D6CE9" w:rsidR="007F08E1" w:rsidRPr="0017155C" w:rsidRDefault="007F08E1" w:rsidP="006E52E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17155C">
              <w:rPr>
                <w:rFonts w:ascii="Calibri" w:eastAsia="Times New Roman" w:hAnsi="Calibri" w:cs="Calibri"/>
                <w:b/>
                <w:sz w:val="14"/>
                <w:szCs w:val="14"/>
                <w:lang w:eastAsia="es-MX"/>
              </w:rPr>
              <w:t>Fuente:</w:t>
            </w:r>
            <w:r w:rsidRPr="0017155C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 xml:space="preserve"> Elaboración propia con datos publicados del QS ranking </w:t>
            </w:r>
            <w:r w:rsidR="0060553F" w:rsidRPr="0017155C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Latinoamérica</w:t>
            </w:r>
            <w:r w:rsidR="00F66F2B" w:rsidRPr="0017155C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 xml:space="preserve"> de universidades, 20</w:t>
            </w:r>
            <w:r w:rsidR="006E52EA" w:rsidRPr="0017155C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20</w:t>
            </w:r>
            <w:r w:rsidRPr="0017155C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.</w:t>
            </w:r>
          </w:p>
        </w:tc>
      </w:tr>
    </w:tbl>
    <w:p w14:paraId="57B0AFDA" w14:textId="77777777" w:rsidR="007F08E1" w:rsidRPr="0017155C" w:rsidRDefault="007F08E1" w:rsidP="007F08E1">
      <w:pPr>
        <w:pStyle w:val="Prrafodelista"/>
        <w:spacing w:after="0" w:line="240" w:lineRule="auto"/>
        <w:jc w:val="both"/>
        <w:rPr>
          <w:sz w:val="24"/>
        </w:rPr>
      </w:pPr>
    </w:p>
    <w:tbl>
      <w:tblPr>
        <w:tblW w:w="1180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2703"/>
        <w:gridCol w:w="979"/>
        <w:gridCol w:w="694"/>
        <w:gridCol w:w="833"/>
        <w:gridCol w:w="972"/>
        <w:gridCol w:w="833"/>
        <w:gridCol w:w="835"/>
        <w:gridCol w:w="694"/>
        <w:gridCol w:w="834"/>
        <w:gridCol w:w="741"/>
        <w:gridCol w:w="981"/>
        <w:gridCol w:w="7"/>
      </w:tblGrid>
      <w:tr w:rsidR="00FC100A" w:rsidRPr="0017155C" w14:paraId="194D36EB" w14:textId="77777777" w:rsidTr="000D5409">
        <w:trPr>
          <w:trHeight w:val="184"/>
          <w:tblHeader/>
          <w:jc w:val="center"/>
        </w:trPr>
        <w:tc>
          <w:tcPr>
            <w:tcW w:w="11805" w:type="dxa"/>
            <w:gridSpan w:val="13"/>
            <w:tcBorders>
              <w:bottom w:val="single" w:sz="4" w:space="0" w:color="auto"/>
            </w:tcBorders>
          </w:tcPr>
          <w:p w14:paraId="30571F01" w14:textId="6D8A2DB4" w:rsidR="000B541A" w:rsidRPr="0017155C" w:rsidRDefault="000B541A" w:rsidP="001C1B5F">
            <w:pPr>
              <w:spacing w:after="0" w:line="240" w:lineRule="auto"/>
              <w:jc w:val="center"/>
              <w:rPr>
                <w:b/>
                <w:sz w:val="20"/>
                <w:szCs w:val="18"/>
              </w:rPr>
            </w:pPr>
            <w:r w:rsidRPr="0017155C">
              <w:rPr>
                <w:b/>
                <w:sz w:val="20"/>
                <w:szCs w:val="18"/>
              </w:rPr>
              <w:t xml:space="preserve">Tabla </w:t>
            </w:r>
            <w:r w:rsidR="001C1B5F">
              <w:rPr>
                <w:b/>
                <w:sz w:val="20"/>
                <w:szCs w:val="18"/>
              </w:rPr>
              <w:t>3</w:t>
            </w:r>
            <w:r w:rsidRPr="0017155C">
              <w:rPr>
                <w:b/>
                <w:sz w:val="20"/>
                <w:szCs w:val="18"/>
              </w:rPr>
              <w:t xml:space="preserve">. </w:t>
            </w:r>
            <w:r w:rsidR="00767EFC" w:rsidRPr="0017155C">
              <w:rPr>
                <w:rFonts w:ascii="Calibri" w:eastAsia="Times New Roman" w:hAnsi="Calibri" w:cs="Times New Roman"/>
                <w:b/>
                <w:sz w:val="20"/>
                <w:szCs w:val="24"/>
                <w:lang w:eastAsia="es-MX"/>
              </w:rPr>
              <w:t>Puntaje</w:t>
            </w:r>
            <w:r w:rsidRPr="0017155C">
              <w:rPr>
                <w:rFonts w:ascii="Calibri" w:eastAsia="Times New Roman" w:hAnsi="Calibri" w:cs="Times New Roman"/>
                <w:b/>
                <w:sz w:val="20"/>
                <w:szCs w:val="24"/>
                <w:lang w:eastAsia="es-MX"/>
              </w:rPr>
              <w:t xml:space="preserve"> de las primeras 150 universidades en el</w:t>
            </w:r>
            <w:r w:rsidRPr="0017155C">
              <w:t xml:space="preserve"> </w:t>
            </w:r>
            <w:r w:rsidRPr="0017155C">
              <w:rPr>
                <w:rFonts w:ascii="Calibri" w:eastAsia="Times New Roman" w:hAnsi="Calibri" w:cs="Times New Roman"/>
                <w:b/>
                <w:sz w:val="20"/>
                <w:szCs w:val="24"/>
                <w:lang w:eastAsia="es-MX"/>
              </w:rPr>
              <w:t xml:space="preserve">QS ranking </w:t>
            </w:r>
            <w:r w:rsidR="00767EFC" w:rsidRPr="0017155C">
              <w:rPr>
                <w:rFonts w:ascii="Calibri" w:eastAsia="Times New Roman" w:hAnsi="Calibri" w:cs="Times New Roman"/>
                <w:b/>
                <w:sz w:val="20"/>
                <w:szCs w:val="24"/>
                <w:lang w:eastAsia="es-MX"/>
              </w:rPr>
              <w:t>Lat</w:t>
            </w:r>
            <w:r w:rsidR="0019631C" w:rsidRPr="0017155C">
              <w:rPr>
                <w:rFonts w:ascii="Calibri" w:eastAsia="Times New Roman" w:hAnsi="Calibri" w:cs="Times New Roman"/>
                <w:b/>
                <w:sz w:val="20"/>
                <w:szCs w:val="24"/>
                <w:lang w:eastAsia="es-MX"/>
              </w:rPr>
              <w:t>inoamérica de universidades, 2020</w:t>
            </w:r>
            <w:r w:rsidR="00767EFC" w:rsidRPr="0017155C">
              <w:rPr>
                <w:rFonts w:ascii="Calibri" w:eastAsia="Times New Roman" w:hAnsi="Calibri" w:cs="Times New Roman"/>
                <w:b/>
                <w:sz w:val="20"/>
                <w:szCs w:val="24"/>
                <w:lang w:eastAsia="es-MX"/>
              </w:rPr>
              <w:t>.</w:t>
            </w:r>
          </w:p>
        </w:tc>
      </w:tr>
      <w:tr w:rsidR="00FC100A" w:rsidRPr="00464CE0" w14:paraId="1B10F3CC" w14:textId="77777777" w:rsidTr="000D5409">
        <w:trPr>
          <w:gridAfter w:val="1"/>
          <w:wAfter w:w="7" w:type="dxa"/>
          <w:trHeight w:val="337"/>
          <w:tblHeader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7A712EF" w14:textId="72E3834B" w:rsidR="00EB23F8" w:rsidRPr="00464CE0" w:rsidRDefault="00EB23F8" w:rsidP="00EB23F8">
            <w:pPr>
              <w:spacing w:after="0"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17155C">
              <w:rPr>
                <w:rFonts w:cstheme="minorHAnsi"/>
                <w:b/>
                <w:sz w:val="14"/>
                <w:szCs w:val="14"/>
              </w:rPr>
              <w:t>Posición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424088C6" w14:textId="1D30C5EA" w:rsidR="00EB23F8" w:rsidRPr="00464CE0" w:rsidRDefault="00EB23F8" w:rsidP="00EB23F8">
            <w:pPr>
              <w:spacing w:after="0"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17155C">
              <w:rPr>
                <w:rFonts w:cstheme="minorHAnsi"/>
                <w:b/>
                <w:sz w:val="14"/>
                <w:szCs w:val="14"/>
              </w:rPr>
              <w:t>Institución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0CBDEA2" w14:textId="73256A9C" w:rsidR="00EB23F8" w:rsidRPr="00464CE0" w:rsidRDefault="00EB23F8" w:rsidP="00EB23F8">
            <w:pPr>
              <w:spacing w:after="0"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17155C">
              <w:rPr>
                <w:rFonts w:cstheme="minorHAnsi"/>
                <w:b/>
                <w:sz w:val="14"/>
                <w:szCs w:val="14"/>
              </w:rPr>
              <w:t>País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6828CA5C" w14:textId="7D77E33F" w:rsidR="00EB23F8" w:rsidRPr="00464CE0" w:rsidRDefault="00EB23F8" w:rsidP="00EB23F8">
            <w:pPr>
              <w:spacing w:after="0"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17155C">
              <w:rPr>
                <w:rFonts w:cstheme="minorHAnsi"/>
                <w:b/>
                <w:sz w:val="14"/>
                <w:szCs w:val="14"/>
              </w:rPr>
              <w:t>Puntaje General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7FE81FA2" w14:textId="0227AF53" w:rsidR="00EB23F8" w:rsidRPr="00464CE0" w:rsidRDefault="00EB23F8" w:rsidP="00B800FC">
            <w:pPr>
              <w:spacing w:after="0"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17155C">
              <w:rPr>
                <w:rFonts w:cstheme="minorHAnsi"/>
                <w:b/>
                <w:sz w:val="14"/>
                <w:szCs w:val="14"/>
              </w:rPr>
              <w:t>Reputación académic</w:t>
            </w:r>
            <w:r w:rsidR="00B800FC" w:rsidRPr="0017155C">
              <w:rPr>
                <w:rFonts w:cstheme="minorHAnsi"/>
                <w:b/>
                <w:sz w:val="14"/>
                <w:szCs w:val="14"/>
              </w:rPr>
              <w:t>a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07127F7E" w14:textId="477DB4E8" w:rsidR="00EB23F8" w:rsidRPr="00464CE0" w:rsidRDefault="00EB23F8" w:rsidP="00B800FC">
            <w:pPr>
              <w:spacing w:after="0"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17155C">
              <w:rPr>
                <w:rFonts w:cstheme="minorHAnsi"/>
                <w:b/>
                <w:sz w:val="14"/>
                <w:szCs w:val="14"/>
              </w:rPr>
              <w:t>Reputación empleadores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7C404E61" w14:textId="77777777" w:rsidR="00B800FC" w:rsidRPr="0017155C" w:rsidRDefault="00EB23F8" w:rsidP="00B800FC">
            <w:pPr>
              <w:spacing w:after="0"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17155C">
              <w:rPr>
                <w:rFonts w:cstheme="minorHAnsi"/>
                <w:b/>
                <w:sz w:val="14"/>
                <w:szCs w:val="14"/>
              </w:rPr>
              <w:t xml:space="preserve">Relación </w:t>
            </w:r>
            <w:r w:rsidR="00B800FC" w:rsidRPr="0017155C">
              <w:rPr>
                <w:rFonts w:cstheme="minorHAnsi"/>
                <w:b/>
                <w:sz w:val="14"/>
                <w:szCs w:val="14"/>
              </w:rPr>
              <w:t>estudiante</w:t>
            </w:r>
          </w:p>
          <w:p w14:paraId="4174273C" w14:textId="77777777" w:rsidR="00B800FC" w:rsidRPr="0017155C" w:rsidRDefault="00B800FC" w:rsidP="00B800FC">
            <w:pPr>
              <w:spacing w:after="0"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17155C">
              <w:rPr>
                <w:rFonts w:cstheme="minorHAnsi"/>
                <w:b/>
                <w:sz w:val="14"/>
                <w:szCs w:val="14"/>
              </w:rPr>
              <w:t>/</w:t>
            </w:r>
          </w:p>
          <w:p w14:paraId="6BB1BF24" w14:textId="2011F36D" w:rsidR="00EB23F8" w:rsidRPr="00464CE0" w:rsidRDefault="00EB23F8" w:rsidP="00B800FC">
            <w:pPr>
              <w:spacing w:after="0"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17155C">
              <w:rPr>
                <w:rFonts w:cstheme="minorHAnsi"/>
                <w:b/>
                <w:sz w:val="14"/>
                <w:szCs w:val="14"/>
              </w:rPr>
              <w:t>profesores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1CFEB507" w14:textId="35CD3493" w:rsidR="00EB23F8" w:rsidRPr="00464CE0" w:rsidRDefault="00EB23F8" w:rsidP="00B800FC">
            <w:pPr>
              <w:spacing w:after="0"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17155C">
              <w:rPr>
                <w:rFonts w:cstheme="minorHAnsi"/>
                <w:b/>
                <w:sz w:val="14"/>
                <w:szCs w:val="14"/>
              </w:rPr>
              <w:t>Proporción acad</w:t>
            </w:r>
            <w:r w:rsidR="00B800FC" w:rsidRPr="0017155C">
              <w:rPr>
                <w:rFonts w:cstheme="minorHAnsi"/>
                <w:b/>
                <w:sz w:val="14"/>
                <w:szCs w:val="14"/>
              </w:rPr>
              <w:t xml:space="preserve">émicos </w:t>
            </w:r>
            <w:r w:rsidRPr="0017155C">
              <w:rPr>
                <w:rFonts w:cstheme="minorHAnsi"/>
                <w:b/>
                <w:sz w:val="14"/>
                <w:szCs w:val="14"/>
              </w:rPr>
              <w:t>con doctorado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72738536" w14:textId="7FC78701" w:rsidR="00EB23F8" w:rsidRPr="00464CE0" w:rsidRDefault="00EB23F8" w:rsidP="00EB23F8">
            <w:pPr>
              <w:spacing w:after="0"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17155C">
              <w:rPr>
                <w:rFonts w:cstheme="minorHAnsi"/>
                <w:b/>
                <w:sz w:val="14"/>
                <w:szCs w:val="14"/>
              </w:rPr>
              <w:t>Impacto en internet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BB47323" w14:textId="77777777" w:rsidR="00B800FC" w:rsidRPr="0017155C" w:rsidRDefault="00EB23F8" w:rsidP="00B800FC">
            <w:pPr>
              <w:spacing w:after="0"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17155C">
              <w:rPr>
                <w:rFonts w:cstheme="minorHAnsi"/>
                <w:b/>
                <w:sz w:val="14"/>
                <w:szCs w:val="14"/>
              </w:rPr>
              <w:t xml:space="preserve">Proporción artículos </w:t>
            </w:r>
          </w:p>
          <w:p w14:paraId="3B6C07C6" w14:textId="77777777" w:rsidR="00B800FC" w:rsidRPr="0017155C" w:rsidRDefault="00B800FC" w:rsidP="00B800FC">
            <w:pPr>
              <w:spacing w:after="0"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17155C">
              <w:rPr>
                <w:rFonts w:cstheme="minorHAnsi"/>
                <w:b/>
                <w:sz w:val="14"/>
                <w:szCs w:val="14"/>
              </w:rPr>
              <w:t xml:space="preserve">/ </w:t>
            </w:r>
          </w:p>
          <w:p w14:paraId="63D371C7" w14:textId="3A73029C" w:rsidR="00EB23F8" w:rsidRPr="00464CE0" w:rsidRDefault="00EB23F8" w:rsidP="00B800FC">
            <w:pPr>
              <w:spacing w:after="0"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17155C">
              <w:rPr>
                <w:rFonts w:cstheme="minorHAnsi"/>
                <w:b/>
                <w:sz w:val="14"/>
                <w:szCs w:val="14"/>
              </w:rPr>
              <w:t>personal académico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6937DFAE" w14:textId="77777777" w:rsidR="00B800FC" w:rsidRPr="0017155C" w:rsidRDefault="00EB23F8" w:rsidP="00B800FC">
            <w:pPr>
              <w:spacing w:after="0"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17155C">
              <w:rPr>
                <w:rFonts w:cstheme="minorHAnsi"/>
                <w:b/>
                <w:sz w:val="14"/>
                <w:szCs w:val="14"/>
              </w:rPr>
              <w:t xml:space="preserve">Promedio </w:t>
            </w:r>
            <w:r w:rsidR="00B800FC" w:rsidRPr="0017155C">
              <w:rPr>
                <w:rFonts w:cstheme="minorHAnsi"/>
                <w:b/>
                <w:sz w:val="14"/>
                <w:szCs w:val="14"/>
              </w:rPr>
              <w:t xml:space="preserve">citas </w:t>
            </w:r>
          </w:p>
          <w:p w14:paraId="7E8E411F" w14:textId="77777777" w:rsidR="00B800FC" w:rsidRPr="0017155C" w:rsidRDefault="00B800FC" w:rsidP="00B800FC">
            <w:pPr>
              <w:spacing w:after="0"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17155C">
              <w:rPr>
                <w:rFonts w:cstheme="minorHAnsi"/>
                <w:b/>
                <w:sz w:val="14"/>
                <w:szCs w:val="14"/>
              </w:rPr>
              <w:t xml:space="preserve">/ </w:t>
            </w:r>
          </w:p>
          <w:p w14:paraId="54CA673F" w14:textId="326541CA" w:rsidR="00EB23F8" w:rsidRPr="00464CE0" w:rsidRDefault="00EB23F8" w:rsidP="00B800FC">
            <w:pPr>
              <w:spacing w:after="0"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17155C">
              <w:rPr>
                <w:rFonts w:cstheme="minorHAnsi"/>
                <w:b/>
                <w:sz w:val="14"/>
                <w:szCs w:val="14"/>
              </w:rPr>
              <w:t>artículo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73E7B4D3" w14:textId="797CCFA7" w:rsidR="00EB23F8" w:rsidRPr="00464CE0" w:rsidRDefault="00EB23F8" w:rsidP="00EB23F8">
            <w:pPr>
              <w:spacing w:after="0"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17155C">
              <w:rPr>
                <w:rFonts w:cstheme="minorHAnsi"/>
                <w:b/>
                <w:sz w:val="14"/>
                <w:szCs w:val="14"/>
              </w:rPr>
              <w:t>Red Internacional de Investigación</w:t>
            </w:r>
          </w:p>
        </w:tc>
      </w:tr>
      <w:tr w:rsidR="008C4623" w:rsidRPr="0017155C" w14:paraId="530DA8E5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0F3F" w14:textId="1554A2FD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A2D06" w14:textId="6AFD7C41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Pontificia Universidad Católica de Chile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01CB" w14:textId="1994BA3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Chile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78E93" w14:textId="79B9439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5A8B1" w14:textId="5362259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581EB" w14:textId="7748B48B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5D243" w14:textId="3B433C8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58.8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02F88" w14:textId="1D75964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95.2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C2A0F" w14:textId="4312109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94.2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0DEC4" w14:textId="2712FD38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99.3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63705" w14:textId="1E892610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95.8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9B626" w14:textId="0E85E9B0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99.6</w:t>
            </w:r>
          </w:p>
        </w:tc>
      </w:tr>
      <w:tr w:rsidR="008C4623" w:rsidRPr="0017155C" w14:paraId="3B839A07" w14:textId="77777777" w:rsidTr="008C4623">
        <w:trPr>
          <w:gridAfter w:val="1"/>
          <w:wAfter w:w="7" w:type="dxa"/>
          <w:trHeight w:val="19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1E2010B" w14:textId="4262CF6B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E1531E8" w14:textId="63BC047A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de Sao Paulo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286D85" w14:textId="3F04968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Brasil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FFE51CC" w14:textId="2E0FD3E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99.4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A94C7B7" w14:textId="3041C98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8BE91B2" w14:textId="66DCC36A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99.7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1E827D1" w14:textId="3E419A0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53.3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24C41B6" w14:textId="75BE637E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281B337" w14:textId="23FBC30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3209AB" w14:textId="0C75868A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4C5257D" w14:textId="13B708F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87.4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A3C0474" w14:textId="6FDED0DA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100</w:t>
            </w:r>
          </w:p>
        </w:tc>
      </w:tr>
      <w:tr w:rsidR="008C4623" w:rsidRPr="0017155C" w14:paraId="331DDA46" w14:textId="77777777" w:rsidTr="008C4623">
        <w:trPr>
          <w:gridAfter w:val="1"/>
          <w:wAfter w:w="7" w:type="dxa"/>
          <w:trHeight w:val="266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0325" w14:textId="51FF2A17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8C7C0" w14:textId="44FE879A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Instituto Tecnológico y de Estudios Superiores de Monterrey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3D5FC" w14:textId="73A4F137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México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4F817" w14:textId="19C6B5C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98.4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E7881" w14:textId="773780CE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93.6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1A0F1" w14:textId="27555AEB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99.9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7FA3F" w14:textId="108DBB6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99.6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7FB50" w14:textId="285BCDBE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93.5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0D6EC" w14:textId="64F0ABA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73.2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4D74B" w14:textId="7FF5A690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54.5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1F1AE" w14:textId="0E03E96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95.1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177CD" w14:textId="471E27CD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98.6</w:t>
            </w:r>
          </w:p>
        </w:tc>
      </w:tr>
      <w:tr w:rsidR="008C4623" w:rsidRPr="0017155C" w14:paraId="111F5DE6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636AAD" w14:textId="6AE9C853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B4B915D" w14:textId="25B704BA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de los Andes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145FC6" w14:textId="793D0EB0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Colombia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1AAF13E" w14:textId="36695BD7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97.2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5F5A7D9" w14:textId="02F5222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99.3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C34FEE1" w14:textId="112BB38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99.9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822EFC7" w14:textId="5492B32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51.7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F5590AA" w14:textId="1AEF0A9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89.1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09BAED6" w14:textId="5F758078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97.5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100350A" w14:textId="39CE57FB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92.2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F8F22EE" w14:textId="3C12109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88.5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13BE07A" w14:textId="1C13A450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98.1</w:t>
            </w:r>
          </w:p>
        </w:tc>
      </w:tr>
      <w:tr w:rsidR="008C4623" w:rsidRPr="0017155C" w14:paraId="052F93D9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048C" w14:textId="389345AA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1EF28" w14:textId="04E451DE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Estatal de Campinas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0D0FB" w14:textId="4625739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Brasil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E2C56" w14:textId="25D01557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96.4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7C285" w14:textId="3ACF67E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99.9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E5C01" w14:textId="41D1AC5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88.1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C7D95" w14:textId="23CE1C0B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46.3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ABA8F" w14:textId="35168493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3DC7C" w14:textId="3BE8C62E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842F8" w14:textId="6C07B730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E6767" w14:textId="7F0B9C87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90.9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1928A" w14:textId="7B80DD0D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99.3</w:t>
            </w:r>
          </w:p>
        </w:tc>
      </w:tr>
      <w:tr w:rsidR="008C4623" w:rsidRPr="0017155C" w14:paraId="4692D92D" w14:textId="77777777" w:rsidTr="008C4623">
        <w:trPr>
          <w:gridAfter w:val="1"/>
          <w:wAfter w:w="7" w:type="dxa"/>
          <w:trHeight w:val="21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15E376" w14:textId="19AD3F3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7F5C4EF" w14:textId="265F3F28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Nacional Autónoma de México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A90CF74" w14:textId="2F06A60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México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0736BAE" w14:textId="2D1BC20B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96.3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6F6EA8C" w14:textId="1CEFEAA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990CBC3" w14:textId="3B08D2AB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2E5B595" w14:textId="5C86BC17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173E262" w14:textId="37EAB39E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72.3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5C0877F" w14:textId="41F9988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878BE4E" w14:textId="1F5C5A1E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57.1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61AC7F6" w14:textId="34F9EECA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71.2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C760461" w14:textId="734A969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100</w:t>
            </w:r>
          </w:p>
        </w:tc>
      </w:tr>
      <w:tr w:rsidR="008C4623" w:rsidRPr="0017155C" w14:paraId="22069AB7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5B69" w14:textId="0F7F3B0E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E211A" w14:textId="1F093DA9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de Chile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88D61" w14:textId="408F515D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Chile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49F26" w14:textId="553135E0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96.1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A57A4" w14:textId="5BECAB17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0D218" w14:textId="216C6D98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8C04E" w14:textId="57B52AB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37.1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64528" w14:textId="5C33DDA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79.5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7DAAF" w14:textId="4CCA6A1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ADDF3" w14:textId="0C53DC5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99.8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D4C88" w14:textId="0838474E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93.1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DD8E6" w14:textId="7214251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99.8</w:t>
            </w:r>
          </w:p>
        </w:tc>
      </w:tr>
      <w:tr w:rsidR="008C4623" w:rsidRPr="0017155C" w14:paraId="0A3138DD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CDCB72F" w14:textId="09DF040D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26A29EE" w14:textId="4BAB1866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de Buenos Aires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D78C4A" w14:textId="7DD3EB4D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Argentina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12DE467" w14:textId="45F6D88A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93.4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89FFE16" w14:textId="29DE11CE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CE37474" w14:textId="475DE65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CF738A5" w14:textId="785ACE5A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94.1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344D5C1" w14:textId="4EAB53B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55.1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2C90F5B" w14:textId="1DB7B1F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99.8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7C37B9" w14:textId="2B32BE00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65EB90D" w14:textId="54AFD01A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71.1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AEE11E5" w14:textId="77CF67E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99.5</w:t>
            </w:r>
          </w:p>
        </w:tc>
      </w:tr>
      <w:tr w:rsidR="008C4623" w:rsidRPr="0017155C" w14:paraId="0A2E4045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3E5D" w14:textId="6AD32AA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F3261" w14:textId="4217C84B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Federal de Río de Janeiro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80A3" w14:textId="256BC2A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Brasil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FDF68" w14:textId="32187A7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A6BBA" w14:textId="701EADE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99.4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39B55" w14:textId="640230C3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61.4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AE0C5" w14:textId="43158B5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46.6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DDE0D" w14:textId="2C908FE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99.8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C758E" w14:textId="40EC98C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1A92B" w14:textId="4FAF108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99.4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6CAD0" w14:textId="0A19978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84.3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F5BB7" w14:textId="12D8093E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99.8</w:t>
            </w:r>
          </w:p>
        </w:tc>
      </w:tr>
      <w:tr w:rsidR="008C4623" w:rsidRPr="0017155C" w14:paraId="12FC9C0E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5B728CF" w14:textId="04E73D2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B6440CE" w14:textId="3621F2C3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Nacional de Colombia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16D8FB" w14:textId="4F6AE467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Colombia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78EED39" w14:textId="52C91AC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89.4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12F8DF4" w14:textId="081562EB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99.8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865B936" w14:textId="3780994E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99.9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17F11D9" w14:textId="5B86073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20.7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2DCABBD" w14:textId="3FCEFC67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6B55FCE" w14:textId="02B5E333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99.8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51B2DE" w14:textId="16D9BE9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94.9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7293C20" w14:textId="3A71A75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42.9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3F46CBE" w14:textId="352E529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97.9</w:t>
            </w:r>
          </w:p>
        </w:tc>
      </w:tr>
      <w:tr w:rsidR="008C4623" w:rsidRPr="0017155C" w14:paraId="0675EB1C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0C44" w14:textId="4D23EA83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F804D" w14:textId="75E87423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Estatal Paulista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9D4FB" w14:textId="71BC46AB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Brasil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C4DD8" w14:textId="5EEFF3F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83.9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314D6" w14:textId="366E856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86.6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32684" w14:textId="4901596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51.6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96874" w14:textId="53CF7DBD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68.4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8DD17" w14:textId="5A1793C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6A8FB" w14:textId="558D042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99.8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03A41" w14:textId="1DE4EAE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D4EB1" w14:textId="7213F26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63.2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0CE45" w14:textId="024882B7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99</w:t>
            </w:r>
          </w:p>
        </w:tc>
      </w:tr>
      <w:tr w:rsidR="008C4623" w:rsidRPr="0017155C" w14:paraId="1FB83E15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510443" w14:textId="32CB59A8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4C953EE" w14:textId="3E3B5E32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de Concepción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A5CB97" w14:textId="06997EAE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Chile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580630D" w14:textId="499D9CD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83.1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964EBF2" w14:textId="3E97F1AD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79.7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FBC976E" w14:textId="661F4B7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81.2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10A1BBF" w14:textId="599E26D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44.4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BD73E7D" w14:textId="2344B217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68.7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B84FB8E" w14:textId="1D70E7B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5605C0" w14:textId="0F76E6CD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88.3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7B34EA1" w14:textId="5F80EF3B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87.4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4DC3A5F" w14:textId="7066A37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96.2</w:t>
            </w:r>
          </w:p>
        </w:tc>
      </w:tr>
      <w:tr w:rsidR="008C4623" w:rsidRPr="0017155C" w14:paraId="2CD75121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95C3" w14:textId="2C990D4E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270DC" w14:textId="09CA41EB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de Santiago de Chile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0A1D4" w14:textId="493E950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Chile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D303D" w14:textId="00E9432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82.1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04F21" w14:textId="0FC12B4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93.8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87CF5" w14:textId="00A6C21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96.6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E7FEB" w14:textId="1870327A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30.5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E4E0F" w14:textId="234D2CCE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48.3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580AD" w14:textId="62BCA430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69.8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9D2A2" w14:textId="79F3BEF8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77.9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61DA0" w14:textId="16F221C3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58.3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B667B" w14:textId="6205FE7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91.3</w:t>
            </w:r>
          </w:p>
        </w:tc>
      </w:tr>
      <w:tr w:rsidR="008C4623" w:rsidRPr="0017155C" w14:paraId="7619DF3E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EF8414C" w14:textId="1AFF35A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14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B502DA9" w14:textId="4BB92FA3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de Antioquia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F4A1F5" w14:textId="1A656B5D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Colombia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CF60D9F" w14:textId="3FD49EE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80.7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6754988" w14:textId="5AE0249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C92A5CB" w14:textId="63E94CB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85.1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0EF5036" w14:textId="0830CC5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14.2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7E4FE03" w14:textId="531CFB5A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73.8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6F17D20" w14:textId="19E3974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79.5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B78DB1F" w14:textId="4B2FEBCA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81.4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95A0BC4" w14:textId="08759288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71.1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E82418F" w14:textId="21831F5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95.8</w:t>
            </w:r>
          </w:p>
        </w:tc>
      </w:tr>
      <w:tr w:rsidR="008C4623" w:rsidRPr="0017155C" w14:paraId="70E9A970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CA42" w14:textId="3E55D4F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634A0" w14:textId="7DD921A9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Pontificia Universidad Católica de Río de Janeiro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DB590" w14:textId="0DED473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Brasil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B548A" w14:textId="62D27F9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71C74" w14:textId="4074D56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88.6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B84C1" w14:textId="5D2C010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50.9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0A845" w14:textId="7C3021E3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25.4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435D6" w14:textId="5D90F21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99.9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21342" w14:textId="1CA3E9C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96.5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6DB9A" w14:textId="574BF1B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99.9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98D83" w14:textId="17861BA8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81.3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6BFD3" w14:textId="0EDFCBC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84.2</w:t>
            </w:r>
          </w:p>
        </w:tc>
      </w:tr>
      <w:tr w:rsidR="008C4623" w:rsidRPr="0017155C" w14:paraId="20224A02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99A4BA" w14:textId="3A988F2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16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F1618D6" w14:textId="09B844BA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Pontificia Universidad Javeriana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C399FE" w14:textId="7D31559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Colombia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3F76D5A" w14:textId="68AD0FF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79.4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62B0BDB" w14:textId="5249701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92.3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C72BBA1" w14:textId="665DC62B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98.4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894FF0F" w14:textId="3688591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38.6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709A7C2" w14:textId="27CE3EF7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37.7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87597FE" w14:textId="2E52566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84.2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A3BB65" w14:textId="27C8C07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37.1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254AEEF" w14:textId="5B8CB7C0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51.2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5C7E17D" w14:textId="407219C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89</w:t>
            </w:r>
          </w:p>
        </w:tc>
      </w:tr>
      <w:tr w:rsidR="008C4623" w:rsidRPr="0017155C" w14:paraId="54B305B3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0363" w14:textId="745345F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17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E0125" w14:textId="39AF5BA3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Federal de Minas Gerais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EE127" w14:textId="175B467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Brasil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0608C" w14:textId="23AB43A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78.4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4AA5C" w14:textId="7C4F6A9B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89.3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85A8B" w14:textId="0DB9AFB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27.7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67F82" w14:textId="2796356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39.1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65F1E" w14:textId="488A8B6D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BC0E9" w14:textId="0613AF7D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99.5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1D5A1" w14:textId="3C400E8D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99.1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4A1A1" w14:textId="007AFD4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81.4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98869" w14:textId="095386A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99.1</w:t>
            </w:r>
          </w:p>
        </w:tc>
      </w:tr>
      <w:tr w:rsidR="008C4623" w:rsidRPr="0017155C" w14:paraId="34B0F474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0AABA63" w14:textId="64608F4D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18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2EE90E5" w14:textId="676666E2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Pontificia Universidad Católica del Perú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399E79" w14:textId="5E85CF7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Perú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E815668" w14:textId="4E748FC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77.4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2DCB470" w14:textId="68BD6C3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93.3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80312A9" w14:textId="45ED2B0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92.9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8EFE5C4" w14:textId="3699B75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54.8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64E5A29" w14:textId="421A623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21.2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6E59515" w14:textId="09378067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94.6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9CD1E0B" w14:textId="3145926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17.9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0953DB1" w14:textId="550E9950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49.7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86C7AD4" w14:textId="2C1C83BB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84.9</w:t>
            </w:r>
          </w:p>
        </w:tc>
      </w:tr>
      <w:tr w:rsidR="008C4623" w:rsidRPr="0017155C" w14:paraId="46F3D46D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FFBF" w14:textId="5CF6657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ECD07" w14:textId="739F5979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de Costa Rica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C3292" w14:textId="43386F97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Costa Rica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D119D" w14:textId="671DDEC7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74.9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97034" w14:textId="7FF859D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88.6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24F42" w14:textId="759BC6B3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7908C" w14:textId="7422BE6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12CF0" w14:textId="73EE8B18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N/D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5EA79" w14:textId="215AFB4D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97.3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BE95E" w14:textId="3A677BE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20.8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10464" w14:textId="2F086EC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69.7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24167" w14:textId="718FCFA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73.9</w:t>
            </w:r>
          </w:p>
        </w:tc>
      </w:tr>
      <w:tr w:rsidR="008C4623" w:rsidRPr="0017155C" w14:paraId="2C54C762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0A4808" w14:textId="351DBB9E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329226E" w14:textId="50B36BBF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Federal de Río Grande del Sur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1A9EB8" w14:textId="0E3965F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Brasil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447BAA2" w14:textId="4B088313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74.9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ECF9EC3" w14:textId="20995668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87.2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E0A6460" w14:textId="359499D7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17.9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FB97FEF" w14:textId="20DEA09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A6DAB1F" w14:textId="17C30E9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C4AA00D" w14:textId="3113222D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99.8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F3A7EE" w14:textId="4612ED17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5EAD9C2" w14:textId="5F1E75E7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88.7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DB0A271" w14:textId="2E9E03F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99.8</w:t>
            </w:r>
          </w:p>
        </w:tc>
      </w:tr>
      <w:tr w:rsidR="008C4623" w:rsidRPr="0017155C" w14:paraId="054EDC91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4EE8" w14:textId="7F0C28B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1B7AB" w14:textId="108422CC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Pontificia Universidad Católica de Valparaíso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FF662" w14:textId="3837A5E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Chile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BF094" w14:textId="49E3844D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73.6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95BF2" w14:textId="38575677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75.9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92841" w14:textId="099CDA9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76.7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A418B" w14:textId="61799D27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23.2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15C1E" w14:textId="118ECF0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72.5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7D6F1" w14:textId="2EA88AD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43.3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F0D47" w14:textId="12E44C4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97.2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DD8E8" w14:textId="5B4E18C7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54.3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711B2" w14:textId="5E1968DA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94.7</w:t>
            </w:r>
          </w:p>
        </w:tc>
      </w:tr>
      <w:tr w:rsidR="008C4623" w:rsidRPr="0017155C" w14:paraId="5A720324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E22E725" w14:textId="0FD855E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D7066BD" w14:textId="796354AE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Federal de Santa Catarina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22461E" w14:textId="72B47D0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Brasil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9E89E20" w14:textId="112DBCC8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73.3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C07186E" w14:textId="22AFF78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70.1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740EF87" w14:textId="53B8030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24.2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131F764" w14:textId="555A2A7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61.4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4ECA001" w14:textId="7F1B22A3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4C316C3" w14:textId="4F0CD58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99.9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5F8246C" w14:textId="3A678D4E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96.3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B4D0CDB" w14:textId="31A4C23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76.8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5F31B7B" w14:textId="18BB08B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98.6</w:t>
            </w:r>
          </w:p>
        </w:tc>
      </w:tr>
      <w:tr w:rsidR="008C4623" w:rsidRPr="0017155C" w14:paraId="7433F6E1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2761" w14:textId="5A49A3A0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F6487" w14:textId="561720D8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de la Habana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070D4" w14:textId="5053D1A3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Cuba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52A10" w14:textId="3A9E4BE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73.2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B98BB" w14:textId="65D1E5A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68.4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F0D81" w14:textId="40634B1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74.4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60A51" w14:textId="3C44D05B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96.3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6BA63" w14:textId="36F9F778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82.3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956A3" w14:textId="2E978A37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51.5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FB926" w14:textId="069E2EB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35.8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D69A1" w14:textId="7D73921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36.9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A2B17" w14:textId="55B8C4F0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79.9</w:t>
            </w:r>
          </w:p>
        </w:tc>
      </w:tr>
      <w:tr w:rsidR="008C4623" w:rsidRPr="0017155C" w14:paraId="3A3D8E06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E5A8A2B" w14:textId="2C680EC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24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8931AAA" w14:textId="2F0B5E67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Adolfo Ibáñez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72A83A" w14:textId="62317028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Chile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FAC82F3" w14:textId="1DA8871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72.6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82881DC" w14:textId="6553986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61.3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50AD01B" w14:textId="5309BA5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98.5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ADE66F6" w14:textId="373DCA0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7.3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120CC53" w14:textId="587B8FFB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96.5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24B67A3" w14:textId="174F878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48.8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2F17F5" w14:textId="610FC6E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89.3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1D3D019" w14:textId="354E328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76.7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5E340E6" w14:textId="13F46D9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56.3</w:t>
            </w:r>
          </w:p>
        </w:tc>
      </w:tr>
      <w:tr w:rsidR="008C4623" w:rsidRPr="0017155C" w14:paraId="265C890F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CCEC" w14:textId="231DBEF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E472E" w14:textId="2F4F8D9E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Instituto Politécnico Nacional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DA919" w14:textId="43C6FFB0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México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CE174" w14:textId="444BDD9A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72.5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1C98D" w14:textId="2D812E8B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70.3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DF8B8" w14:textId="4FE35CEB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92.1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B8429" w14:textId="607075B7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40.4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9E027" w14:textId="5560DF38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19.4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9080C" w14:textId="00605D3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76.2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AA1D1" w14:textId="0BE4896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65.3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6599A" w14:textId="597720E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62.8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826FD" w14:textId="4A3573BB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97.9</w:t>
            </w:r>
          </w:p>
        </w:tc>
      </w:tr>
      <w:tr w:rsidR="008C4623" w:rsidRPr="0017155C" w14:paraId="63AB4B5F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0F84BA" w14:textId="7FA59E3A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lastRenderedPageBreak/>
              <w:t>26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702D36C" w14:textId="19F8B78C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Nacional de La Plata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75C14E" w14:textId="0B6384CD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Argentina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A85BCD5" w14:textId="03EA765B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71.3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7A9F5A5" w14:textId="54CB3848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91.2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E41929B" w14:textId="133AF6FA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54.9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4A23215" w14:textId="58219FF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34.9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D680714" w14:textId="1D02F46B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37.3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AE44DA1" w14:textId="15676200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99.6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BCDBB5" w14:textId="3A27452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32.8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382D846" w14:textId="0F95015A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70.1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DAFFDDF" w14:textId="626189C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82.8</w:t>
            </w:r>
          </w:p>
        </w:tc>
      </w:tr>
      <w:tr w:rsidR="008C4623" w:rsidRPr="0017155C" w14:paraId="3A8B01DE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7CA3" w14:textId="52F0487A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27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762FD" w14:textId="67194357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Torcuato Di Tella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D57D5" w14:textId="4F39445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Argentina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F4AA4" w14:textId="62FF6803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70.9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F3B43" w14:textId="7B4633F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15055" w14:textId="4F43CA97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83.6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3A24C" w14:textId="76BFF07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53.1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61A26" w14:textId="3C79483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5E3CC" w14:textId="13D371EB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38.8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BD757" w14:textId="31C6105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82.7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0C13B" w14:textId="166E0738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96.5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1D025" w14:textId="16179D8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31.6</w:t>
            </w:r>
          </w:p>
        </w:tc>
      </w:tr>
      <w:tr w:rsidR="008C4623" w:rsidRPr="0017155C" w14:paraId="24438F1B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CBB45D" w14:textId="23020D2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28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1D3871B" w14:textId="75A644D5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Autónoma Metropolitana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F2C80A" w14:textId="5CC33B4E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México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EF0E813" w14:textId="48C6FEF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70.7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B03F379" w14:textId="152F5B10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77.9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1A0493E" w14:textId="54C543C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56.8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D2692A9" w14:textId="2EC66118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20.4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BD52DA4" w14:textId="0B879EDA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91.4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C44DB05" w14:textId="6CE5CF7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85.3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307C135" w14:textId="4754B988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57.9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8934521" w14:textId="185E845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52.7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4CFD5A3" w14:textId="7D074FE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85.4</w:t>
            </w:r>
          </w:p>
        </w:tc>
      </w:tr>
      <w:tr w:rsidR="008C4623" w:rsidRPr="0017155C" w14:paraId="74CFEDA5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5252" w14:textId="1C910C0A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5BDD3" w14:textId="03879B40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de Brasilia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01846" w14:textId="045BA1E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Brasil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0205A" w14:textId="4A5E982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5FE54" w14:textId="29FFA7F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79.5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AA9FE" w14:textId="4FDCB25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84811" w14:textId="60B258C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29.6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1A95D" w14:textId="35045B0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B31EC" w14:textId="0323FC40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99.1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F021E" w14:textId="1690D04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86.5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6FC1C" w14:textId="4C933A5E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49.1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27BB0" w14:textId="4732FB5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98.1</w:t>
            </w:r>
          </w:p>
        </w:tc>
      </w:tr>
      <w:tr w:rsidR="008C4623" w:rsidRPr="0017155C" w14:paraId="2DBD9637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E99818" w14:textId="09E04418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7DCC38E" w14:textId="7BA1153F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Federal de Sao Paulo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B471F17" w14:textId="6DB90B7E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Brasil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2807C8A" w14:textId="6EFAD97B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69.2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6368309" w14:textId="28763580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51.9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44DE65B" w14:textId="59EF460A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B8B1516" w14:textId="4B5EE5F8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1B4D9A4" w14:textId="12A929F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20E2A98" w14:textId="7EBCD960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77.7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B76618C" w14:textId="2DEC2B7E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96.8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484BDAA" w14:textId="584D3EBD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91.3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36D28A9" w14:textId="266CBAD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84.3</w:t>
            </w:r>
          </w:p>
        </w:tc>
      </w:tr>
      <w:tr w:rsidR="008C4623" w:rsidRPr="0017155C" w14:paraId="00B32191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5377" w14:textId="3447BBD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88602" w14:textId="3EFD1D3D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Nacional de Córdoba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9E63F" w14:textId="0F577E9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Argentina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2F1D4" w14:textId="2AA0EB28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67.7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41DEA" w14:textId="7A6A381E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76.9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C9A49" w14:textId="57F7C7E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44.9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7BB29" w14:textId="57BC4C5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23.8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3E929" w14:textId="6DCAAA7B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51.2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4BEDC" w14:textId="12FB25F3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91.9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130FF" w14:textId="47EB9918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39.3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AC63A" w14:textId="345D01F0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86.1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383C6" w14:textId="6F20345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93.8</w:t>
            </w:r>
          </w:p>
        </w:tc>
      </w:tr>
      <w:tr w:rsidR="008C4623" w:rsidRPr="0017155C" w14:paraId="2469D19A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6960C7D" w14:textId="4184095A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31B7AF5" w14:textId="01679A57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Federal de Paraná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490D8F" w14:textId="7E98AA8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Brasil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D99CC0B" w14:textId="41D2323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67.1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035721A" w14:textId="37DC55A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52.3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D6728D0" w14:textId="1ACE7E9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33.2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995B004" w14:textId="7EDB7D6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60.2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E8E7E6A" w14:textId="4566159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99.6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B94972D" w14:textId="7856CE1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98.8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139B08" w14:textId="352C535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91.1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E787E20" w14:textId="00852F0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58.1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F8B7739" w14:textId="106B03C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98.7</w:t>
            </w:r>
          </w:p>
        </w:tc>
      </w:tr>
      <w:tr w:rsidR="008C4623" w:rsidRPr="0017155C" w14:paraId="2FB8F54A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3832" w14:textId="747BCA8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AB938" w14:textId="4C1539A1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Austral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05CA0" w14:textId="6550A788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Argentina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E6AAD" w14:textId="623808A3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F2EC4" w14:textId="1AB03533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66.2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1C65C" w14:textId="74F5B32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86.4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370E4" w14:textId="10E6BFE7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ECF3F" w14:textId="7F5CC79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18FEF" w14:textId="2561374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30.9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F8C5D" w14:textId="1D91A55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15.8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B9AF7" w14:textId="77809D38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85.9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4D916" w14:textId="1C1C6A67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6.6</w:t>
            </w:r>
          </w:p>
        </w:tc>
      </w:tr>
      <w:tr w:rsidR="008C4623" w:rsidRPr="0017155C" w14:paraId="7E3591A8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379EC1F" w14:textId="092AAB0B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34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5A6D89E" w14:textId="44F06C42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Austral de Chile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D12334" w14:textId="567600B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Chile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E405AC2" w14:textId="08060CB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66.2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5E68849" w14:textId="6B220CE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61.3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8074120" w14:textId="14563757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41.8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95A0B9F" w14:textId="4A95BF4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13.5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E7C7F92" w14:textId="6DD7C2E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93.5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936CF57" w14:textId="095C4BD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64.2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5366B2" w14:textId="34D74F8D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96.1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6BD2B80" w14:textId="4313AE23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78.8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23AA0BE" w14:textId="650C4D5A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92.8</w:t>
            </w:r>
          </w:p>
        </w:tc>
      </w:tr>
      <w:tr w:rsidR="008C4623" w:rsidRPr="0017155C" w14:paraId="04CB1E2B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0B0C" w14:textId="2400715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1C4CD" w14:textId="4008721E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Federal de Sao Carlos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E687" w14:textId="1F0EB12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Brasil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3C51F" w14:textId="11AE1CBA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E2EAC" w14:textId="5F90C7F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1525A" w14:textId="505411A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20.1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126AD" w14:textId="4435A24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50.4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5AED6" w14:textId="589F9EF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1287A" w14:textId="7EA23867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82.7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7F61A" w14:textId="305ABCFB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A96E7" w14:textId="2410C2E0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83.9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BF9CE" w14:textId="3210CF1D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93.2</w:t>
            </w:r>
          </w:p>
        </w:tc>
      </w:tr>
      <w:tr w:rsidR="008C4623" w:rsidRPr="0017155C" w14:paraId="5C3CBF46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9DC96E8" w14:textId="49E646CE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36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F511249" w14:textId="06AB8A75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Diego Portales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378356" w14:textId="36F941D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Chile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0B66E28" w14:textId="136063C0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65.6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1ACCE4C" w14:textId="73DF738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54.4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D730450" w14:textId="5E5FAD0D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78.2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0794E93" w14:textId="177EAFC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38.6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8C82B40" w14:textId="7229456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20.1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2302BE4" w14:textId="34581C1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62.1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6C88656" w14:textId="3339931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57.4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D10840C" w14:textId="42CBB35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95.9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DA69F5E" w14:textId="1BAAF07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86.4</w:t>
            </w:r>
          </w:p>
        </w:tc>
      </w:tr>
      <w:tr w:rsidR="008C4623" w:rsidRPr="0017155C" w14:paraId="4A34C106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C726" w14:textId="07D8988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37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2D060" w14:textId="1B5FE722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Técnica Federico Santa María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0B497" w14:textId="4932BB6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Chile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CC3CC" w14:textId="3A4C0CCD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65.4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032C4" w14:textId="1293D8A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851E3" w14:textId="4CEB8A1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85.1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A2C48" w14:textId="031E2F4A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10.5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1B68D" w14:textId="3808D890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51.5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50462" w14:textId="4668EC5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48.2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C1FD1" w14:textId="4240E41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90.6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5F02D" w14:textId="4E7BD9B7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96.7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BE09E" w14:textId="005C2FA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91.6</w:t>
            </w:r>
          </w:p>
        </w:tc>
      </w:tr>
      <w:tr w:rsidR="008C4623" w:rsidRPr="0017155C" w14:paraId="6B3F4675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2F072C" w14:textId="6B9BE76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38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4DDE2C9" w14:textId="7DEB4D58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Simón Bolívar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F523088" w14:textId="27B0C98A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Venezuela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F1CA061" w14:textId="44307EC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65.3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8419451" w14:textId="137DB693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60.2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6E38A44" w14:textId="58D1E40B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69.7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23C3E4C" w14:textId="07264E2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48.5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C2EE385" w14:textId="6390943E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61.8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DDB2D2B" w14:textId="3C93EE3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58.5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2A429EC" w14:textId="12263F5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81.2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C60D23D" w14:textId="6059EA5D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50.9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96E65AD" w14:textId="7480DD3B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67.2</w:t>
            </w:r>
          </w:p>
        </w:tc>
      </w:tr>
      <w:tr w:rsidR="008C4623" w:rsidRPr="0017155C" w14:paraId="2998DEAD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F40C" w14:textId="0EB40C6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EE193" w14:textId="2C4CC1E2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Instituto Tecnológico Autónomo de México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B3F9" w14:textId="17B6B540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México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51CC3" w14:textId="575409ED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64.7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D65B7" w14:textId="4E0DB358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60.2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40780" w14:textId="7EA6268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93.6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0BA9A" w14:textId="4721415E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39.8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37E95" w14:textId="61D586B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85.5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C15C4" w14:textId="579D227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45.7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C9E7B" w14:textId="423F49B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36.9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BA898" w14:textId="10FB5383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33.4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F7F06" w14:textId="14BF894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44.5</w:t>
            </w:r>
          </w:p>
        </w:tc>
      </w:tr>
      <w:tr w:rsidR="008C4623" w:rsidRPr="0017155C" w14:paraId="211C6614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AE10B3" w14:textId="13015317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8A34FFD" w14:textId="34DD4FFB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de Puerto Rico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C407F24" w14:textId="2952139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Puerto Rico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15A66F0" w14:textId="4CC7808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63.5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42BDD60" w14:textId="1C9A4C47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46.1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1D8A40F" w14:textId="666D1117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34.5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F1ABAC6" w14:textId="01357C4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29.5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F7C2A47" w14:textId="7BED1F88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98.9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96EB273" w14:textId="52DF94A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93.1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86A9CCF" w14:textId="66568D6D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45.6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6C09249" w14:textId="217C88B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4B8D04F" w14:textId="41964A9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95.4</w:t>
            </w:r>
          </w:p>
        </w:tc>
      </w:tr>
      <w:tr w:rsidR="008C4623" w:rsidRPr="0017155C" w14:paraId="36E6091E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B25B" w14:textId="3DB983B0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4DF03" w14:textId="10FDCD2F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de San Andrés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C5672" w14:textId="73B53A2B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Argentina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D43E2" w14:textId="0A85895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63.4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2013B" w14:textId="3FF3BDD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33.9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5FCE3" w14:textId="04C65053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77.6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3831B" w14:textId="47043F9E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88.3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97934" w14:textId="0909647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99.5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B83EC" w14:textId="486021CA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33.6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0B153" w14:textId="2AFD2630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53.9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0F23E" w14:textId="4CAED72E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86.8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9F196" w14:textId="6A81CE1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24.8</w:t>
            </w:r>
          </w:p>
        </w:tc>
      </w:tr>
      <w:tr w:rsidR="008C4623" w:rsidRPr="0017155C" w14:paraId="163CEEF9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8F42DE" w14:textId="10CBFBA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1F8A708" w14:textId="7C832C4E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Iberoamericana (México)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B2C9D4C" w14:textId="4F47B45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México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99B39B5" w14:textId="0CDDEE6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63.2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301D170" w14:textId="3910CBBA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70.1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7CC72C0" w14:textId="5464694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92.6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95B3160" w14:textId="2B277FF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57.1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A8229EF" w14:textId="25640E67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57.3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E8F8B9E" w14:textId="0A8954B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34.8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80558B" w14:textId="5182EAE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14.2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3EC056A" w14:textId="2679BF1D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43.3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0988542" w14:textId="27A57B4D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20.3</w:t>
            </w:r>
          </w:p>
        </w:tc>
      </w:tr>
      <w:tr w:rsidR="008C4623" w:rsidRPr="0017155C" w14:paraId="0CA76178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9805" w14:textId="1278028E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89090" w14:textId="2106C34D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Central de Venezuela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EB070" w14:textId="1B7F1FEA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Venezuela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3A783" w14:textId="76F81DA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62.7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DF294" w14:textId="2796CB7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72.3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FF521" w14:textId="5F07690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84.4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BBE67" w14:textId="3A54BCC8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39.6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45B9F" w14:textId="5FDB27E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11.8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BB350" w14:textId="7597EF83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58.8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34CB2" w14:textId="60CC5FD0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15.6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AC1A7" w14:textId="1B8485B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48.4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40958" w14:textId="460A2DB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70.3</w:t>
            </w:r>
          </w:p>
        </w:tc>
      </w:tr>
      <w:tr w:rsidR="008C4623" w:rsidRPr="0017155C" w14:paraId="7393FB35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88B0285" w14:textId="0F89CCA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44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C52ECAC" w14:textId="347E1650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Pontificia Universidad Católica Argentina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4E3F2D" w14:textId="642AD280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Argentina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8DA8022" w14:textId="59DA77BA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62.1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1726992" w14:textId="2D3004B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67.4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D490257" w14:textId="2632D5A0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91.9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4EBD0EB" w14:textId="073A247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5BAB764" w14:textId="5C9655DA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71A4016" w14:textId="0E687DDD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55.8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DBA0C7" w14:textId="59B14FD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3.9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5194DC8" w14:textId="024FD82D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42.6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6C9B791" w14:textId="4C24E24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11</w:t>
            </w:r>
          </w:p>
        </w:tc>
      </w:tr>
      <w:tr w:rsidR="008C4623" w:rsidRPr="0017155C" w14:paraId="272694ED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B23A" w14:textId="3E08C26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90FAD" w14:textId="71163A96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Federal de Pernambuco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B1738" w14:textId="7CD2788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Brasil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6A219" w14:textId="31671D47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61.9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5825C" w14:textId="5BDAE9D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53.8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6BEC5" w14:textId="784A782E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9.4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139A6" w14:textId="5BF1860E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58.7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D63FB" w14:textId="5BB09EFA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99.8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16363" w14:textId="21CFB92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87.6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903F4" w14:textId="38FE1ECD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81.3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E8038" w14:textId="07F062F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9A11B" w14:textId="2C112B98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97.6</w:t>
            </w:r>
          </w:p>
        </w:tc>
      </w:tr>
      <w:tr w:rsidR="008C4623" w:rsidRPr="0017155C" w14:paraId="0DC19D65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2BB5FD" w14:textId="29C230D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46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E2C155A" w14:textId="47031491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de Guadalajara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3BDB96" w14:textId="2CFEF3D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México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F63E4AE" w14:textId="4BDD9ABB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61.4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648C33A" w14:textId="0F85DC0B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70.2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0763DA5" w14:textId="1D5738E3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42.2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327B7E9" w14:textId="362E1A5B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65.2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5C73EBD" w14:textId="21B5F040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49.8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7BE8B03" w14:textId="5BCE7CE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97.5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3F5CB95" w14:textId="1B9A5F7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9.9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3E7CE53" w14:textId="0C4E39B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42.9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EE336FF" w14:textId="300A071D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74.7</w:t>
            </w:r>
          </w:p>
        </w:tc>
      </w:tr>
      <w:tr w:rsidR="008C4623" w:rsidRPr="0017155C" w14:paraId="4BA828DE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4801" w14:textId="0BBFBC4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47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FED7A" w14:textId="55A5BF7C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del Rosario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64D97" w14:textId="52AFE8E3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Colombia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B85C2" w14:textId="41863B6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60.3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7062B" w14:textId="55A2EB8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49.6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47D48" w14:textId="6632DB48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78.2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725F3" w14:textId="4813444E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55.9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7993F" w14:textId="26303470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39.3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EC1AD" w14:textId="225866D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62.2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F80E0" w14:textId="346DD16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46.2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90819" w14:textId="7407E01E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54.5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8A9D5" w14:textId="6D2DCE77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61.9</w:t>
            </w:r>
          </w:p>
        </w:tc>
      </w:tr>
      <w:tr w:rsidR="008C4623" w:rsidRPr="0017155C" w14:paraId="0AA35DBD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F99689" w14:textId="115696E8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48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D34BA59" w14:textId="41E7F682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Autónoma de Nuevo León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ADD98D0" w14:textId="7AE8A3DA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México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23C2B0B" w14:textId="49E2DF1A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59.9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94C29C6" w14:textId="1F95BA7E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63.6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9EB7688" w14:textId="4E2049A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55.3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92F24F0" w14:textId="47B5F890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7.9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0A8C362" w14:textId="2B0D79F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32.9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55C6949" w14:textId="3F0BCCE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72.7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4A1056" w14:textId="42C1405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30.8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53FD176" w14:textId="0ACD415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83.4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C5381B1" w14:textId="7F4F6463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89.8</w:t>
            </w:r>
          </w:p>
        </w:tc>
      </w:tr>
      <w:tr w:rsidR="008C4623" w:rsidRPr="0017155C" w14:paraId="0BE2BCAA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1895" w14:textId="23CB315D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FC77E" w14:textId="5C38D238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de la República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51093" w14:textId="15F9FD03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Uruguay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9D582" w14:textId="326C23C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57.4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0AA9A" w14:textId="79A61C6D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62.7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DAFA2" w14:textId="749D8133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51.9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7C3F3" w14:textId="5972684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36.8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522E8" w14:textId="151660A7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15.9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91232" w14:textId="1686B4B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21.7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4B90B" w14:textId="48D0C13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21.2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BE201" w14:textId="0B90BC1D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82.9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A1209" w14:textId="4A8D5E4E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94.6</w:t>
            </w:r>
          </w:p>
        </w:tc>
      </w:tr>
      <w:tr w:rsidR="008C4623" w:rsidRPr="0017155C" w14:paraId="57BE1491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BBDCEE" w14:textId="2C67B1E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46C6D9F" w14:textId="21209D0C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de las Américas Puebla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B63884" w14:textId="7B359CB0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México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FA2EBEE" w14:textId="52C9092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56.7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841EA58" w14:textId="05709800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34.8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3C8067D" w14:textId="4B83FD6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61.8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BADBF0E" w14:textId="219C7A1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61.8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387472B" w14:textId="0B045D8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97.6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7C1F03F" w14:textId="4185057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55.9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CB5B523" w14:textId="272EB47E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38.8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62A807E" w14:textId="45CF0397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57.8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7905948" w14:textId="31C98C13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43.8</w:t>
            </w:r>
          </w:p>
        </w:tc>
      </w:tr>
      <w:tr w:rsidR="008C4623" w:rsidRPr="0017155C" w14:paraId="21A9B1F7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501A" w14:textId="1C0F950A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7F0B8" w14:textId="1CD555D6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Pontificia Universidad Católica de Sao Paulo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A87DA" w14:textId="3F4AA4D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Brasil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A9B32" w14:textId="2DA3C658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55.8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0C7AC" w14:textId="7EFCF4C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53.9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8EAA7" w14:textId="4948970B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EC1FE" w14:textId="00D765EE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84.7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4DF06" w14:textId="626E024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99.6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CDA65" w14:textId="315A14B8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79.6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8A9EB" w14:textId="67D99B40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22.2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34024" w14:textId="2225E03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4.8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06AB0" w14:textId="22182C8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N/D</w:t>
            </w:r>
          </w:p>
        </w:tc>
      </w:tr>
      <w:tr w:rsidR="008C4623" w:rsidRPr="0017155C" w14:paraId="364C12B4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545DEF" w14:textId="1471CD08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61D03E9" w14:textId="6CD35B09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del Estado de Río de Janeiro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22BB772" w14:textId="03584BC7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Brasil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22953EE" w14:textId="6D5FCD2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55.8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68577D4" w14:textId="0F4E7CC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36.3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952B37E" w14:textId="5114D07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23.8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4BCD171" w14:textId="268DD1E7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49.3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ABB9D16" w14:textId="29BA43A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A86484E" w14:textId="69C1B14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90.2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B0745B" w14:textId="46BC0F8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77.2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C90C715" w14:textId="37AC49C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49.9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93235F1" w14:textId="6796C5F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88.3</w:t>
            </w:r>
          </w:p>
        </w:tc>
      </w:tr>
      <w:tr w:rsidR="008C4623" w:rsidRPr="0017155C" w14:paraId="53579F5E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6B77" w14:textId="1E362FF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6470E" w14:textId="1FDABAEC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de Talca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09864" w14:textId="2541BF4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Chile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2DF90" w14:textId="66550FCA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55.2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769BC" w14:textId="684BAD4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45.5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023A5" w14:textId="3A4317B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37.2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43C53" w14:textId="3AF0C328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18.8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AE54B" w14:textId="417BB7EA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B1702" w14:textId="424B527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50.4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7162D" w14:textId="5EA688F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94.5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E7A5F" w14:textId="35E2979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60.4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975C3" w14:textId="50DD9C5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82.7</w:t>
            </w:r>
          </w:p>
        </w:tc>
      </w:tr>
      <w:tr w:rsidR="008C4623" w:rsidRPr="0017155C" w14:paraId="53121C00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682480" w14:textId="60C2DF4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54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389B7C8" w14:textId="2EFCEA22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Federal Fluminense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55C5D4E" w14:textId="37AEE26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Brasil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3745786" w14:textId="4B318C1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55.1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14E6F86" w14:textId="46D96C4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33.5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91911DE" w14:textId="1E1B088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11.6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1CF2F3E" w14:textId="0E21FF4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58.9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4541CD7" w14:textId="494A118B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9E32A3D" w14:textId="398FCC6D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EECE38F" w14:textId="5CA23DA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75.5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AD8409A" w14:textId="5723F127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54.5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53310A3" w14:textId="18E75BE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97.3</w:t>
            </w:r>
          </w:p>
        </w:tc>
      </w:tr>
      <w:tr w:rsidR="008C4623" w:rsidRPr="0017155C" w14:paraId="5C95AF1C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9FA6" w14:textId="7EBE8F7A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8FD38" w14:textId="6F93293D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Pontificia Universidad Católica de Río Grande del Sur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749A6" w14:textId="7BA1F4FB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Brasil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4C55" w14:textId="0F4029B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54.9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A295B" w14:textId="2B8CED9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31.3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13EAE" w14:textId="5883250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20.1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E8302" w14:textId="3A30445A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44.2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4CFD9" w14:textId="68BAFD1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695CB" w14:textId="688D7297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85.7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B32C9" w14:textId="1571ED0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98.7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D5E0C" w14:textId="4E9E63FB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77.5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DA8E9" w14:textId="2D6E707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71.2</w:t>
            </w:r>
          </w:p>
        </w:tc>
      </w:tr>
      <w:tr w:rsidR="008C4623" w:rsidRPr="0017155C" w14:paraId="1DD536B4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31E3D44" w14:textId="00DE8997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56BB569" w14:textId="745103F9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San Francisco de Quito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1B8118" w14:textId="63126868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Ecuador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A344A9C" w14:textId="543C5A63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54.9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31F3B28" w14:textId="2A64646E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44.4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02D4A5F" w14:textId="686D88FB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67.6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48AD404" w14:textId="4D2CE7CA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57.4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CF44517" w14:textId="4EC50BB8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32.1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20B6092" w14:textId="785F7BCA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50.8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12237C" w14:textId="021CEE7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24.2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9847305" w14:textId="2AF43AD8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93D4036" w14:textId="7682497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52</w:t>
            </w:r>
          </w:p>
        </w:tc>
      </w:tr>
      <w:tr w:rsidR="008C4623" w:rsidRPr="0017155C" w14:paraId="5BBB0B21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8107" w14:textId="7F4A02CB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57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05E20" w14:textId="0AE59C7E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Instituto Tecnológico de Buenos Aires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7B714" w14:textId="7E12B12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Argentina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78915" w14:textId="2E23630A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54.4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2A632" w14:textId="1E9B34E7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39.2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EB584" w14:textId="4349333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74.3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64B6A" w14:textId="6A3ED91D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90.1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7FFC5" w14:textId="081C0B5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26.8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BEF61" w14:textId="36EC18B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305BB" w14:textId="1A7C237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B024C" w14:textId="2768FB3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76.1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4284E" w14:textId="017A8AA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35.4</w:t>
            </w:r>
          </w:p>
        </w:tc>
      </w:tr>
      <w:tr w:rsidR="008C4623" w:rsidRPr="0017155C" w14:paraId="11957EB2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1F3401" w14:textId="552522E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58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1A6E62D" w14:textId="0CB988D0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del Valle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D9297B" w14:textId="44C240AB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Colombia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8194B6C" w14:textId="6B37C74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54.1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D6F2BE6" w14:textId="55E58D0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66.6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CF40333" w14:textId="625FCD8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50.8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82BA40E" w14:textId="105DD180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23.5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D416F79" w14:textId="7A3ADA3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36.3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25E4C40" w14:textId="3ED24B18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51.4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20AEE4" w14:textId="2497ACC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47.7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69FFE2D" w14:textId="69CB94E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43.8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2E6F6C4" w14:textId="421C102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57.1</w:t>
            </w:r>
          </w:p>
        </w:tc>
      </w:tr>
      <w:tr w:rsidR="008C4623" w:rsidRPr="0017155C" w14:paraId="069163A5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F335" w14:textId="49A45E6A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A1CB3" w14:textId="25B141B3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Nacional de Rosario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D50B" w14:textId="08D1A06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Argentina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8F4EA" w14:textId="6D028553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53.7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8A0D5" w14:textId="14C1A410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ECD78" w14:textId="63BFA44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31.6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D3003" w14:textId="4A0ED113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40.7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7BE80" w14:textId="35779B1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17.5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4256B" w14:textId="4885D5B7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69.5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D3D85" w14:textId="516499D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14.9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C4986" w14:textId="1B6E5DBE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60.5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D5060" w14:textId="740F01E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71.1</w:t>
            </w:r>
          </w:p>
        </w:tc>
      </w:tr>
      <w:tr w:rsidR="008C4623" w:rsidRPr="0017155C" w14:paraId="6876C1E2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864E83" w14:textId="7ECA2BB3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2A87295" w14:textId="2CFB783A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Federal de Ceará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407619" w14:textId="464008D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Brasil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AFF9139" w14:textId="219FC353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53.6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9730002" w14:textId="091508DE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29.1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BD457CB" w14:textId="0701EB98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10.9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C38E562" w14:textId="6FB7C98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32.2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DC4A3E4" w14:textId="78BA6F4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99.7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BD019A7" w14:textId="234B8B6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90.2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9D2B101" w14:textId="242FA01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91.2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974DB82" w14:textId="521DA2F7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83.7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315DAC7" w14:textId="5601CD4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92.1</w:t>
            </w:r>
          </w:p>
        </w:tc>
      </w:tr>
      <w:tr w:rsidR="008C4623" w:rsidRPr="0017155C" w14:paraId="03029691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0D30" w14:textId="1E2DC83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8E0C8" w14:textId="5D666CCC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Nacional Costa Rica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41ECB" w14:textId="3D68BC4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Costa Rica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E05D3" w14:textId="760AE3E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53.1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22C57" w14:textId="1AD5EA0A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44.6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C0AC0" w14:textId="1B80424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63.6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55F69" w14:textId="227C2E1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54.7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A1C0F" w14:textId="1100B89E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14.2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327EA" w14:textId="63B748D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52.5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72E11" w14:textId="0971FF8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13.2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F2C40" w14:textId="7563AF7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83.5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170D7" w14:textId="0C4F132B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56.1</w:t>
            </w:r>
          </w:p>
        </w:tc>
      </w:tr>
      <w:tr w:rsidR="008C4623" w:rsidRPr="0017155C" w14:paraId="725371EE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23F403" w14:textId="509F0F3E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556DD78" w14:textId="0118A754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de La Sabana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7AFF31" w14:textId="29D7E0EA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Colombia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99CC6ED" w14:textId="59DC289B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52.6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E8860EB" w14:textId="6E0E9F1B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55.5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0FAE3A5" w14:textId="41FABA68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87.5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3FC2DB2" w14:textId="4ACDFB53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C71F023" w14:textId="5B2F8D4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16.9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A164CD4" w14:textId="4A4C76E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37.2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2AA58D" w14:textId="727A2AA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48E19E2" w14:textId="53C3EF83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28.8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A83EE22" w14:textId="1EC8452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34.5</w:t>
            </w:r>
          </w:p>
        </w:tc>
      </w:tr>
      <w:tr w:rsidR="008C4623" w:rsidRPr="0017155C" w14:paraId="26F8180C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5627" w14:textId="041133A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6A0AA" w14:textId="22F80CCD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EAFIT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E4E22" w14:textId="210FDA9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Colombia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846EB" w14:textId="784246BE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52.2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573AC" w14:textId="21A0F07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45.7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36034" w14:textId="3634FDF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88.7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E991C" w14:textId="2A008BB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19.1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4A882" w14:textId="71FC6C7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51.8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134D4" w14:textId="7BD985D7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36EE2" w14:textId="62F071EE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59.9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48C4C" w14:textId="3D4F95C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14.4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70CF0" w14:textId="313280E3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36.5</w:t>
            </w:r>
          </w:p>
        </w:tc>
      </w:tr>
      <w:tr w:rsidR="008C4623" w:rsidRPr="0017155C" w14:paraId="10677988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E722B9" w14:textId="79874CC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64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6BF5B6E" w14:textId="1C324526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Escuela Superior Politécnica del Litoral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2340FC" w14:textId="479263B3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Ecuador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180DBF6" w14:textId="5607B3AD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51.8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7835318" w14:textId="0084D20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40.2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4179AAE" w14:textId="027A631D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63.2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895F2AE" w14:textId="2C38F9B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49.7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B8BE583" w14:textId="20D0F74D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30.6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0F0A670" w14:textId="0BABFBF0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76.7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2BC014C" w14:textId="5FECCF6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22.3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B2DD3FB" w14:textId="1ADEC21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36.4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82A0DFD" w14:textId="6EC87F3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77.1</w:t>
            </w:r>
          </w:p>
        </w:tc>
      </w:tr>
      <w:tr w:rsidR="008C4623" w:rsidRPr="0017155C" w14:paraId="2B26C177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3770" w14:textId="1CC6184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E08FB" w14:textId="769F5DBF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del Norte (Colombia)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B7653" w14:textId="5ADC5A6D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Colombia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732C8" w14:textId="5285F31E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51.2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3FA67" w14:textId="77CCB8D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39.6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9E96E" w14:textId="03DBDC03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51.9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CFAA6" w14:textId="249412B8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32.1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8B368" w14:textId="5F9ED61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62.7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7756C" w14:textId="6B880180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60.3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73657" w14:textId="5BAE80D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41.6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08581" w14:textId="50917CF7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57.2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E7478" w14:textId="7873E6CB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59.3</w:t>
            </w:r>
          </w:p>
        </w:tc>
      </w:tr>
      <w:tr w:rsidR="008C4623" w:rsidRPr="0017155C" w14:paraId="60465B58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AA37DA" w14:textId="1169FC80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66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8D8A99C" w14:textId="4F938378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Autónoma del Estado de México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EF72B3" w14:textId="203C23D3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México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F104399" w14:textId="3E37062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51.1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DFE271D" w14:textId="5FF30DD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72.9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A2F57E7" w14:textId="0A66892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32.6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54C26FC" w14:textId="1AA8A923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20.9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5808B3B" w14:textId="536D62E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F6A2FAD" w14:textId="2677304D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78.1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F91A3F5" w14:textId="4584B64A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20.2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7B3C023" w14:textId="0F52173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42.5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5DED2B5" w14:textId="5B50724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45</w:t>
            </w:r>
          </w:p>
        </w:tc>
      </w:tr>
      <w:tr w:rsidR="008C4623" w:rsidRPr="0017155C" w14:paraId="4A7A51E5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11C8" w14:textId="383C6EC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67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B26E6" w14:textId="01727421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de los Andes (Chile)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FF68F" w14:textId="1EDDD36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Chile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29DD9" w14:textId="3F04FAB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50.5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E55C4" w14:textId="3D12A54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46.4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D0211" w14:textId="0F5B0A0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57.9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5130D" w14:textId="329B9C3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41.9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8C181" w14:textId="16C480E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37.5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414EE" w14:textId="0B92347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21.6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F2307" w14:textId="02F2F66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53.8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3C89A" w14:textId="3DE359A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57.9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38320" w14:textId="55F266A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48</w:t>
            </w:r>
          </w:p>
        </w:tc>
      </w:tr>
      <w:tr w:rsidR="008C4623" w:rsidRPr="0017155C" w14:paraId="24924AB9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5795993" w14:textId="4F5829F8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68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1A48DEA" w14:textId="044EF620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Nacional Mayor de San Marcos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0E52E0A" w14:textId="6444D3B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Perú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323FBEA" w14:textId="3F7BB04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49.6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6842861" w14:textId="0726A3F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70.4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70E126A" w14:textId="706CB3C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61.4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1E54C0C" w14:textId="15391DCE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12.4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4A30C2D" w14:textId="4B3912EB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19.2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E16ED73" w14:textId="6797AC37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79.6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A1D1EB" w14:textId="40B6BAE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16.6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0A009C1" w14:textId="3D2E2D7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21.9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6A2F4B3" w14:textId="2F9291A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34</w:t>
            </w:r>
          </w:p>
        </w:tc>
      </w:tr>
      <w:tr w:rsidR="008C4623" w:rsidRPr="0017155C" w14:paraId="735C5528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464C" w14:textId="24EBB88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970ED" w14:textId="0213A1C3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Pontificia Bolivariana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E0624" w14:textId="4631739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Colombia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E8F4F" w14:textId="722BE86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49.2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CA9D6" w14:textId="197ECC7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36.2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C2BF1" w14:textId="3077F65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64.9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E950A" w14:textId="0531FEB0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91.7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88E53" w14:textId="6A045750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20.2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9035C" w14:textId="43968CCD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52.6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DEFF5" w14:textId="01A46E2A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25.2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2A7FB" w14:textId="1C2304F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28.7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30D91" w14:textId="068365E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47.9</w:t>
            </w:r>
          </w:p>
        </w:tc>
      </w:tr>
      <w:tr w:rsidR="008C4623" w:rsidRPr="0017155C" w14:paraId="48B7AFBF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901E05" w14:textId="79E94E4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83BC56F" w14:textId="066C1B6D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Tecnológico de Costa Rica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8120E5C" w14:textId="7C64CD9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Costa Rica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7BDD3DD" w14:textId="422FB4AE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49.1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8758319" w14:textId="3B335240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37.7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F3350A9" w14:textId="3AE72F53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74.4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EAA69E3" w14:textId="520F675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55.3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AAD2B78" w14:textId="33FBFC1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13.8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06953C5" w14:textId="65032B37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37.5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37BD45" w14:textId="459DB88B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10.9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3BF5061" w14:textId="4EBD84F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85.3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D7B92B3" w14:textId="57A3A53E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24.2</w:t>
            </w:r>
          </w:p>
        </w:tc>
      </w:tr>
      <w:tr w:rsidR="008C4623" w:rsidRPr="0017155C" w14:paraId="4D4FEE4C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E5A4" w14:textId="3C07125E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E209B" w14:textId="765867A1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Andrés Bello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5BB90" w14:textId="388C704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Chile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97AAD" w14:textId="7EBBC66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49.1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3FFE4" w14:textId="04B663BD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38.1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C746A" w14:textId="641CFDB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44.3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AF540" w14:textId="473EF85A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18.7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F83ED" w14:textId="55CA737B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4CF40" w14:textId="52BD06E8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49.3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647D9" w14:textId="38BEC83A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36.5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F8DE9" w14:textId="0A1419AA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94.9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3FE4F" w14:textId="402931E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88.8</w:t>
            </w:r>
          </w:p>
        </w:tc>
      </w:tr>
      <w:tr w:rsidR="008C4623" w:rsidRPr="0017155C" w14:paraId="0AF5EC29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5EF5E3" w14:textId="076C25AA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E75AC09" w14:textId="69276311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Industrial de Santander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558140" w14:textId="6B321A9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Colombia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24C65FF" w14:textId="7C321F3D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49.1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7F190C6" w14:textId="29E55D0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39.8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94BCB0E" w14:textId="5F2E7E6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53.4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BB9AABB" w14:textId="15B328DB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13.8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CD7AF2E" w14:textId="1533165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39.2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9688373" w14:textId="63EC53E7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42.2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3F65E2C" w14:textId="7C5BB86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57.7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987C9D7" w14:textId="65BD5DEB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76.9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95708B6" w14:textId="2CC8E3CD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58.3</w:t>
            </w:r>
          </w:p>
        </w:tc>
      </w:tr>
      <w:tr w:rsidR="008C4623" w:rsidRPr="0017155C" w14:paraId="5371ECFA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3A3D" w14:textId="31D80ABD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1A3A9" w14:textId="4820B147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de la Frontera (Chile)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037CC" w14:textId="293DC89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Chile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9902A" w14:textId="4245DE0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48.8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C42E5" w14:textId="0D63150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36.4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F2867" w14:textId="2D2A4B4A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18.2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DCFC3" w14:textId="4A9733FE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12.9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8253D" w14:textId="25B2768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75.5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94DE2" w14:textId="4A792DE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7FEB4" w14:textId="25E28DC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98.7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D9DD5" w14:textId="7F65A7C3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82.2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CE033" w14:textId="79E1E4F0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73.9</w:t>
            </w:r>
          </w:p>
        </w:tc>
      </w:tr>
      <w:tr w:rsidR="008C4623" w:rsidRPr="0017155C" w14:paraId="501A8E17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278ACD" w14:textId="6A18CA30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49D14C0" w14:textId="2710602A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Peruana Cayetano Heredia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931F31A" w14:textId="40AD5403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Perú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C47EEC1" w14:textId="547CBB33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48.8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E9F58CC" w14:textId="502671A3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43.9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21E7F85" w14:textId="6DE2597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70F036F" w14:textId="1F8E6573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91.9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6038561" w14:textId="34D6AA2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6.2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0209BBA" w14:textId="2A4A1E37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8.9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3120AD" w14:textId="7875F67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38.5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E02FEF8" w14:textId="607D7FA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96.6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3FC461D" w14:textId="4996577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57.6</w:t>
            </w:r>
          </w:p>
        </w:tc>
      </w:tr>
      <w:tr w:rsidR="008C4623" w:rsidRPr="0017155C" w14:paraId="296A570E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EB1F" w14:textId="27A68CD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9F41B" w14:textId="3A45EEB2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Pontificia Universidad Católica del Ecuador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66AED" w14:textId="28948B97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Ecuador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0EC00" w14:textId="65BBE29D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48.6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A970A" w14:textId="73F19B2A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38.7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128B5" w14:textId="16DA9D4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58.6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38BEF" w14:textId="5BD1ADB3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53.7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C241F" w14:textId="1601893E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6.1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279FF" w14:textId="53FAC180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46.7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CA212" w14:textId="55DE2B4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8.2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F2970" w14:textId="472E620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82.3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5ACFD" w14:textId="5974C68B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57.2</w:t>
            </w:r>
          </w:p>
        </w:tc>
      </w:tr>
      <w:tr w:rsidR="008C4623" w:rsidRPr="0017155C" w14:paraId="5E615161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1AA8C2" w14:textId="6FF1AE5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F9A7259" w14:textId="25B941E1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Anáhuac México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21BE5D" w14:textId="4F21104E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México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090BD58" w14:textId="427B69A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48.6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BBC9E5B" w14:textId="1392474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44.1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E13C42E" w14:textId="6DC4329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85.8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759D840" w14:textId="1AD5007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93.1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CC9EA49" w14:textId="787F2DE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20.4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92DE6F5" w14:textId="4210762B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89C92F" w14:textId="0C9230A8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4.7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1022930" w14:textId="5F61591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16.9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AF2C44B" w14:textId="34A4EE07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7.3</w:t>
            </w:r>
          </w:p>
        </w:tc>
      </w:tr>
      <w:tr w:rsidR="008C4623" w:rsidRPr="0017155C" w14:paraId="6F821306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AFDC" w14:textId="364C4E5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77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BDD43" w14:textId="28676576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Federal de Viçosa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44A2D" w14:textId="21AC164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Brasil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E7D56" w14:textId="61DF0398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48.3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B0FAD" w14:textId="4399D6B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26.3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54BF9" w14:textId="7FCE943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6.9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04722" w14:textId="331950E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45.9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59541" w14:textId="6D42AEF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BB767" w14:textId="323F719B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75.9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04EB8" w14:textId="46F6178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99.8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7CD9F" w14:textId="69F29107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52.9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8397C" w14:textId="19B2AFB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77.6</w:t>
            </w:r>
          </w:p>
        </w:tc>
      </w:tr>
      <w:tr w:rsidR="008C4623" w:rsidRPr="0017155C" w14:paraId="6E30F071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4530F6" w14:textId="770B7763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78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C20CA3C" w14:textId="0DEFF97E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Federal de Bahía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FB3FC8" w14:textId="4A43193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Brasil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1CAA95C" w14:textId="0B2BF10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48.2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6CFEFC2" w14:textId="2FCB934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28.8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22DCE4F" w14:textId="2FDD1768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7.9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250553D" w14:textId="4FD7AEB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37.2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EE2C2E7" w14:textId="2057B78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C5BFC2B" w14:textId="60292763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94.4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2A144F" w14:textId="25D8DD47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73.8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FE5FF2D" w14:textId="0BADBE3E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63.1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57B1712" w14:textId="23681503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69.3</w:t>
            </w:r>
          </w:p>
        </w:tc>
      </w:tr>
      <w:tr w:rsidR="008C4623" w:rsidRPr="0017155C" w14:paraId="003188E9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E9BA" w14:textId="6AFAC850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51642" w14:textId="31E3960E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Federal de Pelotas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3E1E2" w14:textId="03006DA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Brasil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D50E7" w14:textId="427A8B7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5716F" w14:textId="7244FCC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12.1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D55B0" w14:textId="5BA1E64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3.2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D31C5" w14:textId="6D0D4F5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B3265" w14:textId="32A8E8D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9591B" w14:textId="14F930E3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75.5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BCB94" w14:textId="36D5317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90.9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C49EF" w14:textId="2BD729CD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75.3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D2997" w14:textId="786B5E3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81.6</w:t>
            </w:r>
          </w:p>
        </w:tc>
      </w:tr>
      <w:tr w:rsidR="008C4623" w:rsidRPr="0017155C" w14:paraId="72352731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AB0C30" w14:textId="4A0A150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75DFA49" w14:textId="7FD6B963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de Valparaíso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57795E" w14:textId="6B92FC1B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Chile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5D7F1DE" w14:textId="00DE7C7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47.3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8669D53" w14:textId="7258AC6D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41.1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3AE6486" w14:textId="4EDBC65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4534DB0" w14:textId="6054B678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31.1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AD806B8" w14:textId="2CE902A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30.9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C869A03" w14:textId="021740B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51.2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F46F1C2" w14:textId="511B99D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59.1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2CF1E69" w14:textId="2AE94DE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63.3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ECE7A43" w14:textId="535F943A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84.1</w:t>
            </w:r>
          </w:p>
        </w:tc>
      </w:tr>
      <w:tr w:rsidR="008C4623" w:rsidRPr="0017155C" w14:paraId="3ED4D638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CFF7" w14:textId="14C65D13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D6E3F" w14:textId="18ED59E0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Federal de Río Grande del Norte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B5301" w14:textId="649DB42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Brasil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C51C3" w14:textId="1115047A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47.1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97E2F" w14:textId="6E597AA8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A8A79" w14:textId="79C38407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6.5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EFCAE" w14:textId="5CACEA4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065F2" w14:textId="70A417EE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99.8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3BA5F" w14:textId="6236EE8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91.4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4838F" w14:textId="7068E48A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84.2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1B6F7" w14:textId="031470E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4DD27" w14:textId="423B2D3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93.4</w:t>
            </w:r>
          </w:p>
        </w:tc>
      </w:tr>
      <w:tr w:rsidR="008C4623" w:rsidRPr="0017155C" w14:paraId="1208ACC5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283406" w14:textId="7341BF9D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62AECE7" w14:textId="3C60E2D2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El Colegio de México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CF0321" w14:textId="6BEA64A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México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BB7DF15" w14:textId="1A238C98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7F5F727" w14:textId="60D572DE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53.2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2177ACC" w14:textId="77A48BB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12.7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9CE9FAD" w14:textId="7E908F8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6D09933" w14:textId="0ADEC96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B91FBD6" w14:textId="1FE0E6B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61.1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183E9A" w14:textId="11FF7E6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47.9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A77376F" w14:textId="11A013CD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3.5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A964603" w14:textId="45245AAB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1.4</w:t>
            </w:r>
          </w:p>
        </w:tc>
      </w:tr>
      <w:tr w:rsidR="008C4623" w:rsidRPr="0017155C" w14:paraId="720AE849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B7A7" w14:textId="1EB718A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8C693" w14:textId="7138AF67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de los Andes (Mérida, Venezuela)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6DA68" w14:textId="26ADF73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Venezuela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59BED" w14:textId="7AF2732A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BAC44" w14:textId="4238FF3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52.3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C6607" w14:textId="1FA34BEE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48.2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2CC4B" w14:textId="56A49B5D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44A77" w14:textId="03E9179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23.4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987ED" w14:textId="203A459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72.2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CA32F" w14:textId="768D3807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080FC" w14:textId="22AB53E3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25.9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14758" w14:textId="21BE024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58.6</w:t>
            </w:r>
          </w:p>
        </w:tc>
      </w:tr>
      <w:tr w:rsidR="008C4623" w:rsidRPr="0017155C" w14:paraId="30275EB9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38DD65" w14:textId="116B582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84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77E3953" w14:textId="5E22C17D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Católica Andrés Bello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069E1EC" w14:textId="7665BE03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Venezuela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90CDA1F" w14:textId="38375E9E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46.9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D18CABA" w14:textId="3F35B20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73.4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B2617E4" w14:textId="09FBC68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94.4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F6F42E4" w14:textId="1AFD13C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11.1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A662675" w14:textId="79EC52C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5.9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BDE1345" w14:textId="7A30201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32.5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448D508" w14:textId="234CDC9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19623D1" w14:textId="56B66D08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N/D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7E8FC64" w14:textId="2F81BB40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N/D</w:t>
            </w:r>
          </w:p>
        </w:tc>
      </w:tr>
      <w:tr w:rsidR="008C4623" w:rsidRPr="0017155C" w14:paraId="0BD511F9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709F" w14:textId="1EF95CF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lastRenderedPageBreak/>
              <w:t>85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9A33D" w14:textId="5F6F6975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de Montevideo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858A9" w14:textId="502D9A8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Uruguay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E5530" w14:textId="008DEB8A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45.7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6EDC6" w14:textId="5F91ACFA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59.2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CAEE0" w14:textId="72A5D43A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56.1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DC194" w14:textId="5ECB9F78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854DB" w14:textId="44B195B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22.9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C4CC6" w14:textId="6BCA30A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17.4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A8646" w14:textId="46B94AF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9.7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9FB1B" w14:textId="4D7DA68B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N/D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316F9" w14:textId="686B00E7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7.9</w:t>
            </w:r>
          </w:p>
        </w:tc>
      </w:tr>
      <w:tr w:rsidR="008C4623" w:rsidRPr="0017155C" w14:paraId="67AF61C9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A887397" w14:textId="6C0E990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86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81F23D3" w14:textId="071165BB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Estatal de Londrina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AE0921" w14:textId="417875C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Brasil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8A108AA" w14:textId="454BFC2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45.6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4D614C9" w14:textId="0F157DB3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14.7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3E8313F" w14:textId="4683F67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DB609A4" w14:textId="4F934D8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63.2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B9CA48F" w14:textId="61114DFD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361BC79" w14:textId="6FE9D3F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74.4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7617A2" w14:textId="7875FB5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76.2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7881C1D" w14:textId="6137B9BA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60.6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BAB5A2E" w14:textId="31DD0A4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60</w:t>
            </w:r>
          </w:p>
        </w:tc>
      </w:tr>
      <w:tr w:rsidR="008C4623" w:rsidRPr="0017155C" w14:paraId="06FD3B6F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D9FD" w14:textId="07E053B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87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75C5F" w14:textId="43F821A4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Federal de Santa María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F881F" w14:textId="212F771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Brasil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5DE69" w14:textId="34F826B0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45.3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2311E" w14:textId="2EF1016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20.8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336F9" w14:textId="6ECFD9F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4.7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0B796" w14:textId="36E96A6A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38.8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FDA20" w14:textId="33A4394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FAF01" w14:textId="3E3536C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82.7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4CABE" w14:textId="1A84153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93.8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987BE" w14:textId="582DAD8D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50.2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93759" w14:textId="6B67CF4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79.9</w:t>
            </w:r>
          </w:p>
        </w:tc>
      </w:tr>
      <w:tr w:rsidR="008C4623" w:rsidRPr="0017155C" w14:paraId="06620578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745406" w14:textId="088743C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88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BDDCC98" w14:textId="483F6495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Autónoma de San Luis de Potosí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FEB0B2" w14:textId="430292AD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México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3CD6F76" w14:textId="54C1DBED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45.1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B39D0B0" w14:textId="2C1EEE3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30.8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407F370" w14:textId="39A562A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7.3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012E122" w14:textId="18C6CD7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22.6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F53C033" w14:textId="1DC4AFBD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B013F1D" w14:textId="1D969BE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46.5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CF838D" w14:textId="35E8009A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70.1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9DF2C87" w14:textId="206BEE50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90.8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1BC0D95" w14:textId="67A228C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92.9</w:t>
            </w:r>
          </w:p>
        </w:tc>
      </w:tr>
      <w:tr w:rsidR="008C4623" w:rsidRPr="0017155C" w14:paraId="1E082553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8DF7" w14:textId="530389ED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87520" w14:textId="49CF19F2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Benemérita Universidad Autónoma de Puebla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25718" w14:textId="2923326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México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400F9" w14:textId="4650886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60E59" w14:textId="1A8ED1F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14785" w14:textId="7419705A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22.9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19555" w14:textId="0EF8306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14.3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A9374" w14:textId="62665F4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58.4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79E1D" w14:textId="0C62CC1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60.2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D9999" w14:textId="453B5967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38.2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97143" w14:textId="10E1AB3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35.9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AF00F" w14:textId="3C726547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59.8</w:t>
            </w:r>
          </w:p>
        </w:tc>
      </w:tr>
      <w:tr w:rsidR="008C4623" w:rsidRPr="0017155C" w14:paraId="418CD0C2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B683B" w14:textId="0BA417C8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98CABA2" w14:textId="313115F8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de Guanajuato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A12E75" w14:textId="43249B6B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México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68018B8" w14:textId="6E6B26EB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B4118FE" w14:textId="1FC0F76A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32.3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B68B36C" w14:textId="48E062AB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AB80656" w14:textId="633606B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0D7CB64" w14:textId="2AABCCEE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74.8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1A26D02" w14:textId="1BE1A06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49.7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79B248" w14:textId="39D25B8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54.4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F3CA99D" w14:textId="560DAC38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70.5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543B53D" w14:textId="6594D54E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76.2</w:t>
            </w:r>
          </w:p>
        </w:tc>
      </w:tr>
      <w:tr w:rsidR="008C4623" w:rsidRPr="0017155C" w14:paraId="662EF68B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CBEC" w14:textId="19C7FFE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17605" w14:textId="28B22B33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de Oriente Santiago de Cuba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98BF6" w14:textId="562FFFEB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Cuba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B36A9" w14:textId="0A79C3A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44.9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CA026" w14:textId="7C5372A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38.4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8B8D5" w14:textId="28621EC0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69.3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793DB" w14:textId="57427A80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93.4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FEF2F" w14:textId="2C6256AB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22.7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7A182" w14:textId="53A3B39D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26.8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2DF1C" w14:textId="4A2E718A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7.8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BE459" w14:textId="72C69D5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12.3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4084C" w14:textId="488FD7A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25.3</w:t>
            </w:r>
          </w:p>
        </w:tc>
      </w:tr>
      <w:tr w:rsidR="008C4623" w:rsidRPr="0017155C" w14:paraId="17E43D5D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B0DFE3" w14:textId="5150AD48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2B50F69" w14:textId="1F1482EB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Estatal de Maringá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1CEB9C" w14:textId="70EF2A17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Brasil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B87AFEA" w14:textId="222EA17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44.6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F748197" w14:textId="71F4A49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13.6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39C790A" w14:textId="515B6A08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4.7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4DC3FCA" w14:textId="3AFF96D7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61.7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087E2FA" w14:textId="7A4A7917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99.2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81B6C4E" w14:textId="16145008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93.4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F94D07" w14:textId="244F134E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85.5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F16E439" w14:textId="08A46D5B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57.5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C3E2A2A" w14:textId="2704039E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64.1</w:t>
            </w:r>
          </w:p>
        </w:tc>
      </w:tr>
      <w:tr w:rsidR="008C4623" w:rsidRPr="0017155C" w14:paraId="37FFD73F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6230" w14:textId="600B89C8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2E3CA" w14:textId="35B19F24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Federal de Juiz de Fora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98F68" w14:textId="7A32E79D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Brasil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F4626" w14:textId="0DEC737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44.5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2F093" w14:textId="43155DD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13.7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43044" w14:textId="25BDC5E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9.9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C53A8" w14:textId="7C5D8BE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76.4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21B4B" w14:textId="2BCDE39B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98.9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DB5C3" w14:textId="14A1895A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48.3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CDF7D" w14:textId="141F059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67.2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29F14" w14:textId="0525EE5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46.7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DA6AB" w14:textId="1B351E7A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80.3</w:t>
            </w:r>
          </w:p>
        </w:tc>
      </w:tr>
      <w:tr w:rsidR="008C4623" w:rsidRPr="0017155C" w14:paraId="56AB7D96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185AF9" w14:textId="5FDF01DD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CF15FA7" w14:textId="0957696F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Nacional del Litoral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EF8CB9" w14:textId="79747B3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Argentina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AF63CD8" w14:textId="04A91B5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44.5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38907AF" w14:textId="668BCC2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49.1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AF88D8F" w14:textId="1C24AAD3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13.7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C5B5746" w14:textId="45BA174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8.6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7301EB3" w14:textId="0F1BC23B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30.1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C16A60C" w14:textId="36F7173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50.4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BFC005" w14:textId="404190C3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49.7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BECFF37" w14:textId="2E5B5A23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91.1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E07A757" w14:textId="019DCDA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66.1</w:t>
            </w:r>
          </w:p>
        </w:tc>
      </w:tr>
      <w:tr w:rsidR="008C4623" w:rsidRPr="0017155C" w14:paraId="61790771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BBAA" w14:textId="1DE655F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DBA30" w14:textId="287C61E3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Católica del Norte (Chile)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C7CFC" w14:textId="46C40430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Chile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39634" w14:textId="68E188E7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44.2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62DBE" w14:textId="2F4DF7C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23.8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5BE98" w14:textId="5D289DA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15.7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DAEA0" w14:textId="7A343D18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21.3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10F0F" w14:textId="4118BB7A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B919C" w14:textId="6CDD179A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44.8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94624" w14:textId="78DF587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88.7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DDB60" w14:textId="2B50DDAA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93.8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5B336" w14:textId="58548AEA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81.1</w:t>
            </w:r>
          </w:p>
        </w:tc>
      </w:tr>
      <w:tr w:rsidR="008C4623" w:rsidRPr="0017155C" w14:paraId="50C03582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1EFFB8" w14:textId="3E6209C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96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B1F584F" w14:textId="521DD7CE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Nacional del Sur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8BBBDE" w14:textId="5DECE2B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Argentina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7B32684" w14:textId="63C32B8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44.1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ED95AF6" w14:textId="51699CBA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31.1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3837460" w14:textId="5BAE7EB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9.1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51434A7" w14:textId="5040D31B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27.2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334EA32" w14:textId="61EF805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72.8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0095FD9" w14:textId="3C1C2330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38.2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7E0CCE" w14:textId="1E7EB32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63.6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2AEDFF2" w14:textId="7DAB499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79.1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9D23822" w14:textId="2F32F3B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75.8</w:t>
            </w:r>
          </w:p>
        </w:tc>
      </w:tr>
      <w:tr w:rsidR="008C4623" w:rsidRPr="0017155C" w14:paraId="01B259AB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6673" w14:textId="50BC361A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97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1AF2A" w14:textId="5F746AFF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Federal de Goiás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9D087" w14:textId="10399387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Brasil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17EAC" w14:textId="0BDD622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43.9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545BB" w14:textId="470C6B2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15.7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0E815" w14:textId="4276CAD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3.9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43C9B" w14:textId="624FC177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53.7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5CB04" w14:textId="28BDD0A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A47F3" w14:textId="14F9F853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88.7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A6806" w14:textId="54B84C5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72.6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6F38B" w14:textId="3D55645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56.5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9F32A" w14:textId="0FF678E8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69.8</w:t>
            </w:r>
          </w:p>
        </w:tc>
      </w:tr>
      <w:tr w:rsidR="008C4623" w:rsidRPr="0017155C" w14:paraId="5937305E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E3A712" w14:textId="7D890AF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98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226AC92" w14:textId="0D765F6E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Escuela Politécnica Nacional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B72068" w14:textId="1137AD58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Ecuador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C62E536" w14:textId="2001CD28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43.8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90021A1" w14:textId="00283640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28.6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5171598" w14:textId="21B5EA00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39.1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1A46EF1" w14:textId="5ADED70B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55.6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C40DDCD" w14:textId="31ECAF7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32.3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F8A01E7" w14:textId="601351D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56.5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2EF02E" w14:textId="6037DCD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31.5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C77BB48" w14:textId="5A1F998A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58.4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858941E" w14:textId="09522BE3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60.1</w:t>
            </w:r>
          </w:p>
        </w:tc>
      </w:tr>
      <w:tr w:rsidR="008C4623" w:rsidRPr="0017155C" w14:paraId="5DF4EACA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B534" w14:textId="306A546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98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76E73" w14:textId="7A34719E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Panamericana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505A0" w14:textId="48F7ACD0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México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5886B" w14:textId="60AD8F7D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43.8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F3AAE" w14:textId="7D6685C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30.5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AD578" w14:textId="6126F530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66.8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C0F2C" w14:textId="2E9920C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86.7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ED5C4" w14:textId="438C6E08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23.9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B7E51" w14:textId="7D65F1A8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31.4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25A4D" w14:textId="4AF4C88B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8.6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9D986" w14:textId="2BBE68EB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18.8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A92F8" w14:textId="42CBD2D7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39.7</w:t>
            </w:r>
          </w:p>
        </w:tc>
      </w:tr>
      <w:tr w:rsidR="008C4623" w:rsidRPr="0017155C" w14:paraId="3B5549F7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024781" w14:textId="2064694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100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7E03827" w14:textId="4727CD91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Tecnológica Nacional (Argentina)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FD6F1CF" w14:textId="5D06086B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Argentina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4074A2C" w14:textId="4B7DDB6B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43.3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6B547C2" w14:textId="36577CF3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19.2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38ECC25" w14:textId="5561516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79.2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83A8C26" w14:textId="117C3E60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74.1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91F4613" w14:textId="6671A29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3.4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FD0308C" w14:textId="30768FA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76.7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A75EE6" w14:textId="4F71167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5.6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0E36F69" w14:textId="40779A30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035CF0F" w14:textId="4762FDCD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39.7</w:t>
            </w:r>
          </w:p>
        </w:tc>
      </w:tr>
      <w:tr w:rsidR="008C4623" w:rsidRPr="0017155C" w14:paraId="4CE5D94E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A057" w14:textId="3BAF7D8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101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36890" w14:textId="5670B9DB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ICESI (Colombia)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F425D" w14:textId="3D96D768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Colombia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1D2C3" w14:textId="5ED28A3E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43.2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F48AD" w14:textId="4E0E681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23.3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3D36A" w14:textId="19BBB543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47.7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256AE" w14:textId="512597B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91.7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454DB" w14:textId="2A393EAA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18.9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85B4E" w14:textId="7125BFAB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87.6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68347" w14:textId="50370100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18.6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3A204" w14:textId="692E3CD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44.3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B55C3" w14:textId="2DE09D6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35.8</w:t>
            </w:r>
          </w:p>
        </w:tc>
      </w:tr>
      <w:tr w:rsidR="008C4623" w:rsidRPr="0017155C" w14:paraId="246148F5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A3D38E" w14:textId="1D046DF0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101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8CE5968" w14:textId="4DFA5605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ORT Uruguay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F48BCFB" w14:textId="17C2E2B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Uruguay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486A69F" w14:textId="2A81869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43.2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CB31FDD" w14:textId="46141F9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42.6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EDA561A" w14:textId="0D0D0FE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58.8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925DDD1" w14:textId="49277977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CBB6183" w14:textId="0A6BA9B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13.3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B98961E" w14:textId="5F59AE83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25.8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7D396C" w14:textId="0E88AEC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10.6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7C3A0DC" w14:textId="2CA6FF2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18.3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6FF1F52" w14:textId="1D97981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13.7</w:t>
            </w:r>
          </w:p>
        </w:tc>
      </w:tr>
      <w:tr w:rsidR="008C4623" w:rsidRPr="0017155C" w14:paraId="51C447CB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5B2B" w14:textId="5BB1ABA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103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8B360" w14:textId="4A12F996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del Desarrollo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63194" w14:textId="54FDDA1D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Chile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8F473" w14:textId="29A5769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42.3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6B903" w14:textId="4BC3091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20.3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4B51B" w14:textId="1441BFA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51.7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4A0F5" w14:textId="396352C0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35.1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F89CE" w14:textId="326A4FBD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11.6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68385" w14:textId="3381E42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38.7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0D3CF" w14:textId="191A3B28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29.6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05D6F" w14:textId="1E5C2D9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97.2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D362E" w14:textId="514E05A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57.4</w:t>
            </w:r>
          </w:p>
        </w:tc>
      </w:tr>
      <w:tr w:rsidR="008C4623" w:rsidRPr="0017155C" w14:paraId="75530A95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9037B12" w14:textId="393C6F1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104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20322B7" w14:textId="5E7E12B4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Externado de Colombia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57BCDD" w14:textId="25A06553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Colombia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9F56A30" w14:textId="155BE42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42.1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6F78FAD" w14:textId="014BFB6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42.5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24FAA54" w14:textId="5AF7FBA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87.8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546211F" w14:textId="767E04B7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49.9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E717C7A" w14:textId="5B87DDF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21.2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2C12278" w14:textId="065BEFFB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35.9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34F4E8" w14:textId="1012251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7.4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65440BD" w14:textId="2325799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9448946" w14:textId="6FB72D7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1.3</w:t>
            </w:r>
          </w:p>
        </w:tc>
      </w:tr>
      <w:tr w:rsidR="008C4623" w:rsidRPr="0017155C" w14:paraId="3F425A66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8299" w14:textId="6158E9C0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105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9F343" w14:textId="27E2E86D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Católica del Uruguay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61201" w14:textId="15CEEB8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Uruguay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D80D7" w14:textId="3E2F8093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41.8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46EBB" w14:textId="3F646703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35.6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8BF5F" w14:textId="09D0AF3E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52.2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26545" w14:textId="25DF8623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3E607" w14:textId="0B29B16D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13.5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C6BD8" w14:textId="59886BBA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40.1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F57EF" w14:textId="6199A333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9.4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1F405" w14:textId="5E16B33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21.2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B204A" w14:textId="27E54C93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25.3</w:t>
            </w:r>
          </w:p>
        </w:tc>
      </w:tr>
      <w:tr w:rsidR="008C4623" w:rsidRPr="0017155C" w14:paraId="1173834B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418650" w14:textId="22B75ADA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106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F92D8A3" w14:textId="46FB5532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de Monterrey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8DE065" w14:textId="7E5ECCB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México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0E67436" w14:textId="15E150E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41.6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404F64A" w14:textId="7FE919C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41.3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D6930FA" w14:textId="2C8E2D00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788B438" w14:textId="656126D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32.8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276BA8A" w14:textId="5B1C4878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79.7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FDEECB8" w14:textId="6715042D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22.9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EFBEE3" w14:textId="2C4E115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12.4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62C053E" w14:textId="49FCB630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23.3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1D2076C" w14:textId="7EE61903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16.7</w:t>
            </w:r>
          </w:p>
        </w:tc>
      </w:tr>
      <w:tr w:rsidR="008C4623" w:rsidRPr="0017155C" w14:paraId="25424C08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2567" w14:textId="5C5A9687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107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08B8C" w14:textId="1A4D9E6C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de Palermo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2F49" w14:textId="2EC365D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Argentina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0CA8E" w14:textId="19276D7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41.2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7648D" w14:textId="189FE93E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44.4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9738E" w14:textId="49C3B608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34.3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2CB81" w14:textId="742B27D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5E130" w14:textId="36A3981A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48.3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CD9A8" w14:textId="3D0EFE2E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42.6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07411" w14:textId="0339F14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4.3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6FF77" w14:textId="60EAA82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N/D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32E40" w14:textId="2540EAA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16.9</w:t>
            </w:r>
          </w:p>
        </w:tc>
      </w:tr>
      <w:tr w:rsidR="008C4623" w:rsidRPr="0017155C" w14:paraId="7ACAA9F6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2EE946" w14:textId="46780D3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107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B6B8F44" w14:textId="06A10348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Federal de Ouro Preto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8642507" w14:textId="6A07890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Brasil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4ED6B29" w14:textId="3E20509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41.2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334FA23" w14:textId="78BFBD03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13.3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26CB5F5" w14:textId="6EC3235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8.5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F8D360C" w14:textId="4F2F6ED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46.9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75F4420" w14:textId="69BBE46D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99.7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CC54A55" w14:textId="68371DE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49.4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B3542B" w14:textId="258263B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7C15608" w14:textId="1637F338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62.6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F0E1865" w14:textId="7B7A645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61.3</w:t>
            </w:r>
          </w:p>
        </w:tc>
      </w:tr>
      <w:tr w:rsidR="008C4623" w:rsidRPr="0017155C" w14:paraId="6D2C951C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FA2C" w14:textId="2169266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107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74950" w14:textId="59F2A5AA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Federal de Paraíba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46127" w14:textId="4CCA54B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Brasil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FB589" w14:textId="0920777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41.2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43498" w14:textId="3D934C7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15.7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2844F" w14:textId="56EA762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10.5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AA36A" w14:textId="7BC4BEF0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42.4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BF5BF" w14:textId="45DE038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F6ADD" w14:textId="713A6C78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68.3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F64AE" w14:textId="69601F4B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70.2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38F40" w14:textId="279D6913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45.5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B8AE6" w14:textId="5CD4B5C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64.8</w:t>
            </w:r>
          </w:p>
        </w:tc>
      </w:tr>
      <w:tr w:rsidR="008C4623" w:rsidRPr="0017155C" w14:paraId="0A95F817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34E86E" w14:textId="674F4047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110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261412A" w14:textId="6661D695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del Bio-Bio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80DDAF9" w14:textId="5271F67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Chile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6965FD1" w14:textId="7908C8A8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41.1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1E6BB33" w14:textId="6106D34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31.5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BA89168" w14:textId="5DE473E8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CDF229D" w14:textId="203F63B3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14.5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73FC729" w14:textId="3AE08A6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75.6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4C85FD6" w14:textId="5329F94A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43.2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B62BAB" w14:textId="0C4D795B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72.1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6117CD1" w14:textId="13355A00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25.6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7EE433A" w14:textId="00CA5F7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78.7</w:t>
            </w:r>
          </w:p>
        </w:tc>
      </w:tr>
      <w:tr w:rsidR="008C4623" w:rsidRPr="0017155C" w14:paraId="7F4D90A0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32E3" w14:textId="6EBDD55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110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B531D" w14:textId="03AE346A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Nacional de Mar del Plata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04152" w14:textId="4D1D8260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Argentina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6D311" w14:textId="001F7BBD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41.1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BD259" w14:textId="52DAB37D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42.6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16964" w14:textId="2B24943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8.6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4E417" w14:textId="3557912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30.6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F1A21" w14:textId="7B681FFD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N/D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A1A50" w14:textId="64A02E2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146F8" w14:textId="7017C178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72.3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03CFC" w14:textId="5A660BFB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08C28" w14:textId="17E691E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70.9</w:t>
            </w:r>
          </w:p>
        </w:tc>
      </w:tr>
      <w:tr w:rsidR="008C4623" w:rsidRPr="0017155C" w14:paraId="5592E020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18150F" w14:textId="0377E5B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112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DB24FDF" w14:textId="29B584EA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Federal de Uberlândia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AF00B2" w14:textId="33B8C52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Brasil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0BA689C" w14:textId="527008DD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40.6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A4BE824" w14:textId="2F10D9C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14.3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D155ACA" w14:textId="347EA84A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6.4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748AEB7" w14:textId="7A0AFD4A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40.1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A6394F0" w14:textId="12A3FAFE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9556CF0" w14:textId="37E0A68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72.2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EB9AB0" w14:textId="40619B7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83.2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D412467" w14:textId="7B95882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45.6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71E6EF1" w14:textId="329455C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65.1</w:t>
            </w:r>
          </w:p>
        </w:tc>
      </w:tr>
      <w:tr w:rsidR="008C4623" w:rsidRPr="0017155C" w14:paraId="48D5ECBA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15F8" w14:textId="7FAB431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113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D1DE3" w14:textId="683A22CC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Presbiteriana Mackenzie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08DBE" w14:textId="1955CAB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Brasil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A8AAA" w14:textId="0B4FC4AD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40.5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67107" w14:textId="0E38D8A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14.2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AE825" w14:textId="35DCFE53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44.1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89BAC" w14:textId="7A1586B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21.8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8F339" w14:textId="26DD64F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94.5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78E1A" w14:textId="1677D70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53.2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A899F" w14:textId="0E80622A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35.6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33E5B" w14:textId="6E429117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51.9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C0AC5" w14:textId="0AC5032A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39.8</w:t>
            </w:r>
          </w:p>
        </w:tc>
      </w:tr>
      <w:tr w:rsidR="008C4623" w:rsidRPr="0017155C" w14:paraId="4EF1541F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722440E" w14:textId="431713A3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114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1E76825" w14:textId="67592296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Federal de Espíritu Santo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59345B5" w14:textId="6190D48B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Brasil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DE60AAA" w14:textId="0C36C29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40.3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D341AC3" w14:textId="2BD422DA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2F3802F" w14:textId="0449D2AD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3.8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28960A5" w14:textId="1F23E348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B4D5E0D" w14:textId="3ED30FFB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21DF6D6" w14:textId="4218ED5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65.1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0A1268" w14:textId="5155342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74.3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293289C" w14:textId="4CBEECC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50.1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289E3B5" w14:textId="538E46A3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83.8</w:t>
            </w:r>
          </w:p>
        </w:tc>
      </w:tr>
      <w:tr w:rsidR="008C4623" w:rsidRPr="0017155C" w14:paraId="54E352FA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5B6C" w14:textId="1438CBD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115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4FA09" w14:textId="61F08471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de Belgrano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FDC4" w14:textId="6315C9A0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Argentina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C2185" w14:textId="55E4F283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40.2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EB292" w14:textId="4B38814D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39.2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58146" w14:textId="51C54E8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65.2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D4C8B" w14:textId="1962459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99.6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E62D7" w14:textId="6A13B22D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19.1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28CC7" w14:textId="10A754C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23.3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B8210" w14:textId="7E6BDD08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3.9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F6A64" w14:textId="0B0B8973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N/D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1255E" w14:textId="54A4B8E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N/D</w:t>
            </w:r>
          </w:p>
        </w:tc>
      </w:tr>
      <w:tr w:rsidR="008C4623" w:rsidRPr="0017155C" w14:paraId="591F6579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26618B" w14:textId="4E562B4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116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FF32AC5" w14:textId="5AC6B621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Federal de Lavras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BC9B43" w14:textId="1445F57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Brasil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49D2F0F" w14:textId="5AE5C7A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39.9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D23247F" w14:textId="3C28C56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14.9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83BF202" w14:textId="0328FC2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7.2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EBFF059" w14:textId="565EE6F8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25.3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47453F5" w14:textId="11CFA0C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DC5BEBD" w14:textId="65578CE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61.9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DCD7BE" w14:textId="6AC4F32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99.7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6331F3E" w14:textId="20B1D1DA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43.8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2426B68" w14:textId="60CC5D3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68.3</w:t>
            </w:r>
          </w:p>
        </w:tc>
      </w:tr>
      <w:tr w:rsidR="008C4623" w:rsidRPr="0017155C" w14:paraId="382233B9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0D97" w14:textId="1B2078E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117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4B3FE" w14:textId="47CABD56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Nacional de Cuyo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9D35E" w14:textId="47CE6568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Argentina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E8A8D" w14:textId="54152677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39.4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60F0C" w14:textId="4A717B5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48.7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C38AA" w14:textId="7E95D02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19.9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6D4F6" w14:textId="5460868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18.4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496F2" w14:textId="1615887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N/D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F7085" w14:textId="53200EA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28.4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4741B" w14:textId="0FDEC79B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10.3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C8510" w14:textId="709C3BDB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98A0F" w14:textId="34B1236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66.5</w:t>
            </w:r>
          </w:p>
        </w:tc>
      </w:tr>
      <w:tr w:rsidR="008C4623" w:rsidRPr="0017155C" w14:paraId="1528EE01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5349DA" w14:textId="0AA77D4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118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327049F" w14:textId="567E17B5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Federal de ABC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E8F504" w14:textId="3E6071D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Brasil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60C8F91" w14:textId="14FB2A7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39.2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AEC83D9" w14:textId="0298819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E8ACAF5" w14:textId="2FAFD1A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3.2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D9922E0" w14:textId="070AA0B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25.6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6DBA73E" w14:textId="3DC3EA3D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3ABD463" w14:textId="1FFDFFA0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49.7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DEF4924" w14:textId="6E44725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97.3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1FF8BCB" w14:textId="52E27B6B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84.4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3A2BC92" w14:textId="55A5AA9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72.3</w:t>
            </w:r>
          </w:p>
        </w:tc>
      </w:tr>
      <w:tr w:rsidR="008C4623" w:rsidRPr="0017155C" w14:paraId="0F37D6E9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2B17" w14:textId="4F8E19DA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119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F6258" w14:textId="1982A67A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Nacional de Ingeniería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CBCD6" w14:textId="4439477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Perú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522AD" w14:textId="6477CCCA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024E2" w14:textId="62F8476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30.1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3CA5D" w14:textId="69D9564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53.4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750F0" w14:textId="51D08DCE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36.4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8EA77" w14:textId="48DCFCC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4.1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7CAEB" w14:textId="60D9B86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28.4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CB9C2" w14:textId="1B833E87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10.9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08498" w14:textId="150279FE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84.7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B924A" w14:textId="1B0EBA8D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27</w:t>
            </w:r>
          </w:p>
        </w:tc>
      </w:tr>
      <w:tr w:rsidR="008C4623" w:rsidRPr="0017155C" w14:paraId="17CBCB3C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FC4622A" w14:textId="1F176C5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120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C3C5AB2" w14:textId="60A34900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de Tarapaca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704564" w14:textId="73345C37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Chile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822E85F" w14:textId="3AC2944E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38.9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E392C39" w14:textId="55C0449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14.6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2626AE3" w14:textId="4C13F693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9.5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4AB5AB0" w14:textId="34E7353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7.3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CC2CBB5" w14:textId="24F0D087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60.9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80DBA52" w14:textId="457C8D3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56.6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5D2306" w14:textId="5641ECA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98.2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1B18DEA" w14:textId="3A2026D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39E37B3" w14:textId="7E8003F0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84.2</w:t>
            </w:r>
          </w:p>
        </w:tc>
      </w:tr>
      <w:tr w:rsidR="008C4623" w:rsidRPr="0017155C" w14:paraId="501975DE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9772" w14:textId="1024009B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121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0845C" w14:textId="5037FBDF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Tecnológica Federal de Paraná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25C71" w14:textId="0EC6716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Brasil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13C89" w14:textId="6DF8682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38.4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C21B1" w14:textId="6DBFCEA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57FE7" w14:textId="7267782A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7.6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8C3D2" w14:textId="0679D69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61.3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D0F59" w14:textId="0B298DDD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98.4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2D527" w14:textId="5433FD33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75.6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9502A" w14:textId="698563EB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7F5F0" w14:textId="3D5718C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39.3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2B794" w14:textId="515E14B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54</w:t>
            </w:r>
          </w:p>
        </w:tc>
      </w:tr>
      <w:tr w:rsidR="008C4623" w:rsidRPr="0017155C" w14:paraId="5EB2EA9D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9F0720" w14:textId="214D471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122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BCB9BF6" w14:textId="2CADD178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Federal de Campina Grande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D2B3629" w14:textId="2349A95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Brasil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DC99E3C" w14:textId="5BF1F95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AC82763" w14:textId="6CF697A7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14.3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B9BAE4C" w14:textId="4B24CBD7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3.6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E7A6F53" w14:textId="5DACDFC7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A0DBB91" w14:textId="4C11CBFB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96.2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BE1592F" w14:textId="61CB2B3B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90.9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7FEF2F9" w14:textId="4A46687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F2719B2" w14:textId="0A22D55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13.3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A118F4B" w14:textId="755EDC8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33</w:t>
            </w:r>
          </w:p>
        </w:tc>
      </w:tr>
      <w:tr w:rsidR="008C4623" w:rsidRPr="0017155C" w14:paraId="77BE2456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18F9" w14:textId="533EAE7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123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F75FC" w14:textId="26B7BE1C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Federal de Itajubá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FC11" w14:textId="7204F87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Brasil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C08DD" w14:textId="43BC9ADD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37.4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D0DAD" w14:textId="358DDB97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2AEBE" w14:textId="1E2DF863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68378" w14:textId="649EC13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45.9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E6145" w14:textId="396706E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99.4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66344" w14:textId="40801D3D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41.3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05D6B" w14:textId="0DEE80C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B0151" w14:textId="11CF476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66.5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E638E" w14:textId="57F336F3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40.6</w:t>
            </w:r>
          </w:p>
        </w:tc>
      </w:tr>
      <w:tr w:rsidR="008C4623" w:rsidRPr="0017155C" w14:paraId="3E98500D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C022AE" w14:textId="288FDDC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124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484EAB5" w14:textId="323BB213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Federal de Pará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2CF826" w14:textId="372B3EC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Brasil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A388DD6" w14:textId="1113EA6E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37.2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6A6483F" w14:textId="44152FCA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12.6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42E7C52" w14:textId="7BD72A3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5.6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6640AB0" w14:textId="087AF438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6FAE4EB" w14:textId="6FF7CE6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95.5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22CE32F" w14:textId="10B618E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82.6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0316EB" w14:textId="34E5A3CB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52.1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F147DC8" w14:textId="68C968BA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40.9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02A374D" w14:textId="11C39A70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69</w:t>
            </w:r>
          </w:p>
        </w:tc>
      </w:tr>
      <w:tr w:rsidR="008C4623" w:rsidRPr="0017155C" w14:paraId="20E5A439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08AB" w14:textId="18087FA0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124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3DCB5" w14:textId="1914D4CD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Nacional de Quilmes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711B9" w14:textId="4F346E60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Argentina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FDDB7" w14:textId="297B31AB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37.2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9AAD2" w14:textId="762D29F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30.6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AFF26" w14:textId="3DAFAF17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8.9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B2BDF" w14:textId="17DCCE6A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16.4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EE666" w14:textId="0CE76FC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88.3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9AF78" w14:textId="25B90DA0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49.6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0AE74" w14:textId="474C7A28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27.3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D7552" w14:textId="5BF731DD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63.6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AA5C1" w14:textId="3540C340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35.6</w:t>
            </w:r>
          </w:p>
        </w:tc>
      </w:tr>
      <w:tr w:rsidR="008C4623" w:rsidRPr="0017155C" w14:paraId="2A2FF775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E31166" w14:textId="108F518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126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4D9E0A5" w14:textId="65379BBB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Tecnológica de Panamá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8BEDC9" w14:textId="215E4028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Panamá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42E1BAC" w14:textId="37D0159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37.1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7E885A7" w14:textId="44D96AF8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37.7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E5C2E5D" w14:textId="63E9848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75.8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16B5F54" w14:textId="108D55F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54.7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F35068A" w14:textId="19274C9B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7.1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0489A9F" w14:textId="13B29D6B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28.7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1C155A6" w14:textId="464DD3C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3.6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C60B256" w14:textId="32C3800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N/D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4A64848" w14:textId="111409A7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8.1</w:t>
            </w:r>
          </w:p>
        </w:tc>
      </w:tr>
      <w:tr w:rsidR="008C4623" w:rsidRPr="0017155C" w14:paraId="251A4A10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DF2C" w14:textId="48C3157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127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4FC61" w14:textId="7F1B9992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Pontificia Universidad Católica de Paraná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2C38B" w14:textId="60DF7557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Brasil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48F13" w14:textId="77A57BD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1B51A" w14:textId="228C12BD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15.6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D812E" w14:textId="72B7A26A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12.3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1C0A3" w14:textId="09DEC0D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82207" w14:textId="41987CD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80.6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E4747" w14:textId="11F9958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66.5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4B369" w14:textId="2EE92A17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13573" w14:textId="42007EF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59.5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C61A1" w14:textId="28146017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63.4</w:t>
            </w:r>
          </w:p>
        </w:tc>
      </w:tr>
      <w:tr w:rsidR="008C4623" w:rsidRPr="0017155C" w14:paraId="1D65B46C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37D247A" w14:textId="30B7245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128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C9802DA" w14:textId="7CF97969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Nacional de San Martín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B26A7D" w14:textId="09B3BB9E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Argentina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DAC4302" w14:textId="4F31434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36.7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4937878" w14:textId="2FEF2BC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35.2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8817E25" w14:textId="056F261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15.2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AD11027" w14:textId="141628EA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165A9A4" w14:textId="312C4E9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51.5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429F3FC" w14:textId="0BCF7F1A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47.4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CF0D98" w14:textId="324BBB2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881EAAE" w14:textId="1E585FB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48.9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B14F0C5" w14:textId="3F5C324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36.7</w:t>
            </w:r>
          </w:p>
        </w:tc>
      </w:tr>
      <w:tr w:rsidR="008C4623" w:rsidRPr="0017155C" w14:paraId="70E8891E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46C0" w14:textId="4F01252E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129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75AA4" w14:textId="79FC44AD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Federal de Río Grande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2364" w14:textId="5DE3A16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Brasil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376B1" w14:textId="00B4A0C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36.4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D2318" w14:textId="2C87AA8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80B70" w14:textId="6BA619DE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1.2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B989C" w14:textId="5E3B45A8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53.4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A791B" w14:textId="22EC24C3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99.6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4D1E1" w14:textId="584B0170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51.5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B608D" w14:textId="50831328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59.5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4931B" w14:textId="4F82CDD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C6201" w14:textId="681F383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39.4</w:t>
            </w:r>
          </w:p>
        </w:tc>
      </w:tr>
      <w:tr w:rsidR="008C4623" w:rsidRPr="0017155C" w14:paraId="0D71E58F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7468377" w14:textId="10BCC65D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130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3E12C0D" w14:textId="3512A797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de las Ciencias Informáticas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63B4C9" w14:textId="27B4227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Cuba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C1B3020" w14:textId="449B54E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36.2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A1222CE" w14:textId="1614C65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19.6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4CDF0E2" w14:textId="36098F5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66.7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B9EE2D9" w14:textId="27CD8627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85.8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9716305" w14:textId="12A055D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8.1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DF07588" w14:textId="2C090FFD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19.7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BBE594" w14:textId="72B72750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7.2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CD9BD84" w14:textId="776C100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N/D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8486C5B" w14:textId="07B11427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42.6</w:t>
            </w:r>
          </w:p>
        </w:tc>
      </w:tr>
      <w:tr w:rsidR="008C4623" w:rsidRPr="0017155C" w14:paraId="241202F8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6DBD" w14:textId="2F5EC3A8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131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05439" w14:textId="6184D34E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Nacional de la Asunción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BEE2B" w14:textId="3FAB37EB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Paraguay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CAAD5" w14:textId="268D116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36.1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28498" w14:textId="0CE09C5E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32.7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5A58A" w14:textId="1FDB8BBB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39.8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C95BF" w14:textId="448C46A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62.8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9888C" w14:textId="547F0D3E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17.6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81343" w14:textId="292BF38B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49.2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B3454" w14:textId="162AE42E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2.9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7D838" w14:textId="0680738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15.5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E9EE1" w14:textId="08DCF270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41.6</w:t>
            </w:r>
          </w:p>
        </w:tc>
      </w:tr>
      <w:tr w:rsidR="008C4623" w:rsidRPr="0017155C" w14:paraId="5E1FA7C3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ED1F4F" w14:textId="1F4D77D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132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208A6DA" w14:textId="79FB8C68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Estatal de Ponta Grossa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F5F355" w14:textId="4246640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Brasil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684BA33" w14:textId="2178FA5A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35.9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CE82AD1" w14:textId="392907F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1BF75B5" w14:textId="762279B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3.9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9137C2B" w14:textId="23A3970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80.5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B8F482D" w14:textId="55E4C63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2D0B5ED" w14:textId="44954FC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60.7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2295750" w14:textId="2F223B5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56.5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BDFF4D4" w14:textId="4F4A6AD7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59.9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9C0378A" w14:textId="74F1A0D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19.5</w:t>
            </w:r>
          </w:p>
        </w:tc>
      </w:tr>
      <w:tr w:rsidR="008C4623" w:rsidRPr="0017155C" w14:paraId="5BC9E0B9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4752" w14:textId="74B3E657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133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3BCC7" w14:textId="3498853A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Católica de Córdoba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E0F70" w14:textId="5A3BD20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Argentina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2F9F5" w14:textId="43F4DC63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35.6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BDD4F" w14:textId="23B7A240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22.4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5E71C" w14:textId="56D8346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FD49F" w14:textId="3F5E8A37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72.7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C9B20" w14:textId="28E92810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7D96A" w14:textId="13B2BD9D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14.7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5A3F5" w14:textId="4B20F4AB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8.3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C9998" w14:textId="4A572CA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63.1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D06C7" w14:textId="0D589EB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4.4</w:t>
            </w:r>
          </w:p>
        </w:tc>
      </w:tr>
      <w:tr w:rsidR="008C4623" w:rsidRPr="0017155C" w14:paraId="334A1E13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8308C8F" w14:textId="1BCCC398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134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ABF10A4" w14:textId="19786926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del Valle del Río de los Sinos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EE51F3" w14:textId="3B66A2D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Brasil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7CAA01B" w14:textId="6B829368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35.5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36D1AEE" w14:textId="0B5DF38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BAEDE3F" w14:textId="2E54F197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E910328" w14:textId="0BC4FC6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31.7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C33016D" w14:textId="1F12FCDE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BCAA204" w14:textId="367B8C2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72.8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3B8F17F" w14:textId="3CBC237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67.1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7B65130" w14:textId="18A92C4D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50.6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8558131" w14:textId="2D1555E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26.1</w:t>
            </w:r>
          </w:p>
        </w:tc>
      </w:tr>
      <w:tr w:rsidR="008C4623" w:rsidRPr="0017155C" w14:paraId="07ADCC6A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2207" w14:textId="268E114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135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0A09C" w14:textId="333ABD9F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del Pacífico (Perú)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E551E" w14:textId="6F893FE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Perú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42E93" w14:textId="7F652ACD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35.3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B8C9A" w14:textId="6727E8FD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31.3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DC990" w14:textId="01222F1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64.3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A5615" w14:textId="1776596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16.7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52304" w14:textId="324FC30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52.9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D43EB" w14:textId="38F9618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5E049" w14:textId="522078C3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15.7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364B1" w14:textId="42C5AFD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N/D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A975E" w14:textId="34F7FDF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18.4</w:t>
            </w:r>
          </w:p>
        </w:tc>
      </w:tr>
      <w:tr w:rsidR="008C4623" w:rsidRPr="0017155C" w14:paraId="7B55E9F1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1BE168" w14:textId="28D68FF3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136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187BB20" w14:textId="4A5D1EFD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Iberoamericana (República Dominicana)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229271" w14:textId="3300307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República Dominicana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C58CE65" w14:textId="0B86C8A3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5F2CE42" w14:textId="4CCBDDF8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18.5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EDFA473" w14:textId="440F5B3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47.2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4B4ADE3" w14:textId="1C2C45C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91.2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27FBCB3" w14:textId="697E68A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82.3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976F3B2" w14:textId="31814AF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13.1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BC6829" w14:textId="4826F64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1.8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36FD73F" w14:textId="19C39D6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N/D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4A14EB9" w14:textId="007A1917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N/D</w:t>
            </w:r>
          </w:p>
        </w:tc>
      </w:tr>
      <w:tr w:rsidR="008C4623" w:rsidRPr="0017155C" w14:paraId="486DC65E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BD4F" w14:textId="6721425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136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CC17B" w14:textId="01FA4220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Veracruzana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75A22" w14:textId="78C767A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México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9AB03" w14:textId="14DFEA4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251B4" w14:textId="6D2A8AC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35.9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54867" w14:textId="141A622A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11.1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73B01" w14:textId="53349A88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34.4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FA049" w14:textId="241932DE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40.8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4C665" w14:textId="75C131DB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74.3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FD462" w14:textId="0FA29C2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19.1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BDB2D" w14:textId="6C4CD50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40698" w14:textId="5A95B0CE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58</w:t>
            </w:r>
          </w:p>
        </w:tc>
      </w:tr>
      <w:tr w:rsidR="008C4623" w:rsidRPr="0017155C" w14:paraId="1ECF14B8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4144D3" w14:textId="3BACB67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138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65FD320" w14:textId="6BE0AEB9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Federal de Mato Grosso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333756" w14:textId="259BD197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Brasil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8DEA75F" w14:textId="65C4545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34.9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0C7CC24" w14:textId="37E54AB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BEF58BE" w14:textId="726FA9D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2.1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82C5ECB" w14:textId="40D37DC3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70.2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93D6F8F" w14:textId="0C8C87F8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4ED844F" w14:textId="0648FEAD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44.6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36B850" w14:textId="395EF48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6F9AFDB" w14:textId="0AD8F74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41.7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3DC2047" w14:textId="4092424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42.8</w:t>
            </w:r>
          </w:p>
        </w:tc>
      </w:tr>
      <w:tr w:rsidR="008C4623" w:rsidRPr="0017155C" w14:paraId="277821EF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0686" w14:textId="460519B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139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A90EB" w14:textId="4CB99591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Central del Ecuador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63214" w14:textId="06ABCC1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Ecuador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C17A3" w14:textId="07C093B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34.4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3911F" w14:textId="01EF069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33.7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321FD" w14:textId="49DD343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BA494" w14:textId="4628D58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5880D" w14:textId="2794B20D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1.4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11CBC" w14:textId="0E7F68EE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30.5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AA4BE" w14:textId="48E91B8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4.9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8331C" w14:textId="31D1ABD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37.5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D98B5" w14:textId="53BA078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35.5</w:t>
            </w:r>
          </w:p>
        </w:tc>
      </w:tr>
      <w:tr w:rsidR="008C4623" w:rsidRPr="0017155C" w14:paraId="54E86488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3E280D" w14:textId="22BEED1B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140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6BAA0EB" w14:textId="119AE759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Federal de Alagoas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BC4213" w14:textId="7EAA003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Brasil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13F7931" w14:textId="5AD6673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34.3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B191FAD" w14:textId="6E4275EE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DE0EABD" w14:textId="06B31A3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1.4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89A4C06" w14:textId="200128B7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43.6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2634337" w14:textId="6783B69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82.7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516884B" w14:textId="42FFBA7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30.8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95ADA9" w14:textId="67A0F5EA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40.7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C779411" w14:textId="250702ED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77.5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2781C75" w14:textId="19080DAD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70</w:t>
            </w:r>
          </w:p>
        </w:tc>
      </w:tr>
      <w:tr w:rsidR="008C4623" w:rsidRPr="0017155C" w14:paraId="447930E4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B633" w14:textId="65015593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140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59FCE" w14:textId="7F3CDD49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Nacional de Tucumán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08FFB" w14:textId="5D02478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Argentina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6A9F" w14:textId="3B7E282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34.3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738D2" w14:textId="71D76FE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37.6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B88DC" w14:textId="70EBF36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9.2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E3F15" w14:textId="26E5F9E8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9.7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6D654" w14:textId="5FB10F5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N/D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93C37" w14:textId="26A7A467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37.8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ADF8A" w14:textId="085AC4A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28.1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7F2CF" w14:textId="1D38291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84.8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AA718" w14:textId="0E8C538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66</w:t>
            </w:r>
          </w:p>
        </w:tc>
      </w:tr>
      <w:tr w:rsidR="008C4623" w:rsidRPr="0017155C" w14:paraId="591CA3F6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6A5170" w14:textId="386E5B6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142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8556740" w14:textId="7CB48E8C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de Antofagasta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670CF0" w14:textId="35CD89CB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Chile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F685BC8" w14:textId="292C112E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34.2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195E697" w14:textId="1A9BE2C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12.9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EBC0E03" w14:textId="6958010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5.2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F727D28" w14:textId="702C325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31.5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63828F2" w14:textId="6A9555A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48.5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3879559" w14:textId="7E02E9B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25.8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F353B5" w14:textId="50CCDE5B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3792B1C" w14:textId="5E7B30F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90.1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A77985A" w14:textId="37130AEA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62.2</w:t>
            </w:r>
          </w:p>
        </w:tc>
      </w:tr>
      <w:tr w:rsidR="008C4623" w:rsidRPr="0017155C" w14:paraId="4E44B9E5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FB02" w14:textId="709684E7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lastRenderedPageBreak/>
              <w:t>142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B0A88" w14:textId="59758036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Federal de Sergipe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FC80B" w14:textId="0BC47FD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Brasil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A1028" w14:textId="0C694E5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34.2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AB748" w14:textId="3EEF6DB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61C72" w14:textId="025201D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3.9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E32B5" w14:textId="1F1C891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49.9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C15CF" w14:textId="24C3185D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95.3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D67B0" w14:textId="6B8A615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49.8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F4438" w14:textId="36C4C08A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F9B56" w14:textId="351B2CB3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57.5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70844" w14:textId="6E8E9C33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44.3</w:t>
            </w:r>
          </w:p>
        </w:tc>
      </w:tr>
      <w:tr w:rsidR="008C4623" w:rsidRPr="0017155C" w14:paraId="669E5E95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B7CE673" w14:textId="700B542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144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D9C71F0" w14:textId="7DA921BA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Federal de Mato Grosso del Sur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5CBE5AC" w14:textId="5C7FE59D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Brasil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A36B705" w14:textId="31989A6B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0183C38" w14:textId="4668C14E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CCAFE6B" w14:textId="3BCC9D4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1.8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28F330D" w14:textId="33BACC17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65.2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AA64DF1" w14:textId="20346EA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94.2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908F6B0" w14:textId="16854CB7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54.8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6AAAA4" w14:textId="12DCD8BB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43.5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7EC7323" w14:textId="3D73460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40.6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509DE36" w14:textId="0A51D74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47.6</w:t>
            </w:r>
          </w:p>
        </w:tc>
      </w:tr>
      <w:tr w:rsidR="008C4623" w:rsidRPr="0017155C" w14:paraId="489D3E74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8FEA" w14:textId="00BB9D40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144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F7755" w14:textId="388C626A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Nacional Agraria la Molina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E5B9" w14:textId="7CA83EE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Perú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6CEFC" w14:textId="5D81B9F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F7F27" w14:textId="54C7625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27.9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DBA55" w14:textId="00146CE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26.8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22D71" w14:textId="2AA20CAB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29.2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6045F" w14:textId="25CCCB8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33.9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26C74" w14:textId="3CA98FA7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27.9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B3412" w14:textId="4FF8D2A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11.2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783F8" w14:textId="17B75553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75.1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E952A" w14:textId="6F510B2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26.7</w:t>
            </w:r>
          </w:p>
        </w:tc>
      </w:tr>
      <w:tr w:rsidR="008C4623" w:rsidRPr="0017155C" w14:paraId="776BA35C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B4ED3C" w14:textId="13257AE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146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371CBF2" w14:textId="1FE908D9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del Estado de Santa Catarina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A9DAA8" w14:textId="4A053C4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Brasil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2362D68" w14:textId="45E5782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33.8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378C879" w14:textId="0F3E871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15.4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BAF8DB1" w14:textId="6CD270C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4.3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8DBA0EE" w14:textId="603D44D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CB9BE4C" w14:textId="29865E3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76.9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CC662C4" w14:textId="22DA5993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54.8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CC5882" w14:textId="2DAB293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66.8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1C7EE77" w14:textId="1A5890B3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16.5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E142F69" w14:textId="52B3F09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30.8</w:t>
            </w:r>
          </w:p>
        </w:tc>
      </w:tr>
      <w:tr w:rsidR="008C4623" w:rsidRPr="0017155C" w14:paraId="738C533F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5C73" w14:textId="5C213787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146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706EA" w14:textId="294FFBC8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Mayor de San Andrés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14102" w14:textId="47553AA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Bolivia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7C942" w14:textId="2BB9196D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33.8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0D985" w14:textId="7711455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24.2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5966A" w14:textId="6C9DCCCE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27.6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824D7" w14:textId="7CC6EFA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5.3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A3F20" w14:textId="76E4940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2.4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45B22" w14:textId="3A100A4A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F3BD6" w14:textId="14679DD0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5.9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8FD25" w14:textId="661E01BD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96.3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44D74" w14:textId="28358CF3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66.8</w:t>
            </w:r>
          </w:p>
        </w:tc>
      </w:tr>
      <w:tr w:rsidR="008C4623" w:rsidRPr="0017155C" w14:paraId="054459D6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8F1920A" w14:textId="296CFF3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148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9629E9B" w14:textId="7C7AE41F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Autónoma de Querétaro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6B90EE" w14:textId="5EDB546D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México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4A3AE29" w14:textId="1F42C32D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33.3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65D4178" w14:textId="5F464633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2A58BFC" w14:textId="25FFFCDA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3F811E6" w14:textId="6894075E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34.3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ED365BE" w14:textId="11EB88A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49.6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EF304EA" w14:textId="13E5360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37.6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4416AF2" w14:textId="5B572E9E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35.9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C104525" w14:textId="3AA44F72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86.5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73988DD" w14:textId="4C889F68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21</w:t>
            </w:r>
          </w:p>
        </w:tc>
      </w:tr>
      <w:tr w:rsidR="008C4623" w:rsidRPr="0017155C" w14:paraId="72276602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0596" w14:textId="30582E33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149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70829" w14:textId="41F13710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de Panamá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0E730" w14:textId="5DDA472A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Panamá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1CB32" w14:textId="19E8F4B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33.2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CFDD3" w14:textId="1901F8BD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32.3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27E7E" w14:textId="7BB02AB8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59.2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B69DC" w14:textId="3063E0A9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21.3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8FEB3" w14:textId="02AE8B2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11.1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01ACE" w14:textId="7D1C8C1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23.2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70A7F" w14:textId="4B37280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3.3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11B63" w14:textId="1E082F1A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22.9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49AE6" w14:textId="3B03AAA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30.3</w:t>
            </w:r>
          </w:p>
        </w:tc>
      </w:tr>
      <w:tr w:rsidR="008C4623" w:rsidRPr="0017155C" w14:paraId="273D076B" w14:textId="77777777" w:rsidTr="008C4623">
        <w:trPr>
          <w:gridAfter w:val="1"/>
          <w:wAfter w:w="7" w:type="dxa"/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C567FA" w14:textId="16B6709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149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B32B405" w14:textId="5583DB4D" w:rsidR="008C4623" w:rsidRPr="0017155C" w:rsidRDefault="008C4623" w:rsidP="008C46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Universidad Federal del Triángulo Mineiro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30E142" w14:textId="6702A3C3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Brasil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53E78B8" w14:textId="6B51512B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33.2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8A9F939" w14:textId="29A3DCF4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3.8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BCAB308" w14:textId="0E6039B6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3.8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A432401" w14:textId="1C92B005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87.5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CC91BFF" w14:textId="42776C6F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96.2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A43D31E" w14:textId="7A87B623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28.7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06D254" w14:textId="4363586C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53.4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BBFD5B5" w14:textId="5543FCE0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51.7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9763786" w14:textId="2C490ED1" w:rsidR="008C4623" w:rsidRPr="0017155C" w:rsidRDefault="008C4623" w:rsidP="008C46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17155C">
              <w:rPr>
                <w:rFonts w:cstheme="minorHAnsi"/>
                <w:sz w:val="14"/>
                <w:szCs w:val="14"/>
              </w:rPr>
              <w:t>18.2</w:t>
            </w:r>
          </w:p>
        </w:tc>
      </w:tr>
      <w:tr w:rsidR="00FC100A" w:rsidRPr="0017155C" w14:paraId="60B7B356" w14:textId="77777777" w:rsidTr="000D5409">
        <w:trPr>
          <w:trHeight w:val="191"/>
          <w:jc w:val="center"/>
        </w:trPr>
        <w:tc>
          <w:tcPr>
            <w:tcW w:w="11805" w:type="dxa"/>
            <w:gridSpan w:val="13"/>
            <w:tcBorders>
              <w:top w:val="single" w:sz="4" w:space="0" w:color="auto"/>
            </w:tcBorders>
            <w:shd w:val="clear" w:color="auto" w:fill="FFFFFF" w:themeFill="background1"/>
          </w:tcPr>
          <w:p w14:paraId="15051732" w14:textId="189E64B2" w:rsidR="00F51F5D" w:rsidRPr="0017155C" w:rsidRDefault="00F51F5D" w:rsidP="008C701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4"/>
                <w:lang w:eastAsia="es-MX"/>
              </w:rPr>
            </w:pPr>
            <w:r w:rsidRPr="0017155C">
              <w:rPr>
                <w:rFonts w:ascii="Calibri" w:eastAsia="Times New Roman" w:hAnsi="Calibri" w:cs="Calibri"/>
                <w:b/>
                <w:sz w:val="12"/>
                <w:szCs w:val="14"/>
                <w:lang w:eastAsia="es-MX"/>
              </w:rPr>
              <w:t>Fuente:</w:t>
            </w:r>
            <w:r w:rsidRPr="0017155C">
              <w:rPr>
                <w:rFonts w:ascii="Calibri" w:eastAsia="Times New Roman" w:hAnsi="Calibri" w:cs="Calibri"/>
                <w:sz w:val="12"/>
                <w:szCs w:val="14"/>
                <w:lang w:eastAsia="es-MX"/>
              </w:rPr>
              <w:t xml:space="preserve"> Elaboración propia con datos publicados del QS ranking Lat</w:t>
            </w:r>
            <w:r w:rsidR="00F66F2B" w:rsidRPr="0017155C">
              <w:rPr>
                <w:rFonts w:ascii="Calibri" w:eastAsia="Times New Roman" w:hAnsi="Calibri" w:cs="Calibri"/>
                <w:sz w:val="12"/>
                <w:szCs w:val="14"/>
                <w:lang w:eastAsia="es-MX"/>
              </w:rPr>
              <w:t>inoamérica de universidades, 20</w:t>
            </w:r>
            <w:r w:rsidR="000D5409" w:rsidRPr="0017155C">
              <w:rPr>
                <w:rFonts w:ascii="Calibri" w:eastAsia="Times New Roman" w:hAnsi="Calibri" w:cs="Calibri"/>
                <w:sz w:val="12"/>
                <w:szCs w:val="14"/>
                <w:lang w:eastAsia="es-MX"/>
              </w:rPr>
              <w:t>20</w:t>
            </w:r>
            <w:r w:rsidRPr="0017155C">
              <w:rPr>
                <w:rFonts w:ascii="Calibri" w:eastAsia="Times New Roman" w:hAnsi="Calibri" w:cs="Calibri"/>
                <w:sz w:val="12"/>
                <w:szCs w:val="14"/>
                <w:lang w:eastAsia="es-MX"/>
              </w:rPr>
              <w:t>.</w:t>
            </w:r>
          </w:p>
          <w:p w14:paraId="475FE7BE" w14:textId="44A05E56" w:rsidR="00F51F5D" w:rsidRPr="0017155C" w:rsidRDefault="00F51F5D" w:rsidP="008C701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4"/>
                <w:lang w:eastAsia="es-MX"/>
              </w:rPr>
            </w:pPr>
            <w:r w:rsidRPr="0017155C">
              <w:rPr>
                <w:rFonts w:ascii="Calibri" w:eastAsia="Times New Roman" w:hAnsi="Calibri" w:cs="Calibri"/>
                <w:b/>
                <w:sz w:val="12"/>
                <w:szCs w:val="14"/>
                <w:lang w:eastAsia="es-MX"/>
              </w:rPr>
              <w:t xml:space="preserve">* </w:t>
            </w:r>
            <w:r w:rsidRPr="0017155C">
              <w:rPr>
                <w:rFonts w:ascii="Calibri" w:eastAsia="Times New Roman" w:hAnsi="Calibri" w:cs="Calibri"/>
                <w:sz w:val="12"/>
                <w:szCs w:val="14"/>
                <w:lang w:eastAsia="es-MX"/>
              </w:rPr>
              <w:t>Ordenado conform</w:t>
            </w:r>
            <w:r w:rsidR="00F66F2B" w:rsidRPr="0017155C">
              <w:rPr>
                <w:rFonts w:ascii="Calibri" w:eastAsia="Times New Roman" w:hAnsi="Calibri" w:cs="Calibri"/>
                <w:sz w:val="12"/>
                <w:szCs w:val="14"/>
                <w:lang w:eastAsia="es-MX"/>
              </w:rPr>
              <w:t>e a la posición obtenida</w:t>
            </w:r>
            <w:r w:rsidRPr="0017155C">
              <w:rPr>
                <w:rFonts w:ascii="Calibri" w:eastAsia="Times New Roman" w:hAnsi="Calibri" w:cs="Calibri"/>
                <w:sz w:val="12"/>
                <w:szCs w:val="14"/>
                <w:lang w:eastAsia="es-MX"/>
              </w:rPr>
              <w:t xml:space="preserve"> y el nombre de la institución.</w:t>
            </w:r>
          </w:p>
          <w:p w14:paraId="7F57A73C" w14:textId="38E2BD63" w:rsidR="00F51F5D" w:rsidRPr="0017155C" w:rsidRDefault="00F51F5D" w:rsidP="008C7015">
            <w:pPr>
              <w:spacing w:after="0" w:line="240" w:lineRule="auto"/>
              <w:rPr>
                <w:rFonts w:eastAsia="Times New Roman" w:cs="Times New Roman"/>
                <w:sz w:val="12"/>
                <w:szCs w:val="18"/>
                <w:lang w:eastAsia="es-MX"/>
              </w:rPr>
            </w:pPr>
            <w:r w:rsidRPr="0017155C">
              <w:rPr>
                <w:rFonts w:ascii="Calibri" w:eastAsia="Times New Roman" w:hAnsi="Calibri" w:cs="Calibri"/>
                <w:b/>
                <w:sz w:val="12"/>
                <w:szCs w:val="14"/>
                <w:lang w:eastAsia="es-MX"/>
              </w:rPr>
              <w:t xml:space="preserve">** </w:t>
            </w:r>
            <w:r w:rsidRPr="0017155C">
              <w:rPr>
                <w:rFonts w:ascii="Calibri" w:eastAsia="Times New Roman" w:hAnsi="Calibri" w:cs="Calibri"/>
                <w:sz w:val="12"/>
                <w:szCs w:val="14"/>
                <w:lang w:eastAsia="es-MX"/>
              </w:rPr>
              <w:t>N/D: No disponible</w:t>
            </w:r>
          </w:p>
        </w:tc>
      </w:tr>
    </w:tbl>
    <w:p w14:paraId="05EAC8F7" w14:textId="77777777" w:rsidR="008C7015" w:rsidRPr="00BC4065" w:rsidRDefault="008C7015" w:rsidP="00BC4065">
      <w:pPr>
        <w:spacing w:after="0" w:line="240" w:lineRule="auto"/>
        <w:jc w:val="both"/>
        <w:rPr>
          <w:b/>
          <w:sz w:val="24"/>
        </w:rPr>
      </w:pPr>
    </w:p>
    <w:p w14:paraId="66C532A7" w14:textId="77777777" w:rsidR="007F08E1" w:rsidRPr="0017155C" w:rsidRDefault="007F08E1" w:rsidP="007F08E1">
      <w:pPr>
        <w:pStyle w:val="Prrafodelista"/>
        <w:jc w:val="both"/>
        <w:rPr>
          <w:b/>
          <w:sz w:val="24"/>
        </w:rPr>
      </w:pPr>
      <w:r w:rsidRPr="0017155C">
        <w:rPr>
          <w:b/>
          <w:sz w:val="24"/>
        </w:rPr>
        <w:t>Universidades Mexicanas</w:t>
      </w:r>
    </w:p>
    <w:p w14:paraId="05205125" w14:textId="5D35563F" w:rsidR="00CB0B67" w:rsidRPr="0017155C" w:rsidRDefault="00396EA9" w:rsidP="00FE687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17155C">
        <w:rPr>
          <w:sz w:val="24"/>
        </w:rPr>
        <w:t xml:space="preserve">El </w:t>
      </w:r>
      <w:r w:rsidR="004B1ED5" w:rsidRPr="0017155C">
        <w:rPr>
          <w:sz w:val="24"/>
        </w:rPr>
        <w:t xml:space="preserve">ranking QS </w:t>
      </w:r>
      <w:r w:rsidRPr="0017155C">
        <w:rPr>
          <w:sz w:val="24"/>
        </w:rPr>
        <w:t xml:space="preserve">Latinoamérica clasificó un total de </w:t>
      </w:r>
      <w:r w:rsidR="00CB0B67" w:rsidRPr="0017155C">
        <w:rPr>
          <w:sz w:val="24"/>
        </w:rPr>
        <w:t xml:space="preserve">59 </w:t>
      </w:r>
      <w:r w:rsidR="004B1ED5" w:rsidRPr="0017155C">
        <w:rPr>
          <w:sz w:val="24"/>
        </w:rPr>
        <w:t>instituciones mexi</w:t>
      </w:r>
      <w:r w:rsidR="00F1496E" w:rsidRPr="0017155C">
        <w:rPr>
          <w:sz w:val="24"/>
        </w:rPr>
        <w:t>canas de las cuales</w:t>
      </w:r>
      <w:r w:rsidRPr="0017155C">
        <w:rPr>
          <w:sz w:val="24"/>
        </w:rPr>
        <w:t>,</w:t>
      </w:r>
      <w:r w:rsidR="00F1496E" w:rsidRPr="0017155C">
        <w:rPr>
          <w:sz w:val="24"/>
        </w:rPr>
        <w:t xml:space="preserve"> </w:t>
      </w:r>
      <w:r w:rsidR="00CB0B67" w:rsidRPr="0017155C">
        <w:rPr>
          <w:sz w:val="24"/>
        </w:rPr>
        <w:t>únicamente 19</w:t>
      </w:r>
      <w:r w:rsidR="00FE687A" w:rsidRPr="0017155C">
        <w:rPr>
          <w:sz w:val="24"/>
        </w:rPr>
        <w:t xml:space="preserve"> </w:t>
      </w:r>
      <w:r w:rsidR="004B1ED5" w:rsidRPr="0017155C">
        <w:rPr>
          <w:sz w:val="24"/>
        </w:rPr>
        <w:t xml:space="preserve">universidades </w:t>
      </w:r>
      <w:r w:rsidR="007F08E1" w:rsidRPr="0017155C">
        <w:rPr>
          <w:sz w:val="24"/>
        </w:rPr>
        <w:t xml:space="preserve">se ubicaron dentro de los primeros </w:t>
      </w:r>
      <w:r w:rsidR="004B1ED5" w:rsidRPr="0017155C">
        <w:rPr>
          <w:sz w:val="24"/>
        </w:rPr>
        <w:t xml:space="preserve">150 </w:t>
      </w:r>
      <w:r w:rsidR="00FE687A" w:rsidRPr="0017155C">
        <w:rPr>
          <w:sz w:val="24"/>
        </w:rPr>
        <w:t>lugares</w:t>
      </w:r>
      <w:r w:rsidR="00E93619" w:rsidRPr="0017155C">
        <w:rPr>
          <w:sz w:val="24"/>
        </w:rPr>
        <w:t>.</w:t>
      </w:r>
    </w:p>
    <w:p w14:paraId="3DAA8219" w14:textId="77777777" w:rsidR="00313A7C" w:rsidRPr="0017155C" w:rsidRDefault="00313A7C" w:rsidP="00313A7C">
      <w:pPr>
        <w:pStyle w:val="Prrafodelista"/>
        <w:spacing w:after="0" w:line="240" w:lineRule="auto"/>
        <w:jc w:val="both"/>
        <w:rPr>
          <w:sz w:val="24"/>
        </w:rPr>
      </w:pPr>
    </w:p>
    <w:p w14:paraId="6FE8689D" w14:textId="05B096BC" w:rsidR="001C65BF" w:rsidRPr="00165E40" w:rsidRDefault="00A8312D" w:rsidP="001C65B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17155C">
        <w:rPr>
          <w:rFonts w:cs="Arial"/>
          <w:sz w:val="24"/>
          <w:szCs w:val="24"/>
        </w:rPr>
        <w:t>De las 19</w:t>
      </w:r>
      <w:r w:rsidR="00D075ED" w:rsidRPr="0017155C">
        <w:rPr>
          <w:rFonts w:cs="Arial"/>
          <w:sz w:val="24"/>
          <w:szCs w:val="24"/>
        </w:rPr>
        <w:t xml:space="preserve"> universidades clasificadas </w:t>
      </w:r>
      <w:r w:rsidR="0017155C" w:rsidRPr="0017155C">
        <w:rPr>
          <w:sz w:val="24"/>
        </w:rPr>
        <w:t>dentro de los primeros 150 lugares</w:t>
      </w:r>
      <w:r w:rsidR="001C65BF" w:rsidRPr="0017155C">
        <w:rPr>
          <w:rFonts w:cs="Arial"/>
          <w:sz w:val="24"/>
          <w:szCs w:val="24"/>
        </w:rPr>
        <w:t xml:space="preserve">, </w:t>
      </w:r>
      <w:r w:rsidR="001C65BF" w:rsidRPr="0017155C">
        <w:rPr>
          <w:sz w:val="24"/>
        </w:rPr>
        <w:t xml:space="preserve">resalta la presencia de </w:t>
      </w:r>
      <w:r w:rsidR="001C65BF" w:rsidRPr="0017155C">
        <w:rPr>
          <w:rFonts w:cs="Arial"/>
          <w:sz w:val="24"/>
          <w:szCs w:val="24"/>
        </w:rPr>
        <w:t>1</w:t>
      </w:r>
      <w:r w:rsidRPr="0017155C">
        <w:rPr>
          <w:rFonts w:cs="Arial"/>
          <w:sz w:val="24"/>
          <w:szCs w:val="24"/>
        </w:rPr>
        <w:t>2</w:t>
      </w:r>
      <w:r w:rsidR="001C65BF" w:rsidRPr="0017155C">
        <w:rPr>
          <w:rFonts w:cs="Arial"/>
          <w:sz w:val="24"/>
          <w:szCs w:val="24"/>
        </w:rPr>
        <w:t xml:space="preserve"> (</w:t>
      </w:r>
      <w:r w:rsidR="00AA71FB" w:rsidRPr="0017155C">
        <w:rPr>
          <w:rFonts w:cs="Arial"/>
          <w:sz w:val="24"/>
          <w:szCs w:val="24"/>
        </w:rPr>
        <w:t>6</w:t>
      </w:r>
      <w:r w:rsidRPr="0017155C">
        <w:rPr>
          <w:rFonts w:cs="Arial"/>
          <w:sz w:val="24"/>
          <w:szCs w:val="24"/>
        </w:rPr>
        <w:t>3.2</w:t>
      </w:r>
      <w:r w:rsidR="001C65BF" w:rsidRPr="0017155C">
        <w:rPr>
          <w:rFonts w:cs="Arial"/>
          <w:sz w:val="24"/>
          <w:szCs w:val="24"/>
        </w:rPr>
        <w:t>%) universidades públicas y 7 (</w:t>
      </w:r>
      <w:r w:rsidR="00AA71FB" w:rsidRPr="0017155C">
        <w:rPr>
          <w:rFonts w:cs="Arial"/>
          <w:sz w:val="24"/>
          <w:szCs w:val="24"/>
        </w:rPr>
        <w:t>3</w:t>
      </w:r>
      <w:r w:rsidRPr="0017155C">
        <w:rPr>
          <w:rFonts w:cs="Arial"/>
          <w:sz w:val="24"/>
          <w:szCs w:val="24"/>
        </w:rPr>
        <w:t>6.8</w:t>
      </w:r>
      <w:r w:rsidR="001C65BF" w:rsidRPr="0017155C">
        <w:rPr>
          <w:rFonts w:cs="Arial"/>
          <w:sz w:val="24"/>
          <w:szCs w:val="24"/>
        </w:rPr>
        <w:t xml:space="preserve">%) </w:t>
      </w:r>
      <w:r w:rsidR="0017155C" w:rsidRPr="0017155C">
        <w:rPr>
          <w:rFonts w:cs="Arial"/>
          <w:sz w:val="24"/>
          <w:szCs w:val="24"/>
        </w:rPr>
        <w:t>universidades</w:t>
      </w:r>
      <w:r w:rsidR="001C65BF" w:rsidRPr="0017155C">
        <w:rPr>
          <w:rFonts w:cs="Arial"/>
          <w:sz w:val="24"/>
          <w:szCs w:val="24"/>
        </w:rPr>
        <w:t xml:space="preserve"> privadas.</w:t>
      </w:r>
    </w:p>
    <w:p w14:paraId="7DA15080" w14:textId="77777777" w:rsidR="00165E40" w:rsidRPr="00165E40" w:rsidRDefault="00165E40" w:rsidP="00165E40">
      <w:pPr>
        <w:pStyle w:val="Prrafodelista"/>
        <w:rPr>
          <w:sz w:val="24"/>
        </w:rPr>
      </w:pPr>
    </w:p>
    <w:tbl>
      <w:tblPr>
        <w:tblW w:w="786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3"/>
        <w:gridCol w:w="1287"/>
        <w:gridCol w:w="4111"/>
        <w:gridCol w:w="1348"/>
      </w:tblGrid>
      <w:tr w:rsidR="00FC100A" w:rsidRPr="0017155C" w14:paraId="5929E0BA" w14:textId="0D14030F" w:rsidTr="00734379">
        <w:trPr>
          <w:trHeight w:val="177"/>
          <w:tblHeader/>
          <w:jc w:val="center"/>
        </w:trPr>
        <w:tc>
          <w:tcPr>
            <w:tcW w:w="7869" w:type="dxa"/>
            <w:gridSpan w:val="4"/>
            <w:tcBorders>
              <w:bottom w:val="single" w:sz="4" w:space="0" w:color="auto"/>
            </w:tcBorders>
          </w:tcPr>
          <w:p w14:paraId="53C60474" w14:textId="7BC34C16" w:rsidR="00D075ED" w:rsidRPr="0017155C" w:rsidRDefault="00D075ED" w:rsidP="001C1B5F">
            <w:pPr>
              <w:spacing w:after="0" w:line="240" w:lineRule="auto"/>
              <w:jc w:val="center"/>
              <w:rPr>
                <w:b/>
                <w:sz w:val="20"/>
                <w:szCs w:val="18"/>
              </w:rPr>
            </w:pPr>
            <w:r w:rsidRPr="0017155C">
              <w:rPr>
                <w:b/>
                <w:sz w:val="20"/>
                <w:szCs w:val="18"/>
              </w:rPr>
              <w:t xml:space="preserve">Tabla </w:t>
            </w:r>
            <w:r w:rsidR="001C1B5F">
              <w:rPr>
                <w:b/>
                <w:sz w:val="20"/>
                <w:szCs w:val="18"/>
              </w:rPr>
              <w:t>4</w:t>
            </w:r>
            <w:r w:rsidRPr="0017155C">
              <w:rPr>
                <w:b/>
                <w:sz w:val="20"/>
                <w:szCs w:val="18"/>
              </w:rPr>
              <w:t xml:space="preserve">. Posición mundial, latinoamericana y mexicana de las universidades en los primeros 150 lugares </w:t>
            </w:r>
            <w:r w:rsidRPr="0017155C">
              <w:rPr>
                <w:rFonts w:ascii="Calibri" w:eastAsia="Times New Roman" w:hAnsi="Calibri" w:cs="Times New Roman"/>
                <w:b/>
                <w:sz w:val="20"/>
                <w:szCs w:val="24"/>
                <w:lang w:eastAsia="es-MX"/>
              </w:rPr>
              <w:t>en el</w:t>
            </w:r>
            <w:r w:rsidRPr="0017155C">
              <w:t xml:space="preserve"> </w:t>
            </w:r>
            <w:r w:rsidRPr="0017155C">
              <w:rPr>
                <w:rFonts w:ascii="Calibri" w:eastAsia="Times New Roman" w:hAnsi="Calibri" w:cs="Times New Roman"/>
                <w:b/>
                <w:sz w:val="20"/>
                <w:szCs w:val="24"/>
                <w:lang w:eastAsia="es-MX"/>
              </w:rPr>
              <w:t>QS ranking Lat</w:t>
            </w:r>
            <w:r w:rsidR="00362220" w:rsidRPr="0017155C">
              <w:rPr>
                <w:rFonts w:ascii="Calibri" w:eastAsia="Times New Roman" w:hAnsi="Calibri" w:cs="Times New Roman"/>
                <w:b/>
                <w:sz w:val="20"/>
                <w:szCs w:val="24"/>
                <w:lang w:eastAsia="es-MX"/>
              </w:rPr>
              <w:t>inoamérica de universidades, 2020</w:t>
            </w:r>
            <w:r w:rsidRPr="0017155C">
              <w:rPr>
                <w:rFonts w:ascii="Calibri" w:eastAsia="Times New Roman" w:hAnsi="Calibri" w:cs="Times New Roman"/>
                <w:b/>
                <w:sz w:val="20"/>
                <w:szCs w:val="24"/>
                <w:lang w:eastAsia="es-MX"/>
              </w:rPr>
              <w:t>.</w:t>
            </w:r>
          </w:p>
        </w:tc>
      </w:tr>
      <w:tr w:rsidR="00362220" w:rsidRPr="0017155C" w14:paraId="5D714E88" w14:textId="6EA5C435" w:rsidTr="00734379">
        <w:trPr>
          <w:trHeight w:val="322"/>
          <w:tblHeader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369F355C" w14:textId="7DDB78CB" w:rsidR="00362220" w:rsidRPr="0017155C" w:rsidRDefault="00362220" w:rsidP="00362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s-MX"/>
              </w:rPr>
            </w:pPr>
            <w:r w:rsidRPr="0017155C">
              <w:rPr>
                <w:rFonts w:ascii="Calibri" w:eastAsia="Times New Roman" w:hAnsi="Calibri" w:cs="Times New Roman"/>
                <w:b/>
                <w:sz w:val="16"/>
                <w:szCs w:val="16"/>
                <w:lang w:eastAsia="es-MX"/>
              </w:rPr>
              <w:t>Ranking Latinoamérica</w:t>
            </w:r>
            <w:r w:rsidRPr="0017155C">
              <w:rPr>
                <w:rFonts w:ascii="Calibri" w:eastAsia="Times New Roman" w:hAnsi="Calibri" w:cs="Times New Roman"/>
                <w:b/>
                <w:sz w:val="16"/>
                <w:szCs w:val="16"/>
                <w:lang w:eastAsia="es-MX"/>
              </w:rPr>
              <w:br/>
              <w:t>2020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74880B1E" w14:textId="631CC0ED" w:rsidR="00362220" w:rsidRPr="0017155C" w:rsidRDefault="00362220" w:rsidP="001C6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s-MX"/>
              </w:rPr>
            </w:pPr>
            <w:r w:rsidRPr="0017155C">
              <w:rPr>
                <w:rFonts w:ascii="Calibri" w:eastAsia="Times New Roman" w:hAnsi="Calibri" w:cs="Times New Roman"/>
                <w:b/>
                <w:sz w:val="16"/>
                <w:szCs w:val="16"/>
                <w:lang w:eastAsia="es-MX"/>
              </w:rPr>
              <w:t>Ranking Mundial</w:t>
            </w:r>
            <w:r w:rsidRPr="0017155C">
              <w:rPr>
                <w:rFonts w:ascii="Calibri" w:eastAsia="Times New Roman" w:hAnsi="Calibri" w:cs="Times New Roman"/>
                <w:b/>
                <w:sz w:val="16"/>
                <w:szCs w:val="16"/>
                <w:lang w:eastAsia="es-MX"/>
              </w:rPr>
              <w:br/>
              <w:t>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08BF7D5" w14:textId="3A0F3599" w:rsidR="00362220" w:rsidRPr="0017155C" w:rsidRDefault="00362220" w:rsidP="001C6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s-MX"/>
              </w:rPr>
            </w:pPr>
            <w:r w:rsidRPr="0017155C">
              <w:rPr>
                <w:rFonts w:ascii="Calibri" w:eastAsia="Times New Roman" w:hAnsi="Calibri" w:cs="Times New Roman"/>
                <w:b/>
                <w:sz w:val="16"/>
                <w:szCs w:val="16"/>
                <w:lang w:eastAsia="es-MX"/>
              </w:rPr>
              <w:t>Universidad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8651EEF" w14:textId="7A4EC0DB" w:rsidR="00362220" w:rsidRPr="0017155C" w:rsidRDefault="00362220" w:rsidP="00650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s-MX"/>
              </w:rPr>
            </w:pPr>
            <w:r w:rsidRPr="0017155C">
              <w:rPr>
                <w:rFonts w:ascii="Calibri" w:eastAsia="Times New Roman" w:hAnsi="Calibri" w:cs="Times New Roman"/>
                <w:b/>
                <w:sz w:val="16"/>
                <w:szCs w:val="16"/>
                <w:lang w:eastAsia="es-MX"/>
              </w:rPr>
              <w:t>Sector</w:t>
            </w:r>
          </w:p>
        </w:tc>
      </w:tr>
      <w:tr w:rsidR="00362220" w:rsidRPr="0017155C" w14:paraId="30AD1351" w14:textId="0A60B66E" w:rsidTr="00362220">
        <w:trPr>
          <w:trHeight w:val="227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E9E48" w14:textId="14547075" w:rsidR="00362220" w:rsidRPr="0017155C" w:rsidRDefault="00362220" w:rsidP="0036222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17155C">
              <w:rPr>
                <w:rFonts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5C9E3" w14:textId="066AF01B" w:rsidR="00362220" w:rsidRPr="0017155C" w:rsidRDefault="00362220" w:rsidP="0036222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7155C">
              <w:rPr>
                <w:rFonts w:cstheme="minorHAnsi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6332" w14:textId="4F89E6BE" w:rsidR="00362220" w:rsidRPr="0017155C" w:rsidRDefault="00362220" w:rsidP="0036222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7155C">
              <w:rPr>
                <w:rFonts w:cstheme="minorHAnsi"/>
                <w:color w:val="000000"/>
                <w:sz w:val="16"/>
                <w:szCs w:val="16"/>
              </w:rPr>
              <w:t>Instituto Tecnológico y de Estudios Superiores de Monterrey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5A40" w14:textId="7865E3EE" w:rsidR="00362220" w:rsidRPr="0017155C" w:rsidRDefault="00362220" w:rsidP="0036222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7155C">
              <w:rPr>
                <w:rFonts w:cstheme="minorHAnsi"/>
                <w:color w:val="000000"/>
                <w:sz w:val="16"/>
                <w:szCs w:val="16"/>
              </w:rPr>
              <w:t>Privada</w:t>
            </w:r>
          </w:p>
        </w:tc>
      </w:tr>
      <w:tr w:rsidR="00362220" w:rsidRPr="0017155C" w14:paraId="11662A21" w14:textId="21EA1D3F" w:rsidTr="00362220">
        <w:trPr>
          <w:trHeight w:val="227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ACACD1C" w14:textId="77E62AA7" w:rsidR="00362220" w:rsidRPr="0017155C" w:rsidRDefault="00362220" w:rsidP="0036222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17155C">
              <w:rPr>
                <w:rFonts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D71BFF0" w14:textId="53FF38FC" w:rsidR="00362220" w:rsidRPr="0017155C" w:rsidRDefault="00362220" w:rsidP="0036222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7155C">
              <w:rPr>
                <w:rFonts w:cstheme="minorHAns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187C41" w14:textId="013A002E" w:rsidR="00362220" w:rsidRPr="0017155C" w:rsidRDefault="00362220" w:rsidP="0036222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7155C">
              <w:rPr>
                <w:rFonts w:cstheme="minorHAnsi"/>
                <w:color w:val="000000"/>
                <w:sz w:val="16"/>
                <w:szCs w:val="16"/>
              </w:rPr>
              <w:t>Universidad Nacional Autónoma de México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70C51E" w14:textId="29259604" w:rsidR="00362220" w:rsidRPr="0017155C" w:rsidRDefault="00362220" w:rsidP="0036222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7155C">
              <w:rPr>
                <w:rFonts w:cstheme="minorHAnsi"/>
                <w:color w:val="000000"/>
                <w:sz w:val="16"/>
                <w:szCs w:val="16"/>
              </w:rPr>
              <w:t>Pública</w:t>
            </w:r>
          </w:p>
        </w:tc>
      </w:tr>
      <w:tr w:rsidR="00362220" w:rsidRPr="0017155C" w14:paraId="14E8C613" w14:textId="5A46D176" w:rsidTr="00362220">
        <w:trPr>
          <w:trHeight w:val="227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AE226" w14:textId="21F8DEDD" w:rsidR="00362220" w:rsidRPr="0017155C" w:rsidRDefault="00362220" w:rsidP="0036222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17155C">
              <w:rPr>
                <w:rFonts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C4F17" w14:textId="638A873B" w:rsidR="00362220" w:rsidRPr="0017155C" w:rsidRDefault="00362220" w:rsidP="0036222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7155C">
              <w:rPr>
                <w:rFonts w:cstheme="minorHAnsi"/>
                <w:color w:val="000000"/>
                <w:sz w:val="16"/>
                <w:szCs w:val="16"/>
              </w:rPr>
              <w:t>651-700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CF48" w14:textId="3146A6C6" w:rsidR="00362220" w:rsidRPr="0017155C" w:rsidRDefault="00362220" w:rsidP="0036222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7155C">
              <w:rPr>
                <w:rFonts w:cstheme="minorHAnsi"/>
                <w:color w:val="000000"/>
                <w:sz w:val="16"/>
                <w:szCs w:val="16"/>
              </w:rPr>
              <w:t>Instituto Politécnico Nacional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733B" w14:textId="5540F670" w:rsidR="00362220" w:rsidRPr="0017155C" w:rsidRDefault="00362220" w:rsidP="0036222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7155C">
              <w:rPr>
                <w:rFonts w:cstheme="minorHAnsi"/>
                <w:color w:val="000000"/>
                <w:sz w:val="16"/>
                <w:szCs w:val="16"/>
              </w:rPr>
              <w:t>Pública</w:t>
            </w:r>
          </w:p>
        </w:tc>
      </w:tr>
      <w:tr w:rsidR="00362220" w:rsidRPr="0017155C" w14:paraId="5F61E798" w14:textId="15F796B2" w:rsidTr="00362220">
        <w:trPr>
          <w:trHeight w:val="227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1037AAE" w14:textId="383B0C37" w:rsidR="00362220" w:rsidRPr="0017155C" w:rsidRDefault="00362220" w:rsidP="0036222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17155C">
              <w:rPr>
                <w:rFonts w:cstheme="minorHAns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37BE13F" w14:textId="4C50788A" w:rsidR="00362220" w:rsidRPr="0017155C" w:rsidRDefault="00362220" w:rsidP="0036222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7155C">
              <w:rPr>
                <w:rFonts w:cstheme="minorHAnsi"/>
                <w:color w:val="000000"/>
                <w:sz w:val="16"/>
                <w:szCs w:val="16"/>
              </w:rPr>
              <w:t>801-1000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5DB3B0" w14:textId="7E78B592" w:rsidR="00362220" w:rsidRPr="0017155C" w:rsidRDefault="00362220" w:rsidP="0036222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7155C">
              <w:rPr>
                <w:rFonts w:cstheme="minorHAnsi"/>
                <w:color w:val="000000"/>
                <w:sz w:val="16"/>
                <w:szCs w:val="16"/>
              </w:rPr>
              <w:t>Universidad Autónoma Metropolitana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5CF298" w14:textId="4D8395DE" w:rsidR="00362220" w:rsidRPr="0017155C" w:rsidRDefault="00362220" w:rsidP="0036222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7155C">
              <w:rPr>
                <w:rFonts w:cstheme="minorHAnsi"/>
                <w:color w:val="000000"/>
                <w:sz w:val="16"/>
                <w:szCs w:val="16"/>
              </w:rPr>
              <w:t>Pública</w:t>
            </w:r>
          </w:p>
        </w:tc>
      </w:tr>
      <w:tr w:rsidR="00362220" w:rsidRPr="0017155C" w14:paraId="0BFA886F" w14:textId="46D39972" w:rsidTr="00362220">
        <w:trPr>
          <w:trHeight w:val="227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EA84E" w14:textId="4C194B7A" w:rsidR="00362220" w:rsidRPr="0017155C" w:rsidRDefault="00362220" w:rsidP="0036222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17155C">
              <w:rPr>
                <w:rFonts w:cstheme="minorHAns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BE327" w14:textId="01715B65" w:rsidR="00362220" w:rsidRPr="0017155C" w:rsidRDefault="00362220" w:rsidP="0036222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7155C">
              <w:rPr>
                <w:rFonts w:cstheme="minorHAnsi"/>
                <w:color w:val="000000"/>
                <w:sz w:val="16"/>
                <w:szCs w:val="16"/>
              </w:rPr>
              <w:t>651-700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C3C7" w14:textId="74CBDD86" w:rsidR="00362220" w:rsidRPr="0017155C" w:rsidRDefault="00362220" w:rsidP="0036222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7155C">
              <w:rPr>
                <w:rFonts w:cstheme="minorHAnsi"/>
                <w:color w:val="000000"/>
                <w:sz w:val="16"/>
                <w:szCs w:val="16"/>
              </w:rPr>
              <w:t>Instituto Tecnológico Autónomo de México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774A" w14:textId="4BFE417C" w:rsidR="00362220" w:rsidRPr="0017155C" w:rsidRDefault="00362220" w:rsidP="0036222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7155C">
              <w:rPr>
                <w:rFonts w:cstheme="minorHAnsi"/>
                <w:color w:val="000000"/>
                <w:sz w:val="16"/>
                <w:szCs w:val="16"/>
              </w:rPr>
              <w:t>Privada</w:t>
            </w:r>
          </w:p>
        </w:tc>
      </w:tr>
      <w:tr w:rsidR="00362220" w:rsidRPr="0017155C" w14:paraId="6CA92A9E" w14:textId="5F9739A8" w:rsidTr="00362220">
        <w:trPr>
          <w:trHeight w:val="227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550CC57" w14:textId="74231553" w:rsidR="00362220" w:rsidRPr="0017155C" w:rsidRDefault="00362220" w:rsidP="0036222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17155C">
              <w:rPr>
                <w:rFonts w:cstheme="minorHAns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6CA7992" w14:textId="00F604D9" w:rsidR="00362220" w:rsidRPr="0017155C" w:rsidRDefault="00362220" w:rsidP="0036222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7155C">
              <w:rPr>
                <w:rFonts w:cstheme="minorHAnsi"/>
                <w:color w:val="000000"/>
                <w:sz w:val="16"/>
                <w:szCs w:val="16"/>
              </w:rPr>
              <w:t>651-700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648E59C" w14:textId="79249753" w:rsidR="00362220" w:rsidRPr="0017155C" w:rsidRDefault="00362220" w:rsidP="0036222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7155C">
              <w:rPr>
                <w:rFonts w:cstheme="minorHAnsi"/>
                <w:color w:val="000000"/>
                <w:sz w:val="16"/>
                <w:szCs w:val="16"/>
              </w:rPr>
              <w:t>Universidad Iberoamericana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8BD1D3" w14:textId="0BCE4896" w:rsidR="00362220" w:rsidRPr="0017155C" w:rsidRDefault="00362220" w:rsidP="0036222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7155C">
              <w:rPr>
                <w:rFonts w:cstheme="minorHAnsi"/>
                <w:color w:val="000000"/>
                <w:sz w:val="16"/>
                <w:szCs w:val="16"/>
              </w:rPr>
              <w:t>Privada</w:t>
            </w:r>
          </w:p>
        </w:tc>
      </w:tr>
      <w:tr w:rsidR="00362220" w:rsidRPr="0017155C" w14:paraId="2058AB62" w14:textId="59FD65CA" w:rsidTr="00362220">
        <w:trPr>
          <w:trHeight w:val="227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4DFF1" w14:textId="03C3640F" w:rsidR="00362220" w:rsidRPr="0017155C" w:rsidRDefault="00362220" w:rsidP="0036222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17155C">
              <w:rPr>
                <w:rFonts w:cstheme="minorHAns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3680C" w14:textId="79E24473" w:rsidR="00362220" w:rsidRPr="0017155C" w:rsidRDefault="00362220" w:rsidP="0036222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7155C">
              <w:rPr>
                <w:rFonts w:cstheme="minorHAnsi"/>
                <w:color w:val="000000"/>
                <w:sz w:val="16"/>
                <w:szCs w:val="16"/>
              </w:rPr>
              <w:t>701-750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C63F" w14:textId="77DA925A" w:rsidR="00362220" w:rsidRPr="0017155C" w:rsidRDefault="00362220" w:rsidP="0036222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7155C">
              <w:rPr>
                <w:rFonts w:cstheme="minorHAnsi"/>
                <w:color w:val="000000"/>
                <w:sz w:val="16"/>
                <w:szCs w:val="16"/>
              </w:rPr>
              <w:t>Universidad de Guadalajara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E3ED" w14:textId="6B9A8FA3" w:rsidR="00362220" w:rsidRPr="0017155C" w:rsidRDefault="00362220" w:rsidP="0036222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7155C">
              <w:rPr>
                <w:rFonts w:cstheme="minorHAnsi"/>
                <w:color w:val="000000"/>
                <w:sz w:val="16"/>
                <w:szCs w:val="16"/>
              </w:rPr>
              <w:t>Pública</w:t>
            </w:r>
          </w:p>
        </w:tc>
      </w:tr>
      <w:tr w:rsidR="00362220" w:rsidRPr="0017155C" w14:paraId="3570C1A6" w14:textId="79D2EA5D" w:rsidTr="00362220">
        <w:trPr>
          <w:trHeight w:val="227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4B3932A" w14:textId="23854F7C" w:rsidR="00362220" w:rsidRPr="0017155C" w:rsidRDefault="00362220" w:rsidP="0036222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17155C">
              <w:rPr>
                <w:rFonts w:cstheme="minorHAns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C7540D2" w14:textId="4C4717D8" w:rsidR="00362220" w:rsidRPr="0017155C" w:rsidRDefault="00362220" w:rsidP="0036222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7155C">
              <w:rPr>
                <w:rFonts w:cstheme="minorHAnsi"/>
                <w:color w:val="000000"/>
                <w:sz w:val="16"/>
                <w:szCs w:val="16"/>
              </w:rPr>
              <w:t>801-1000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61BBBA" w14:textId="5E6AA477" w:rsidR="00362220" w:rsidRPr="0017155C" w:rsidRDefault="00362220" w:rsidP="0036222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7155C">
              <w:rPr>
                <w:rFonts w:cstheme="minorHAnsi"/>
                <w:color w:val="000000"/>
                <w:sz w:val="16"/>
                <w:szCs w:val="16"/>
              </w:rPr>
              <w:t>Universidad Autónoma de Nuevo León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B75E7E0" w14:textId="3C3451C2" w:rsidR="00362220" w:rsidRPr="0017155C" w:rsidRDefault="00362220" w:rsidP="0036222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7155C">
              <w:rPr>
                <w:rFonts w:cstheme="minorHAnsi"/>
                <w:color w:val="000000"/>
                <w:sz w:val="16"/>
                <w:szCs w:val="16"/>
              </w:rPr>
              <w:t>Pública</w:t>
            </w:r>
          </w:p>
        </w:tc>
      </w:tr>
      <w:tr w:rsidR="00362220" w:rsidRPr="0017155C" w14:paraId="72041214" w14:textId="654D3A0A" w:rsidTr="00362220">
        <w:trPr>
          <w:trHeight w:val="227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1D44C" w14:textId="3E3141DD" w:rsidR="00362220" w:rsidRPr="0017155C" w:rsidRDefault="00362220" w:rsidP="0036222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17155C">
              <w:rPr>
                <w:rFonts w:cs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6E89D" w14:textId="02B89295" w:rsidR="00362220" w:rsidRPr="0017155C" w:rsidRDefault="00362220" w:rsidP="0036222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7155C">
              <w:rPr>
                <w:rFonts w:cstheme="minorHAnsi"/>
                <w:color w:val="000000"/>
                <w:sz w:val="16"/>
                <w:szCs w:val="16"/>
              </w:rPr>
              <w:t>751-800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0AC9" w14:textId="7DDC02B1" w:rsidR="00362220" w:rsidRPr="0017155C" w:rsidRDefault="00362220" w:rsidP="0036222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7155C">
              <w:rPr>
                <w:rFonts w:cstheme="minorHAnsi"/>
                <w:color w:val="000000"/>
                <w:sz w:val="16"/>
                <w:szCs w:val="16"/>
              </w:rPr>
              <w:t>Universidad de las Américas Puebla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7E47" w14:textId="7C6032B7" w:rsidR="00362220" w:rsidRPr="0017155C" w:rsidRDefault="00362220" w:rsidP="0036222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7155C">
              <w:rPr>
                <w:rFonts w:cstheme="minorHAnsi"/>
                <w:color w:val="000000"/>
                <w:sz w:val="16"/>
                <w:szCs w:val="16"/>
              </w:rPr>
              <w:t>Privada</w:t>
            </w:r>
          </w:p>
        </w:tc>
      </w:tr>
      <w:tr w:rsidR="00362220" w:rsidRPr="0017155C" w14:paraId="78CD1F8D" w14:textId="66D1522B" w:rsidTr="00362220">
        <w:trPr>
          <w:trHeight w:val="227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1366F9F" w14:textId="11869556" w:rsidR="00362220" w:rsidRPr="0017155C" w:rsidRDefault="00362220" w:rsidP="0036222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17155C">
              <w:rPr>
                <w:rFonts w:cstheme="minorHAns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4811627" w14:textId="731BCBA5" w:rsidR="00362220" w:rsidRPr="0017155C" w:rsidRDefault="00362220" w:rsidP="0036222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7155C">
              <w:rPr>
                <w:rFonts w:cstheme="minorHAnsi"/>
                <w:color w:val="000000"/>
                <w:sz w:val="16"/>
                <w:szCs w:val="16"/>
              </w:rPr>
              <w:t>801-1000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43F48B" w14:textId="172D91B1" w:rsidR="00362220" w:rsidRPr="0017155C" w:rsidRDefault="00362220" w:rsidP="0036222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7155C">
              <w:rPr>
                <w:rFonts w:cstheme="minorHAnsi"/>
                <w:color w:val="000000"/>
                <w:sz w:val="16"/>
                <w:szCs w:val="16"/>
              </w:rPr>
              <w:t>Universidad Autónoma del Estado de México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4A1670" w14:textId="6CACAB42" w:rsidR="00362220" w:rsidRPr="0017155C" w:rsidRDefault="00362220" w:rsidP="0036222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7155C">
              <w:rPr>
                <w:rFonts w:cstheme="minorHAnsi"/>
                <w:color w:val="000000"/>
                <w:sz w:val="16"/>
                <w:szCs w:val="16"/>
              </w:rPr>
              <w:t>Pública</w:t>
            </w:r>
          </w:p>
        </w:tc>
      </w:tr>
      <w:tr w:rsidR="00362220" w:rsidRPr="0017155C" w14:paraId="5244A01E" w14:textId="77777777" w:rsidTr="00362220">
        <w:trPr>
          <w:trHeight w:val="227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B2CFB" w14:textId="3732E821" w:rsidR="00362220" w:rsidRPr="0017155C" w:rsidRDefault="00362220" w:rsidP="0036222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17155C">
              <w:rPr>
                <w:rFonts w:cstheme="minorHAns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C8AC7" w14:textId="37001C38" w:rsidR="00362220" w:rsidRPr="0017155C" w:rsidRDefault="00362220" w:rsidP="0036222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7155C">
              <w:rPr>
                <w:rFonts w:cstheme="minorHAnsi"/>
                <w:color w:val="000000"/>
                <w:sz w:val="16"/>
                <w:szCs w:val="16"/>
              </w:rPr>
              <w:t>561-570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C439" w14:textId="1A476F35" w:rsidR="00362220" w:rsidRPr="0017155C" w:rsidRDefault="00362220" w:rsidP="0036222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7155C">
              <w:rPr>
                <w:rFonts w:cstheme="minorHAnsi"/>
                <w:color w:val="000000"/>
                <w:sz w:val="16"/>
                <w:szCs w:val="16"/>
              </w:rPr>
              <w:t>Universidad Anáhuac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C02F" w14:textId="4181F615" w:rsidR="00362220" w:rsidRPr="0017155C" w:rsidRDefault="00362220" w:rsidP="0036222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7155C">
              <w:rPr>
                <w:rFonts w:cstheme="minorHAnsi"/>
                <w:color w:val="000000"/>
                <w:sz w:val="16"/>
                <w:szCs w:val="16"/>
              </w:rPr>
              <w:t>Privada</w:t>
            </w:r>
          </w:p>
        </w:tc>
      </w:tr>
      <w:tr w:rsidR="00362220" w:rsidRPr="0017155C" w14:paraId="577FBFA0" w14:textId="77777777" w:rsidTr="00362220">
        <w:trPr>
          <w:trHeight w:val="227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DBF7EF5" w14:textId="31CA5574" w:rsidR="00362220" w:rsidRPr="0017155C" w:rsidRDefault="00362220" w:rsidP="0036222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17155C">
              <w:rPr>
                <w:rFonts w:cstheme="minorHAns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1DDC10F" w14:textId="3A3D041B" w:rsidR="00362220" w:rsidRPr="0017155C" w:rsidRDefault="00362220" w:rsidP="0036222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7155C">
              <w:rPr>
                <w:rFonts w:cstheme="minorHAnsi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253732" w14:textId="51D345CA" w:rsidR="00362220" w:rsidRPr="0017155C" w:rsidRDefault="00362220" w:rsidP="0036222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7155C">
              <w:rPr>
                <w:rFonts w:cstheme="minorHAnsi"/>
                <w:color w:val="000000"/>
                <w:sz w:val="16"/>
                <w:szCs w:val="16"/>
              </w:rPr>
              <w:t>El Colegio de México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2C3401F" w14:textId="31294940" w:rsidR="00362220" w:rsidRPr="0017155C" w:rsidRDefault="00362220" w:rsidP="0036222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7155C">
              <w:rPr>
                <w:rFonts w:cstheme="minorHAnsi"/>
                <w:color w:val="000000"/>
                <w:sz w:val="16"/>
                <w:szCs w:val="16"/>
              </w:rPr>
              <w:t>Pública</w:t>
            </w:r>
          </w:p>
        </w:tc>
      </w:tr>
      <w:tr w:rsidR="00362220" w:rsidRPr="0017155C" w14:paraId="2771AC4B" w14:textId="77777777" w:rsidTr="00362220">
        <w:trPr>
          <w:trHeight w:val="227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73936" w14:textId="17EBE130" w:rsidR="00362220" w:rsidRPr="0017155C" w:rsidRDefault="00362220" w:rsidP="0036222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17155C">
              <w:rPr>
                <w:rFonts w:cstheme="minorHAns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91063" w14:textId="4F2AA61C" w:rsidR="00362220" w:rsidRPr="0017155C" w:rsidRDefault="00362220" w:rsidP="0036222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7155C">
              <w:rPr>
                <w:rFonts w:cstheme="minorHAnsi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7887" w14:textId="32335870" w:rsidR="00362220" w:rsidRPr="0017155C" w:rsidRDefault="00362220" w:rsidP="0036222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7155C">
              <w:rPr>
                <w:rFonts w:cstheme="minorHAnsi"/>
                <w:color w:val="000000"/>
                <w:sz w:val="16"/>
                <w:szCs w:val="16"/>
              </w:rPr>
              <w:t>Universidad Autónoma de San Luis de Potosí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AC96" w14:textId="76D49979" w:rsidR="00362220" w:rsidRPr="0017155C" w:rsidRDefault="00362220" w:rsidP="0036222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7155C">
              <w:rPr>
                <w:rFonts w:cstheme="minorHAnsi"/>
                <w:color w:val="000000"/>
                <w:sz w:val="16"/>
                <w:szCs w:val="16"/>
              </w:rPr>
              <w:t>Pública</w:t>
            </w:r>
          </w:p>
        </w:tc>
      </w:tr>
      <w:tr w:rsidR="00362220" w:rsidRPr="0017155C" w14:paraId="1D5A89B3" w14:textId="77777777" w:rsidTr="00362220">
        <w:trPr>
          <w:trHeight w:val="227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EEB7CC2" w14:textId="5510C086" w:rsidR="00362220" w:rsidRPr="0017155C" w:rsidRDefault="00362220" w:rsidP="0036222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17155C">
              <w:rPr>
                <w:rFonts w:cstheme="minorHAns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D424BA3" w14:textId="7EB6C166" w:rsidR="00362220" w:rsidRPr="0017155C" w:rsidRDefault="00362220" w:rsidP="0036222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7155C">
              <w:rPr>
                <w:rFonts w:cstheme="minorHAnsi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5D503BC" w14:textId="44265566" w:rsidR="00362220" w:rsidRPr="0017155C" w:rsidRDefault="00362220" w:rsidP="0036222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7155C">
              <w:rPr>
                <w:rFonts w:cstheme="minorHAnsi"/>
                <w:color w:val="000000"/>
                <w:sz w:val="16"/>
                <w:szCs w:val="16"/>
              </w:rPr>
              <w:t>Benemérita Universidad Autónoma de Puebla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FCEE9B" w14:textId="0DA700E6" w:rsidR="00362220" w:rsidRPr="0017155C" w:rsidRDefault="00362220" w:rsidP="0036222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7155C">
              <w:rPr>
                <w:rFonts w:cstheme="minorHAnsi"/>
                <w:color w:val="000000"/>
                <w:sz w:val="16"/>
                <w:szCs w:val="16"/>
              </w:rPr>
              <w:t>Pública</w:t>
            </w:r>
          </w:p>
        </w:tc>
      </w:tr>
      <w:tr w:rsidR="00362220" w:rsidRPr="0017155C" w14:paraId="6115F07C" w14:textId="77777777" w:rsidTr="00362220">
        <w:trPr>
          <w:trHeight w:val="227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16641" w14:textId="5ADA3F09" w:rsidR="00362220" w:rsidRPr="0017155C" w:rsidRDefault="00362220" w:rsidP="0036222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17155C">
              <w:rPr>
                <w:rFonts w:cstheme="minorHAns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0B29F" w14:textId="01B1210D" w:rsidR="00362220" w:rsidRPr="0017155C" w:rsidRDefault="00362220" w:rsidP="0036222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7155C">
              <w:rPr>
                <w:rFonts w:cstheme="minorHAnsi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BD20" w14:textId="034DAEF7" w:rsidR="00362220" w:rsidRPr="0017155C" w:rsidRDefault="00362220" w:rsidP="0036222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7155C">
              <w:rPr>
                <w:rFonts w:cstheme="minorHAnsi"/>
                <w:color w:val="000000"/>
                <w:sz w:val="16"/>
                <w:szCs w:val="16"/>
              </w:rPr>
              <w:t>Universidad de Guanajuato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55A8" w14:textId="563DF8E5" w:rsidR="00362220" w:rsidRPr="0017155C" w:rsidRDefault="00362220" w:rsidP="0036222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7155C">
              <w:rPr>
                <w:rFonts w:cstheme="minorHAnsi"/>
                <w:color w:val="000000"/>
                <w:sz w:val="16"/>
                <w:szCs w:val="16"/>
              </w:rPr>
              <w:t>Pública</w:t>
            </w:r>
          </w:p>
        </w:tc>
      </w:tr>
      <w:tr w:rsidR="00362220" w:rsidRPr="0017155C" w14:paraId="136D70B3" w14:textId="77777777" w:rsidTr="00362220">
        <w:trPr>
          <w:trHeight w:val="227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1B7B8D0" w14:textId="22825EC0" w:rsidR="00362220" w:rsidRPr="0017155C" w:rsidRDefault="00362220" w:rsidP="0036222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17155C">
              <w:rPr>
                <w:rFonts w:cstheme="minorHAns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1A22166" w14:textId="7E79BDB8" w:rsidR="00362220" w:rsidRPr="0017155C" w:rsidRDefault="00362220" w:rsidP="0036222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7155C">
              <w:rPr>
                <w:rFonts w:cstheme="minorHAnsi"/>
                <w:color w:val="000000"/>
                <w:sz w:val="16"/>
                <w:szCs w:val="16"/>
              </w:rPr>
              <w:t>601-650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D60246" w14:textId="1F70311C" w:rsidR="00362220" w:rsidRPr="0017155C" w:rsidRDefault="00362220" w:rsidP="0036222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7155C">
              <w:rPr>
                <w:rFonts w:cstheme="minorHAnsi"/>
                <w:color w:val="000000"/>
                <w:sz w:val="16"/>
                <w:szCs w:val="16"/>
              </w:rPr>
              <w:t>Universidad Panamericana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221432" w14:textId="2E18BCFD" w:rsidR="00362220" w:rsidRPr="0017155C" w:rsidRDefault="00362220" w:rsidP="0036222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7155C">
              <w:rPr>
                <w:rFonts w:cstheme="minorHAnsi"/>
                <w:color w:val="000000"/>
                <w:sz w:val="16"/>
                <w:szCs w:val="16"/>
              </w:rPr>
              <w:t>Privada</w:t>
            </w:r>
          </w:p>
        </w:tc>
      </w:tr>
      <w:tr w:rsidR="00362220" w:rsidRPr="0017155C" w14:paraId="1C9C19D2" w14:textId="77777777" w:rsidTr="00362220">
        <w:trPr>
          <w:trHeight w:val="227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92EC9" w14:textId="06170A22" w:rsidR="00362220" w:rsidRPr="0017155C" w:rsidRDefault="00362220" w:rsidP="0036222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17155C">
              <w:rPr>
                <w:rFonts w:cstheme="minorHAns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C7C91" w14:textId="3CEC741F" w:rsidR="00362220" w:rsidRPr="0017155C" w:rsidRDefault="00362220" w:rsidP="0036222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7155C">
              <w:rPr>
                <w:rFonts w:cstheme="minorHAnsi"/>
                <w:color w:val="000000"/>
                <w:sz w:val="16"/>
                <w:szCs w:val="16"/>
              </w:rPr>
              <w:t>801-1000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369C" w14:textId="4A3AE4AE" w:rsidR="00362220" w:rsidRPr="0017155C" w:rsidRDefault="00362220" w:rsidP="0036222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7155C">
              <w:rPr>
                <w:rFonts w:cstheme="minorHAnsi"/>
                <w:color w:val="000000"/>
                <w:sz w:val="16"/>
                <w:szCs w:val="16"/>
              </w:rPr>
              <w:t>Universidad de Monterrey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BD89" w14:textId="7CD30B24" w:rsidR="00362220" w:rsidRPr="0017155C" w:rsidRDefault="00362220" w:rsidP="0036222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7155C">
              <w:rPr>
                <w:rFonts w:cstheme="minorHAnsi"/>
                <w:color w:val="000000"/>
                <w:sz w:val="16"/>
                <w:szCs w:val="16"/>
              </w:rPr>
              <w:t>Privada</w:t>
            </w:r>
          </w:p>
        </w:tc>
      </w:tr>
      <w:tr w:rsidR="00362220" w:rsidRPr="0017155C" w14:paraId="2CBB6596" w14:textId="77777777" w:rsidTr="00362220">
        <w:trPr>
          <w:trHeight w:val="227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B975A18" w14:textId="475F51C6" w:rsidR="00362220" w:rsidRPr="0017155C" w:rsidRDefault="00362220" w:rsidP="0036222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17155C">
              <w:rPr>
                <w:rFonts w:cstheme="minorHAnsi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5473D4E" w14:textId="2ED0EFC6" w:rsidR="00362220" w:rsidRPr="0017155C" w:rsidRDefault="00362220" w:rsidP="0036222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7155C">
              <w:rPr>
                <w:rFonts w:cstheme="minorHAnsi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99AE9CE" w14:textId="208B466A" w:rsidR="00362220" w:rsidRPr="0017155C" w:rsidRDefault="00362220" w:rsidP="0036222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7155C">
              <w:rPr>
                <w:rFonts w:cstheme="minorHAnsi"/>
                <w:color w:val="000000"/>
                <w:sz w:val="16"/>
                <w:szCs w:val="16"/>
              </w:rPr>
              <w:t>Universidad Veracruzana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0883F7" w14:textId="1A190EED" w:rsidR="00362220" w:rsidRPr="0017155C" w:rsidRDefault="00362220" w:rsidP="0036222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7155C">
              <w:rPr>
                <w:rFonts w:cstheme="minorHAnsi"/>
                <w:color w:val="000000"/>
                <w:sz w:val="16"/>
                <w:szCs w:val="16"/>
              </w:rPr>
              <w:t>Pública</w:t>
            </w:r>
          </w:p>
        </w:tc>
      </w:tr>
      <w:tr w:rsidR="00362220" w:rsidRPr="0017155C" w14:paraId="2DD9D2E2" w14:textId="77777777" w:rsidTr="00362220">
        <w:trPr>
          <w:trHeight w:val="227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4F094" w14:textId="4E5E5956" w:rsidR="00362220" w:rsidRPr="0017155C" w:rsidRDefault="00362220" w:rsidP="0036222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17155C">
              <w:rPr>
                <w:rFonts w:cstheme="minorHAnsi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B1A97" w14:textId="14961DC6" w:rsidR="00362220" w:rsidRPr="0017155C" w:rsidRDefault="00362220" w:rsidP="0036222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7155C">
              <w:rPr>
                <w:rFonts w:cstheme="minorHAnsi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E9E7" w14:textId="5063B596" w:rsidR="00362220" w:rsidRPr="0017155C" w:rsidRDefault="00362220" w:rsidP="0036222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7155C">
              <w:rPr>
                <w:rFonts w:cstheme="minorHAnsi"/>
                <w:color w:val="000000"/>
                <w:sz w:val="16"/>
                <w:szCs w:val="16"/>
              </w:rPr>
              <w:t>Universidad Autónoma de Querétaro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F617" w14:textId="6495C74E" w:rsidR="00362220" w:rsidRPr="0017155C" w:rsidRDefault="00362220" w:rsidP="0036222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7155C">
              <w:rPr>
                <w:rFonts w:cstheme="minorHAnsi"/>
                <w:color w:val="000000"/>
                <w:sz w:val="16"/>
                <w:szCs w:val="16"/>
              </w:rPr>
              <w:t>Pública</w:t>
            </w:r>
          </w:p>
        </w:tc>
      </w:tr>
      <w:tr w:rsidR="00FC100A" w:rsidRPr="0017155C" w14:paraId="3076F525" w14:textId="56C4587A" w:rsidTr="00362220">
        <w:trPr>
          <w:trHeight w:val="192"/>
          <w:jc w:val="center"/>
        </w:trPr>
        <w:tc>
          <w:tcPr>
            <w:tcW w:w="7869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397F6ED1" w14:textId="26C26A9E" w:rsidR="00D075ED" w:rsidRPr="0017155C" w:rsidRDefault="00D075ED" w:rsidP="0065009C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4"/>
                <w:lang w:eastAsia="es-MX"/>
              </w:rPr>
            </w:pPr>
            <w:r w:rsidRPr="0017155C">
              <w:rPr>
                <w:rFonts w:ascii="Calibri" w:eastAsia="Times New Roman" w:hAnsi="Calibri" w:cs="Calibri"/>
                <w:b/>
                <w:sz w:val="12"/>
                <w:szCs w:val="14"/>
                <w:lang w:eastAsia="es-MX"/>
              </w:rPr>
              <w:t>Fuente:</w:t>
            </w:r>
            <w:r w:rsidRPr="0017155C">
              <w:rPr>
                <w:rFonts w:ascii="Calibri" w:eastAsia="Times New Roman" w:hAnsi="Calibri" w:cs="Calibri"/>
                <w:sz w:val="12"/>
                <w:szCs w:val="14"/>
                <w:lang w:eastAsia="es-MX"/>
              </w:rPr>
              <w:t xml:space="preserve"> Elaboración propia con datos publicados del QS </w:t>
            </w:r>
            <w:r w:rsidR="00362220" w:rsidRPr="0017155C">
              <w:rPr>
                <w:rFonts w:ascii="Calibri" w:eastAsia="Times New Roman" w:hAnsi="Calibri" w:cs="Calibri"/>
                <w:sz w:val="12"/>
                <w:szCs w:val="14"/>
                <w:lang w:eastAsia="es-MX"/>
              </w:rPr>
              <w:t>ranking Mundial, y Latinoamérica</w:t>
            </w:r>
            <w:r w:rsidRPr="0017155C">
              <w:rPr>
                <w:rFonts w:ascii="Calibri" w:eastAsia="Times New Roman" w:hAnsi="Calibri" w:cs="Calibri"/>
                <w:sz w:val="12"/>
                <w:szCs w:val="14"/>
                <w:lang w:eastAsia="es-MX"/>
              </w:rPr>
              <w:t>, 20</w:t>
            </w:r>
            <w:r w:rsidR="00362220" w:rsidRPr="0017155C">
              <w:rPr>
                <w:rFonts w:ascii="Calibri" w:eastAsia="Times New Roman" w:hAnsi="Calibri" w:cs="Calibri"/>
                <w:sz w:val="12"/>
                <w:szCs w:val="14"/>
                <w:lang w:eastAsia="es-MX"/>
              </w:rPr>
              <w:t>20</w:t>
            </w:r>
            <w:r w:rsidRPr="0017155C">
              <w:rPr>
                <w:rFonts w:ascii="Calibri" w:eastAsia="Times New Roman" w:hAnsi="Calibri" w:cs="Calibri"/>
                <w:sz w:val="12"/>
                <w:szCs w:val="14"/>
                <w:lang w:eastAsia="es-MX"/>
              </w:rPr>
              <w:t>.</w:t>
            </w:r>
          </w:p>
          <w:p w14:paraId="68CB21C3" w14:textId="331AC1FF" w:rsidR="00D075ED" w:rsidRPr="0017155C" w:rsidRDefault="00D075ED" w:rsidP="0065009C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4"/>
                <w:lang w:eastAsia="es-MX"/>
              </w:rPr>
            </w:pPr>
            <w:r w:rsidRPr="0017155C">
              <w:rPr>
                <w:rFonts w:ascii="Calibri" w:eastAsia="Times New Roman" w:hAnsi="Calibri" w:cs="Calibri"/>
                <w:b/>
                <w:sz w:val="12"/>
                <w:szCs w:val="14"/>
                <w:lang w:eastAsia="es-MX"/>
              </w:rPr>
              <w:t xml:space="preserve">* </w:t>
            </w:r>
            <w:r w:rsidRPr="0017155C">
              <w:rPr>
                <w:rFonts w:ascii="Calibri" w:eastAsia="Times New Roman" w:hAnsi="Calibri" w:cs="Calibri"/>
                <w:sz w:val="12"/>
                <w:szCs w:val="14"/>
                <w:lang w:eastAsia="es-MX"/>
              </w:rPr>
              <w:t>Ordenado conforme a la posición obtenida en el ranking Latinoamérica.</w:t>
            </w:r>
          </w:p>
          <w:p w14:paraId="4583179D" w14:textId="53DB2DE0" w:rsidR="00D075ED" w:rsidRPr="0017155C" w:rsidRDefault="00D075ED" w:rsidP="0065009C">
            <w:pPr>
              <w:spacing w:after="0" w:line="240" w:lineRule="auto"/>
              <w:rPr>
                <w:rFonts w:ascii="Calibri" w:eastAsia="Times New Roman" w:hAnsi="Calibri" w:cs="Calibri"/>
                <w:b/>
                <w:sz w:val="14"/>
                <w:szCs w:val="14"/>
                <w:lang w:eastAsia="es-MX"/>
              </w:rPr>
            </w:pPr>
            <w:r w:rsidRPr="0017155C">
              <w:rPr>
                <w:rFonts w:ascii="Calibri" w:eastAsia="Times New Roman" w:hAnsi="Calibri" w:cs="Calibri"/>
                <w:b/>
                <w:sz w:val="12"/>
                <w:szCs w:val="14"/>
                <w:lang w:eastAsia="es-MX"/>
              </w:rPr>
              <w:t xml:space="preserve">** </w:t>
            </w:r>
            <w:r w:rsidRPr="0017155C">
              <w:rPr>
                <w:rFonts w:ascii="Calibri" w:eastAsia="Times New Roman" w:hAnsi="Calibri" w:cs="Calibri"/>
                <w:sz w:val="12"/>
                <w:szCs w:val="14"/>
                <w:lang w:eastAsia="es-MX"/>
              </w:rPr>
              <w:t>N/D: No disponible</w:t>
            </w:r>
          </w:p>
        </w:tc>
      </w:tr>
    </w:tbl>
    <w:p w14:paraId="31E056B0" w14:textId="77777777" w:rsidR="00FC100A" w:rsidRDefault="00FC100A" w:rsidP="007F08E1">
      <w:pPr>
        <w:pStyle w:val="Prrafodelista"/>
        <w:jc w:val="both"/>
        <w:rPr>
          <w:b/>
          <w:sz w:val="24"/>
        </w:rPr>
      </w:pPr>
    </w:p>
    <w:p w14:paraId="4F36F01D" w14:textId="77777777" w:rsidR="00165E40" w:rsidRDefault="00165E40" w:rsidP="007F08E1">
      <w:pPr>
        <w:pStyle w:val="Prrafodelista"/>
        <w:jc w:val="both"/>
        <w:rPr>
          <w:b/>
          <w:sz w:val="24"/>
        </w:rPr>
      </w:pPr>
    </w:p>
    <w:p w14:paraId="09A65F02" w14:textId="77777777" w:rsidR="00165E40" w:rsidRPr="0017155C" w:rsidRDefault="00165E40" w:rsidP="007F08E1">
      <w:pPr>
        <w:pStyle w:val="Prrafodelista"/>
        <w:jc w:val="both"/>
        <w:rPr>
          <w:b/>
          <w:sz w:val="24"/>
        </w:rPr>
      </w:pPr>
    </w:p>
    <w:p w14:paraId="461D4A8C" w14:textId="72D42BF1" w:rsidR="00313A7C" w:rsidRPr="0017155C" w:rsidRDefault="00313A7C" w:rsidP="00313A7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17155C">
        <w:rPr>
          <w:sz w:val="24"/>
        </w:rPr>
        <w:lastRenderedPageBreak/>
        <w:t xml:space="preserve">La UNAM y el ITESM son las únicas instituciones mexicanas situadas en los primeros </w:t>
      </w:r>
      <w:r w:rsidR="00185865" w:rsidRPr="0017155C">
        <w:rPr>
          <w:sz w:val="24"/>
        </w:rPr>
        <w:t>10</w:t>
      </w:r>
      <w:r w:rsidRPr="0017155C">
        <w:rPr>
          <w:sz w:val="24"/>
        </w:rPr>
        <w:t xml:space="preserve"> lugares del ranking.</w:t>
      </w:r>
    </w:p>
    <w:p w14:paraId="5BD601DE" w14:textId="62C31E9F" w:rsidR="00313A7C" w:rsidRPr="0017155C" w:rsidRDefault="0017155C" w:rsidP="007609BC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24"/>
        </w:rPr>
      </w:pPr>
      <w:r w:rsidRPr="0017155C">
        <w:rPr>
          <w:sz w:val="24"/>
        </w:rPr>
        <w:t xml:space="preserve">El ITESM se situó en la posición 3, mientras que la </w:t>
      </w:r>
      <w:r w:rsidR="00313A7C" w:rsidRPr="0017155C">
        <w:rPr>
          <w:sz w:val="24"/>
        </w:rPr>
        <w:t xml:space="preserve">UNAM </w:t>
      </w:r>
      <w:r w:rsidR="009B3B74" w:rsidRPr="0017155C">
        <w:rPr>
          <w:sz w:val="24"/>
        </w:rPr>
        <w:t xml:space="preserve">fue clasificada en </w:t>
      </w:r>
      <w:r w:rsidRPr="0017155C">
        <w:rPr>
          <w:sz w:val="24"/>
        </w:rPr>
        <w:t xml:space="preserve">la </w:t>
      </w:r>
      <w:r w:rsidR="009B3B74" w:rsidRPr="0017155C">
        <w:rPr>
          <w:sz w:val="24"/>
        </w:rPr>
        <w:t>posición 6</w:t>
      </w:r>
      <w:r w:rsidRPr="0017155C">
        <w:rPr>
          <w:sz w:val="24"/>
        </w:rPr>
        <w:t>.</w:t>
      </w:r>
    </w:p>
    <w:p w14:paraId="1CDAF179" w14:textId="72107CA4" w:rsidR="00193EB9" w:rsidRPr="0017155C" w:rsidRDefault="00313A7C" w:rsidP="00CD482D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24"/>
        </w:rPr>
      </w:pPr>
      <w:r w:rsidRPr="0017155C">
        <w:rPr>
          <w:sz w:val="24"/>
        </w:rPr>
        <w:t>La UNAM aventajó al ITESM</w:t>
      </w:r>
      <w:r w:rsidR="00193EB9" w:rsidRPr="0017155C">
        <w:rPr>
          <w:sz w:val="24"/>
        </w:rPr>
        <w:t xml:space="preserve"> en </w:t>
      </w:r>
      <w:r w:rsidR="003A0899" w:rsidRPr="0017155C">
        <w:rPr>
          <w:sz w:val="24"/>
        </w:rPr>
        <w:t>5</w:t>
      </w:r>
      <w:r w:rsidR="00193EB9" w:rsidRPr="0017155C">
        <w:rPr>
          <w:sz w:val="24"/>
        </w:rPr>
        <w:t xml:space="preserve"> indicadores</w:t>
      </w:r>
    </w:p>
    <w:p w14:paraId="3324120A" w14:textId="4C04889C" w:rsidR="00193EB9" w:rsidRPr="0017155C" w:rsidRDefault="003A0899" w:rsidP="003A0899">
      <w:pPr>
        <w:pStyle w:val="Prrafodelista"/>
        <w:numPr>
          <w:ilvl w:val="2"/>
          <w:numId w:val="1"/>
        </w:numPr>
        <w:spacing w:after="0" w:line="240" w:lineRule="auto"/>
        <w:jc w:val="both"/>
        <w:rPr>
          <w:sz w:val="24"/>
        </w:rPr>
      </w:pPr>
      <w:r w:rsidRPr="0017155C">
        <w:rPr>
          <w:sz w:val="24"/>
        </w:rPr>
        <w:t xml:space="preserve">Reputación según empleadores </w:t>
      </w:r>
      <w:r w:rsidR="00193EB9" w:rsidRPr="0017155C">
        <w:rPr>
          <w:sz w:val="24"/>
        </w:rPr>
        <w:t xml:space="preserve">con </w:t>
      </w:r>
      <w:r w:rsidRPr="0017155C">
        <w:rPr>
          <w:sz w:val="24"/>
        </w:rPr>
        <w:t>0.1</w:t>
      </w:r>
      <w:r w:rsidR="00193EB9" w:rsidRPr="0017155C">
        <w:rPr>
          <w:sz w:val="24"/>
        </w:rPr>
        <w:t xml:space="preserve"> puntos</w:t>
      </w:r>
    </w:p>
    <w:p w14:paraId="5347D020" w14:textId="77777777" w:rsidR="003A0899" w:rsidRPr="0017155C" w:rsidRDefault="003A0899" w:rsidP="003A0899">
      <w:pPr>
        <w:pStyle w:val="Prrafodelista"/>
        <w:numPr>
          <w:ilvl w:val="2"/>
          <w:numId w:val="1"/>
        </w:numPr>
        <w:spacing w:after="0" w:line="240" w:lineRule="auto"/>
        <w:jc w:val="both"/>
        <w:rPr>
          <w:sz w:val="24"/>
        </w:rPr>
      </w:pPr>
      <w:r w:rsidRPr="0017155C">
        <w:rPr>
          <w:sz w:val="24"/>
        </w:rPr>
        <w:t xml:space="preserve">Red Internacional de Investigación con 1.4 puntos </w:t>
      </w:r>
    </w:p>
    <w:p w14:paraId="09D4E7E5" w14:textId="05083338" w:rsidR="00193EB9" w:rsidRPr="0017155C" w:rsidRDefault="003A0899" w:rsidP="003A0899">
      <w:pPr>
        <w:pStyle w:val="Prrafodelista"/>
        <w:numPr>
          <w:ilvl w:val="2"/>
          <w:numId w:val="1"/>
        </w:numPr>
        <w:spacing w:after="0" w:line="240" w:lineRule="auto"/>
        <w:jc w:val="both"/>
        <w:rPr>
          <w:sz w:val="24"/>
        </w:rPr>
      </w:pPr>
      <w:r w:rsidRPr="0017155C">
        <w:rPr>
          <w:sz w:val="24"/>
        </w:rPr>
        <w:t xml:space="preserve">Proporción de artículos por personal académico </w:t>
      </w:r>
      <w:r w:rsidR="00193EB9" w:rsidRPr="0017155C">
        <w:rPr>
          <w:sz w:val="24"/>
        </w:rPr>
        <w:t xml:space="preserve">con </w:t>
      </w:r>
      <w:r w:rsidRPr="0017155C">
        <w:rPr>
          <w:sz w:val="24"/>
        </w:rPr>
        <w:t xml:space="preserve">2.6 </w:t>
      </w:r>
      <w:r w:rsidR="00193EB9" w:rsidRPr="0017155C">
        <w:rPr>
          <w:sz w:val="24"/>
        </w:rPr>
        <w:t>puntos</w:t>
      </w:r>
    </w:p>
    <w:p w14:paraId="1B3ED8D8" w14:textId="77777777" w:rsidR="003A0899" w:rsidRPr="0017155C" w:rsidRDefault="003A0899" w:rsidP="003A0899">
      <w:pPr>
        <w:pStyle w:val="Prrafodelista"/>
        <w:numPr>
          <w:ilvl w:val="2"/>
          <w:numId w:val="1"/>
        </w:numPr>
        <w:spacing w:after="0" w:line="240" w:lineRule="auto"/>
        <w:jc w:val="both"/>
        <w:rPr>
          <w:sz w:val="24"/>
        </w:rPr>
      </w:pPr>
      <w:r w:rsidRPr="0017155C">
        <w:rPr>
          <w:sz w:val="24"/>
        </w:rPr>
        <w:t>Reputación según académicos con 6.4 puntos</w:t>
      </w:r>
    </w:p>
    <w:p w14:paraId="2F7573C5" w14:textId="4B6466F5" w:rsidR="00193EB9" w:rsidRPr="0017155C" w:rsidRDefault="003A0899" w:rsidP="003A0899">
      <w:pPr>
        <w:pStyle w:val="Prrafodelista"/>
        <w:numPr>
          <w:ilvl w:val="2"/>
          <w:numId w:val="1"/>
        </w:numPr>
        <w:spacing w:after="0" w:line="240" w:lineRule="auto"/>
        <w:jc w:val="both"/>
        <w:rPr>
          <w:sz w:val="24"/>
        </w:rPr>
      </w:pPr>
      <w:r w:rsidRPr="0017155C">
        <w:rPr>
          <w:sz w:val="24"/>
        </w:rPr>
        <w:t xml:space="preserve">Impacto en internet </w:t>
      </w:r>
      <w:r w:rsidR="00193EB9" w:rsidRPr="0017155C">
        <w:rPr>
          <w:sz w:val="24"/>
        </w:rPr>
        <w:t xml:space="preserve">con </w:t>
      </w:r>
      <w:r w:rsidRPr="0017155C">
        <w:rPr>
          <w:sz w:val="24"/>
        </w:rPr>
        <w:t>26.8</w:t>
      </w:r>
      <w:r w:rsidR="00193EB9" w:rsidRPr="0017155C">
        <w:rPr>
          <w:sz w:val="24"/>
        </w:rPr>
        <w:t xml:space="preserve"> puntos</w:t>
      </w:r>
      <w:r w:rsidR="006D617A" w:rsidRPr="0017155C">
        <w:rPr>
          <w:sz w:val="24"/>
        </w:rPr>
        <w:t xml:space="preserve">; este rubro </w:t>
      </w:r>
      <w:r w:rsidR="00CD482D" w:rsidRPr="0017155C">
        <w:rPr>
          <w:sz w:val="24"/>
        </w:rPr>
        <w:t xml:space="preserve">considera </w:t>
      </w:r>
      <w:r w:rsidR="006445F9" w:rsidRPr="0017155C">
        <w:rPr>
          <w:sz w:val="24"/>
        </w:rPr>
        <w:t xml:space="preserve">los </w:t>
      </w:r>
      <w:r w:rsidR="00CD482D" w:rsidRPr="0017155C">
        <w:rPr>
          <w:sz w:val="24"/>
        </w:rPr>
        <w:t>resultados del Ranking Webometrics</w:t>
      </w:r>
      <w:r w:rsidR="000030C0" w:rsidRPr="0017155C">
        <w:rPr>
          <w:sz w:val="24"/>
        </w:rPr>
        <w:t xml:space="preserve"> </w:t>
      </w:r>
      <w:r w:rsidR="00CD482D" w:rsidRPr="0017155C">
        <w:rPr>
          <w:sz w:val="24"/>
        </w:rPr>
        <w:t>excluyen</w:t>
      </w:r>
      <w:r w:rsidR="006445F9" w:rsidRPr="0017155C">
        <w:rPr>
          <w:sz w:val="24"/>
        </w:rPr>
        <w:t xml:space="preserve">do el </w:t>
      </w:r>
      <w:r w:rsidR="000030C0" w:rsidRPr="0017155C">
        <w:rPr>
          <w:sz w:val="24"/>
        </w:rPr>
        <w:t xml:space="preserve">rubro </w:t>
      </w:r>
      <w:r w:rsidR="006445F9" w:rsidRPr="0017155C">
        <w:rPr>
          <w:sz w:val="24"/>
        </w:rPr>
        <w:t xml:space="preserve">de </w:t>
      </w:r>
      <w:r w:rsidR="000030C0" w:rsidRPr="0017155C">
        <w:rPr>
          <w:sz w:val="24"/>
          <w:u w:val="single"/>
        </w:rPr>
        <w:t>Excelencia</w:t>
      </w:r>
      <w:r w:rsidR="006445F9" w:rsidRPr="0017155C">
        <w:rPr>
          <w:rStyle w:val="Refdenotaalpie"/>
          <w:sz w:val="24"/>
        </w:rPr>
        <w:footnoteReference w:id="1"/>
      </w:r>
      <w:r w:rsidR="00AE45D1" w:rsidRPr="0017155C">
        <w:rPr>
          <w:sz w:val="24"/>
        </w:rPr>
        <w:t>.</w:t>
      </w:r>
    </w:p>
    <w:p w14:paraId="0711EB09" w14:textId="77777777" w:rsidR="003A0899" w:rsidRPr="0017155C" w:rsidRDefault="00063BF8" w:rsidP="00312B45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24"/>
        </w:rPr>
      </w:pPr>
      <w:r w:rsidRPr="0017155C">
        <w:rPr>
          <w:sz w:val="24"/>
        </w:rPr>
        <w:t>E</w:t>
      </w:r>
      <w:r w:rsidR="00313A7C" w:rsidRPr="0017155C">
        <w:rPr>
          <w:sz w:val="24"/>
        </w:rPr>
        <w:t xml:space="preserve">l ITESM superó </w:t>
      </w:r>
      <w:r w:rsidRPr="0017155C">
        <w:rPr>
          <w:sz w:val="24"/>
        </w:rPr>
        <w:t xml:space="preserve">a la UNAM en </w:t>
      </w:r>
      <w:r w:rsidR="003A0899" w:rsidRPr="0017155C">
        <w:rPr>
          <w:sz w:val="24"/>
        </w:rPr>
        <w:t>el resto de los rubros:</w:t>
      </w:r>
    </w:p>
    <w:p w14:paraId="2041CA42" w14:textId="7FF15119" w:rsidR="003A0899" w:rsidRPr="0017155C" w:rsidRDefault="003A0899" w:rsidP="003A0899">
      <w:pPr>
        <w:pStyle w:val="Prrafodelista"/>
        <w:numPr>
          <w:ilvl w:val="2"/>
          <w:numId w:val="1"/>
        </w:numPr>
        <w:spacing w:after="0" w:line="240" w:lineRule="auto"/>
        <w:jc w:val="both"/>
        <w:rPr>
          <w:sz w:val="24"/>
        </w:rPr>
      </w:pPr>
      <w:r w:rsidRPr="0017155C">
        <w:rPr>
          <w:sz w:val="24"/>
        </w:rPr>
        <w:t>Puntaje general con 2.1 puntos</w:t>
      </w:r>
    </w:p>
    <w:p w14:paraId="16F8FEED" w14:textId="5FF97459" w:rsidR="003A0899" w:rsidRPr="0017155C" w:rsidRDefault="003A0899" w:rsidP="003A0899">
      <w:pPr>
        <w:pStyle w:val="Prrafodelista"/>
        <w:numPr>
          <w:ilvl w:val="2"/>
          <w:numId w:val="1"/>
        </w:numPr>
        <w:spacing w:after="0" w:line="240" w:lineRule="auto"/>
        <w:jc w:val="both"/>
        <w:rPr>
          <w:sz w:val="24"/>
        </w:rPr>
      </w:pPr>
      <w:r w:rsidRPr="0017155C">
        <w:rPr>
          <w:sz w:val="24"/>
        </w:rPr>
        <w:t>Relación entre estudiantes y profesores con 10.6 puntos</w:t>
      </w:r>
    </w:p>
    <w:p w14:paraId="69587F5F" w14:textId="013817E6" w:rsidR="003A0899" w:rsidRPr="0017155C" w:rsidRDefault="003A0899" w:rsidP="003A0899">
      <w:pPr>
        <w:pStyle w:val="Prrafodelista"/>
        <w:numPr>
          <w:ilvl w:val="2"/>
          <w:numId w:val="1"/>
        </w:numPr>
        <w:spacing w:after="0" w:line="240" w:lineRule="auto"/>
        <w:jc w:val="both"/>
        <w:rPr>
          <w:sz w:val="24"/>
        </w:rPr>
      </w:pPr>
      <w:r w:rsidRPr="0017155C">
        <w:rPr>
          <w:sz w:val="24"/>
        </w:rPr>
        <w:t>Proporción de personal académico con doctorado con 21.2 puntos</w:t>
      </w:r>
    </w:p>
    <w:p w14:paraId="31EECC29" w14:textId="77777777" w:rsidR="00EA55D2" w:rsidRPr="0004712B" w:rsidRDefault="003A0899" w:rsidP="00EA55D2">
      <w:pPr>
        <w:pStyle w:val="Prrafodelista"/>
        <w:numPr>
          <w:ilvl w:val="2"/>
          <w:numId w:val="1"/>
        </w:numPr>
        <w:spacing w:after="0" w:line="240" w:lineRule="auto"/>
        <w:jc w:val="both"/>
        <w:rPr>
          <w:sz w:val="24"/>
        </w:rPr>
      </w:pPr>
      <w:r w:rsidRPr="0004712B">
        <w:rPr>
          <w:sz w:val="24"/>
        </w:rPr>
        <w:t>Promedio de citas académicas por artículo con 23.9 puntos</w:t>
      </w:r>
    </w:p>
    <w:p w14:paraId="570BE178" w14:textId="59577E40" w:rsidR="00EA55D2" w:rsidRPr="0004712B" w:rsidRDefault="00C46B82" w:rsidP="00C46B82">
      <w:pPr>
        <w:pStyle w:val="Prrafodelista"/>
        <w:numPr>
          <w:ilvl w:val="1"/>
          <w:numId w:val="1"/>
        </w:numPr>
        <w:jc w:val="both"/>
        <w:rPr>
          <w:sz w:val="24"/>
        </w:rPr>
      </w:pPr>
      <w:r w:rsidRPr="0004712B">
        <w:rPr>
          <w:sz w:val="24"/>
        </w:rPr>
        <w:t xml:space="preserve">Llama la atención que </w:t>
      </w:r>
      <w:r w:rsidRPr="0004712B">
        <w:rPr>
          <w:sz w:val="24"/>
        </w:rPr>
        <w:t xml:space="preserve">exista una discrepancia </w:t>
      </w:r>
      <w:r w:rsidRPr="0004712B">
        <w:rPr>
          <w:sz w:val="24"/>
        </w:rPr>
        <w:t xml:space="preserve">de 53 posiciones </w:t>
      </w:r>
      <w:r w:rsidRPr="0004712B">
        <w:rPr>
          <w:sz w:val="24"/>
        </w:rPr>
        <w:t xml:space="preserve">entre la </w:t>
      </w:r>
      <w:r w:rsidRPr="0004712B">
        <w:rPr>
          <w:sz w:val="24"/>
        </w:rPr>
        <w:t xml:space="preserve">clasificación de la UNAM y el ITESM </w:t>
      </w:r>
      <w:r w:rsidRPr="0004712B">
        <w:rPr>
          <w:sz w:val="24"/>
        </w:rPr>
        <w:t>en el ranking QS mundial, y el QS Latinoamérica.</w:t>
      </w:r>
      <w:r w:rsidRPr="0004712B">
        <w:rPr>
          <w:sz w:val="24"/>
        </w:rPr>
        <w:t xml:space="preserve"> La UNAM fue clasificada a nivel mundial en el lugar 103, y a nivel américa latina en el lugar 6, mientras que el ITESM ocupo a nivel mundial el lugar 158, y en Latinoamérica el lugar 3</w:t>
      </w:r>
      <w:r w:rsidR="00EA55D2" w:rsidRPr="0004712B">
        <w:rPr>
          <w:sz w:val="24"/>
        </w:rPr>
        <w:t xml:space="preserve"> (Ver Tabla </w:t>
      </w:r>
      <w:r w:rsidR="001C1B5F">
        <w:rPr>
          <w:sz w:val="24"/>
        </w:rPr>
        <w:t>6</w:t>
      </w:r>
      <w:r w:rsidR="00EA55D2" w:rsidRPr="0004712B">
        <w:rPr>
          <w:sz w:val="24"/>
        </w:rPr>
        <w:t>)</w:t>
      </w:r>
      <w:r w:rsidR="00EA55D2" w:rsidRPr="0004712B">
        <w:rPr>
          <w:sz w:val="24"/>
        </w:rPr>
        <w:t xml:space="preserve">. </w:t>
      </w:r>
    </w:p>
    <w:p w14:paraId="7DD5A875" w14:textId="77777777" w:rsidR="00EA55D2" w:rsidRDefault="00EA55D2" w:rsidP="00EA55D2">
      <w:pPr>
        <w:pStyle w:val="Prrafodelista"/>
        <w:spacing w:after="0" w:line="240" w:lineRule="auto"/>
        <w:jc w:val="both"/>
        <w:rPr>
          <w:sz w:val="24"/>
        </w:rPr>
      </w:pPr>
    </w:p>
    <w:tbl>
      <w:tblPr>
        <w:tblStyle w:val="Tablaconcuadrcula"/>
        <w:tblW w:w="105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4"/>
      </w:tblGrid>
      <w:tr w:rsidR="00FC100A" w:rsidRPr="0017155C" w14:paraId="318E6691" w14:textId="77777777" w:rsidTr="00A14F9E">
        <w:trPr>
          <w:trHeight w:val="255"/>
          <w:jc w:val="center"/>
        </w:trPr>
        <w:tc>
          <w:tcPr>
            <w:tcW w:w="10574" w:type="dxa"/>
            <w:vAlign w:val="center"/>
          </w:tcPr>
          <w:p w14:paraId="0277308E" w14:textId="6CA061FA" w:rsidR="00A95E4B" w:rsidRPr="0017155C" w:rsidRDefault="001C1B5F" w:rsidP="004255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Gráfica 5</w:t>
            </w:r>
            <w:r w:rsidR="00A95E4B" w:rsidRPr="0017155C">
              <w:rPr>
                <w:b/>
                <w:sz w:val="20"/>
              </w:rPr>
              <w:t>. Comparativo de la UNAM y el ITESM en las posiciones del QS ranking Latinoamérica de universidades, 201</w:t>
            </w:r>
            <w:r w:rsidR="00425547" w:rsidRPr="0017155C">
              <w:rPr>
                <w:b/>
                <w:sz w:val="20"/>
              </w:rPr>
              <w:t>6</w:t>
            </w:r>
            <w:r w:rsidR="00A95E4B" w:rsidRPr="0017155C">
              <w:rPr>
                <w:b/>
                <w:sz w:val="20"/>
              </w:rPr>
              <w:t xml:space="preserve"> - 20</w:t>
            </w:r>
            <w:r w:rsidR="00425547" w:rsidRPr="0017155C">
              <w:rPr>
                <w:b/>
                <w:sz w:val="20"/>
              </w:rPr>
              <w:t>20</w:t>
            </w:r>
            <w:r w:rsidR="00A95E4B" w:rsidRPr="0017155C">
              <w:rPr>
                <w:b/>
                <w:sz w:val="20"/>
              </w:rPr>
              <w:t>.</w:t>
            </w:r>
          </w:p>
        </w:tc>
      </w:tr>
      <w:tr w:rsidR="00FC100A" w:rsidRPr="0017155C" w14:paraId="3C20B200" w14:textId="77777777" w:rsidTr="00A14F9E">
        <w:tblPrEx>
          <w:tblCellMar>
            <w:left w:w="70" w:type="dxa"/>
            <w:right w:w="70" w:type="dxa"/>
          </w:tblCellMar>
        </w:tblPrEx>
        <w:trPr>
          <w:trHeight w:val="1469"/>
          <w:jc w:val="center"/>
        </w:trPr>
        <w:tc>
          <w:tcPr>
            <w:tcW w:w="10574" w:type="dxa"/>
            <w:vAlign w:val="center"/>
          </w:tcPr>
          <w:p w14:paraId="3F019E3F" w14:textId="1C60E53B" w:rsidR="00A95E4B" w:rsidRPr="0017155C" w:rsidRDefault="00425547" w:rsidP="00063BF8">
            <w:pPr>
              <w:jc w:val="center"/>
            </w:pPr>
            <w:r w:rsidRPr="0017155C">
              <w:rPr>
                <w:noProof/>
                <w:lang w:eastAsia="es-MX"/>
              </w:rPr>
              <w:drawing>
                <wp:inline distT="0" distB="0" distL="0" distR="0" wp14:anchorId="4C46CB32" wp14:editId="7F198058">
                  <wp:extent cx="6501776" cy="2070022"/>
                  <wp:effectExtent l="0" t="0" r="0" b="0"/>
                  <wp:docPr id="1" name="Gráfico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FC100A" w:rsidRPr="0017155C" w14:paraId="7D6BA90D" w14:textId="77777777" w:rsidTr="00A14F9E">
        <w:tblPrEx>
          <w:tblCellMar>
            <w:left w:w="70" w:type="dxa"/>
            <w:right w:w="70" w:type="dxa"/>
          </w:tblCellMar>
        </w:tblPrEx>
        <w:trPr>
          <w:trHeight w:val="158"/>
          <w:jc w:val="center"/>
        </w:trPr>
        <w:tc>
          <w:tcPr>
            <w:tcW w:w="10574" w:type="dxa"/>
          </w:tcPr>
          <w:p w14:paraId="4D597F0B" w14:textId="01B73D48" w:rsidR="00A95E4B" w:rsidRPr="0017155C" w:rsidRDefault="00A95E4B" w:rsidP="00425547">
            <w:pPr>
              <w:jc w:val="both"/>
              <w:rPr>
                <w:noProof/>
                <w:lang w:eastAsia="es-MX"/>
              </w:rPr>
            </w:pPr>
            <w:r w:rsidRPr="0017155C">
              <w:rPr>
                <w:rFonts w:ascii="Calibri" w:eastAsia="Times New Roman" w:hAnsi="Calibri" w:cs="Calibri"/>
                <w:b/>
                <w:sz w:val="14"/>
                <w:szCs w:val="14"/>
                <w:lang w:eastAsia="es-MX"/>
              </w:rPr>
              <w:t>Fuente:</w:t>
            </w:r>
            <w:r w:rsidRPr="0017155C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 xml:space="preserve"> Elaboración propia con datos publicados del QS ranking Latinoamé</w:t>
            </w:r>
            <w:r w:rsidR="00425547" w:rsidRPr="0017155C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rica de universidades, 2016-2020</w:t>
            </w:r>
            <w:r w:rsidRPr="0017155C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.</w:t>
            </w:r>
          </w:p>
        </w:tc>
      </w:tr>
    </w:tbl>
    <w:p w14:paraId="264152AF" w14:textId="3DF4D944" w:rsidR="00C45E2B" w:rsidRDefault="00C45E2B" w:rsidP="00A95E4B">
      <w:pPr>
        <w:spacing w:after="0"/>
      </w:pPr>
    </w:p>
    <w:p w14:paraId="753FEDC7" w14:textId="77777777" w:rsidR="00C45E2B" w:rsidRDefault="00C45E2B">
      <w:r>
        <w:br w:type="page"/>
      </w:r>
    </w:p>
    <w:p w14:paraId="74280280" w14:textId="77777777" w:rsidR="00A95E4B" w:rsidRPr="0017155C" w:rsidRDefault="00A95E4B" w:rsidP="00A95E4B">
      <w:pPr>
        <w:spacing w:after="0"/>
      </w:pPr>
    </w:p>
    <w:tbl>
      <w:tblPr>
        <w:tblW w:w="115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"/>
        <w:gridCol w:w="602"/>
        <w:gridCol w:w="709"/>
        <w:gridCol w:w="866"/>
        <w:gridCol w:w="668"/>
        <w:gridCol w:w="939"/>
        <w:gridCol w:w="1032"/>
        <w:gridCol w:w="937"/>
        <w:gridCol w:w="939"/>
        <w:gridCol w:w="937"/>
        <w:gridCol w:w="932"/>
        <w:gridCol w:w="932"/>
        <w:gridCol w:w="1047"/>
        <w:gridCol w:w="7"/>
      </w:tblGrid>
      <w:tr w:rsidR="00C45E2B" w:rsidRPr="00C45E2B" w14:paraId="34E4E144" w14:textId="77777777" w:rsidTr="00C45E2B">
        <w:trPr>
          <w:trHeight w:val="400"/>
          <w:jc w:val="center"/>
        </w:trPr>
        <w:tc>
          <w:tcPr>
            <w:tcW w:w="11536" w:type="dxa"/>
            <w:gridSpan w:val="1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8CBABD" w14:textId="09A1C6FF" w:rsidR="00C45E2B" w:rsidRPr="00C45E2B" w:rsidRDefault="00C45E2B" w:rsidP="001C1B5F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45E2B">
              <w:rPr>
                <w:b/>
                <w:sz w:val="20"/>
              </w:rPr>
              <w:t xml:space="preserve">Tabla </w:t>
            </w:r>
            <w:r w:rsidR="001C1B5F">
              <w:rPr>
                <w:b/>
                <w:sz w:val="20"/>
              </w:rPr>
              <w:t>6</w:t>
            </w:r>
            <w:r w:rsidRPr="00C45E2B">
              <w:rPr>
                <w:b/>
                <w:sz w:val="20"/>
              </w:rPr>
              <w:t xml:space="preserve">. Comparación entre la UNAM y el ITESM en los </w:t>
            </w:r>
            <w:r w:rsidRPr="00C45E2B">
              <w:rPr>
                <w:b/>
                <w:sz w:val="20"/>
              </w:rPr>
              <w:t xml:space="preserve">diferentes indicadores </w:t>
            </w:r>
            <w:r w:rsidRPr="00C45E2B">
              <w:rPr>
                <w:b/>
                <w:sz w:val="20"/>
              </w:rPr>
              <w:t xml:space="preserve">del QS ranking </w:t>
            </w:r>
            <w:r w:rsidRPr="00C45E2B">
              <w:rPr>
                <w:b/>
                <w:sz w:val="20"/>
              </w:rPr>
              <w:t xml:space="preserve">Mundial y </w:t>
            </w:r>
            <w:r w:rsidRPr="00C45E2B">
              <w:rPr>
                <w:b/>
                <w:sz w:val="20"/>
              </w:rPr>
              <w:t>Latinoamérica, 2019-2020.</w:t>
            </w:r>
          </w:p>
        </w:tc>
      </w:tr>
      <w:tr w:rsidR="00C45E2B" w:rsidRPr="00C45E2B" w14:paraId="403A9FE0" w14:textId="77777777" w:rsidTr="00C45E2B">
        <w:trPr>
          <w:gridAfter w:val="1"/>
          <w:wAfter w:w="7" w:type="dxa"/>
          <w:trHeight w:val="93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03A3B30F" w14:textId="77777777" w:rsidR="00C45E2B" w:rsidRPr="00C45E2B" w:rsidRDefault="00C45E2B" w:rsidP="00C45E2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45E2B">
              <w:rPr>
                <w:b/>
                <w:sz w:val="16"/>
                <w:szCs w:val="16"/>
              </w:rPr>
              <w:t>Ranking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3A18EE76" w14:textId="77777777" w:rsidR="00C45E2B" w:rsidRPr="00C45E2B" w:rsidRDefault="00C45E2B" w:rsidP="00C45E2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45E2B">
              <w:rPr>
                <w:b/>
                <w:sz w:val="16"/>
                <w:szCs w:val="16"/>
              </w:rPr>
              <w:t>Año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6980FE8E" w14:textId="77777777" w:rsidR="00C45E2B" w:rsidRPr="00C45E2B" w:rsidRDefault="00C45E2B" w:rsidP="00C45E2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45E2B">
              <w:rPr>
                <w:b/>
                <w:sz w:val="16"/>
                <w:szCs w:val="16"/>
              </w:rPr>
              <w:t>Posición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14B277B0" w14:textId="77777777" w:rsidR="00C45E2B" w:rsidRPr="00C45E2B" w:rsidRDefault="00C45E2B" w:rsidP="00C45E2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45E2B">
              <w:rPr>
                <w:b/>
                <w:sz w:val="16"/>
                <w:szCs w:val="16"/>
              </w:rPr>
              <w:t>Institución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DA65635" w14:textId="77777777" w:rsidR="00C45E2B" w:rsidRPr="00C45E2B" w:rsidRDefault="00C45E2B" w:rsidP="00C45E2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45E2B">
              <w:rPr>
                <w:b/>
                <w:sz w:val="16"/>
                <w:szCs w:val="16"/>
              </w:rPr>
              <w:t xml:space="preserve">Puntaje Gral.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145FCBC" w14:textId="77777777" w:rsidR="00C45E2B" w:rsidRPr="00C45E2B" w:rsidRDefault="00C45E2B" w:rsidP="00C45E2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45E2B">
              <w:rPr>
                <w:b/>
                <w:sz w:val="16"/>
                <w:szCs w:val="16"/>
              </w:rPr>
              <w:t>Reputación según académicos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4FD64BB" w14:textId="77777777" w:rsidR="00C45E2B" w:rsidRPr="00C45E2B" w:rsidRDefault="00C45E2B" w:rsidP="00C45E2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45E2B">
              <w:rPr>
                <w:b/>
                <w:sz w:val="16"/>
                <w:szCs w:val="16"/>
              </w:rPr>
              <w:t>Reputación según empleadores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80E28C2" w14:textId="77777777" w:rsidR="00C45E2B" w:rsidRPr="00C45E2B" w:rsidRDefault="00C45E2B" w:rsidP="00C45E2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45E2B">
              <w:rPr>
                <w:b/>
                <w:sz w:val="16"/>
                <w:szCs w:val="16"/>
              </w:rPr>
              <w:t xml:space="preserve">Relación entre estudiantes y profesores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23E779C" w14:textId="77777777" w:rsidR="00C45E2B" w:rsidRPr="00C45E2B" w:rsidRDefault="00C45E2B" w:rsidP="00C45E2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45E2B">
              <w:rPr>
                <w:b/>
                <w:sz w:val="16"/>
                <w:szCs w:val="16"/>
              </w:rPr>
              <w:t xml:space="preserve">Proporción de académicos extranjeros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17F9369" w14:textId="77777777" w:rsidR="00C45E2B" w:rsidRPr="00C45E2B" w:rsidRDefault="00C45E2B" w:rsidP="00C45E2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45E2B">
              <w:rPr>
                <w:b/>
                <w:sz w:val="16"/>
                <w:szCs w:val="16"/>
              </w:rPr>
              <w:t xml:space="preserve">Proporción de estudiantes extranjeros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646E0A9" w14:textId="77777777" w:rsidR="00C45E2B" w:rsidRPr="00C45E2B" w:rsidRDefault="00C45E2B" w:rsidP="00C45E2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45E2B">
              <w:rPr>
                <w:b/>
                <w:sz w:val="16"/>
                <w:szCs w:val="16"/>
              </w:rPr>
              <w:t>Citas académicas por artículo entre planta académica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4825921B" w14:textId="77777777" w:rsidR="00C45E2B" w:rsidRPr="00C45E2B" w:rsidRDefault="00C45E2B" w:rsidP="00C45E2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6462E010" w14:textId="77777777" w:rsidR="00C45E2B" w:rsidRPr="00C45E2B" w:rsidRDefault="00C45E2B" w:rsidP="00C45E2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45E2B" w:rsidRPr="00C45E2B" w14:paraId="3DD44661" w14:textId="77777777" w:rsidTr="00C45E2B">
        <w:trPr>
          <w:gridAfter w:val="1"/>
          <w:wAfter w:w="7" w:type="dxa"/>
          <w:trHeight w:val="186"/>
          <w:jc w:val="center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4143AF4" w14:textId="77777777" w:rsidR="00C45E2B" w:rsidRPr="00C45E2B" w:rsidRDefault="00C45E2B" w:rsidP="00C45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45E2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MX"/>
              </w:rPr>
              <w:t xml:space="preserve">QS </w:t>
            </w:r>
            <w:r w:rsidRPr="00C45E2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MX"/>
              </w:rPr>
              <w:br/>
              <w:t>MUNDIAL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7266FAB" w14:textId="77777777" w:rsidR="00C45E2B" w:rsidRPr="00C45E2B" w:rsidRDefault="00C45E2B" w:rsidP="00C45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C45E2B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896C278" w14:textId="77777777" w:rsidR="00C45E2B" w:rsidRPr="00C45E2B" w:rsidRDefault="00C45E2B" w:rsidP="00C45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C45E2B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113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AAF5D25" w14:textId="77777777" w:rsidR="00C45E2B" w:rsidRPr="00C45E2B" w:rsidRDefault="00C45E2B" w:rsidP="00C45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C45E2B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UNAM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4952F55" w14:textId="77777777" w:rsidR="00C45E2B" w:rsidRPr="00C45E2B" w:rsidRDefault="00C45E2B" w:rsidP="00C45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C45E2B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56.8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A459005" w14:textId="77777777" w:rsidR="00C45E2B" w:rsidRPr="00C45E2B" w:rsidRDefault="00C45E2B" w:rsidP="00C45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C45E2B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89.3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9B2D5E0" w14:textId="77777777" w:rsidR="00C45E2B" w:rsidRPr="00C45E2B" w:rsidRDefault="00C45E2B" w:rsidP="00C45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C45E2B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87.1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CC3C5D8" w14:textId="77777777" w:rsidR="00C45E2B" w:rsidRPr="00C45E2B" w:rsidRDefault="00C45E2B" w:rsidP="00C45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C45E2B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50.8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D89D6A6" w14:textId="77777777" w:rsidR="00C45E2B" w:rsidRPr="00C45E2B" w:rsidRDefault="00C45E2B" w:rsidP="00C45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C45E2B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20.4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BFC5659" w14:textId="77777777" w:rsidR="00C45E2B" w:rsidRPr="00C45E2B" w:rsidRDefault="00C45E2B" w:rsidP="00C45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C45E2B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3.9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A898F71" w14:textId="77777777" w:rsidR="00C45E2B" w:rsidRPr="00C45E2B" w:rsidRDefault="00C45E2B" w:rsidP="00C45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C45E2B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A650" w14:textId="77777777" w:rsidR="00C45E2B" w:rsidRPr="00C45E2B" w:rsidRDefault="00C45E2B" w:rsidP="00C45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10BE" w14:textId="77777777" w:rsidR="00C45E2B" w:rsidRPr="00C45E2B" w:rsidRDefault="00C45E2B" w:rsidP="00C45E2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</w:p>
        </w:tc>
      </w:tr>
      <w:tr w:rsidR="00C45E2B" w:rsidRPr="00C45E2B" w14:paraId="1878E323" w14:textId="77777777" w:rsidTr="00C45E2B">
        <w:trPr>
          <w:gridAfter w:val="1"/>
          <w:wAfter w:w="7" w:type="dxa"/>
          <w:trHeight w:val="186"/>
          <w:jc w:val="center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CCBC" w14:textId="77777777" w:rsidR="00C45E2B" w:rsidRPr="00C45E2B" w:rsidRDefault="00C45E2B" w:rsidP="00C45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0571" w14:textId="77777777" w:rsidR="00C45E2B" w:rsidRPr="00C45E2B" w:rsidRDefault="00C45E2B" w:rsidP="00C45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87BEB" w14:textId="77777777" w:rsidR="00C45E2B" w:rsidRPr="00C45E2B" w:rsidRDefault="00C45E2B" w:rsidP="00C45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C45E2B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178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C53B" w14:textId="77777777" w:rsidR="00C45E2B" w:rsidRPr="00C45E2B" w:rsidRDefault="00C45E2B" w:rsidP="00C45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C45E2B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ITESM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4C17" w14:textId="77777777" w:rsidR="00C45E2B" w:rsidRPr="00C45E2B" w:rsidRDefault="00C45E2B" w:rsidP="00C45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C45E2B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46.2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D828" w14:textId="77777777" w:rsidR="00C45E2B" w:rsidRPr="00C45E2B" w:rsidRDefault="00C45E2B" w:rsidP="00C45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C45E2B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33.2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7384" w14:textId="77777777" w:rsidR="00C45E2B" w:rsidRPr="00C45E2B" w:rsidRDefault="00C45E2B" w:rsidP="00C45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C45E2B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82.3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14188" w14:textId="77777777" w:rsidR="00C45E2B" w:rsidRPr="00C45E2B" w:rsidRDefault="00C45E2B" w:rsidP="00C45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C45E2B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88.4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C930" w14:textId="77777777" w:rsidR="00C45E2B" w:rsidRPr="00C45E2B" w:rsidRDefault="00C45E2B" w:rsidP="00C45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C45E2B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99.6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F48E" w14:textId="77777777" w:rsidR="00C45E2B" w:rsidRPr="00C45E2B" w:rsidRDefault="00C45E2B" w:rsidP="00C45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C45E2B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22.2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B550" w14:textId="77777777" w:rsidR="00C45E2B" w:rsidRPr="00C45E2B" w:rsidRDefault="00C45E2B" w:rsidP="00C45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C45E2B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3.9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B413" w14:textId="77777777" w:rsidR="00C45E2B" w:rsidRPr="00C45E2B" w:rsidRDefault="00C45E2B" w:rsidP="00C45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19F7" w14:textId="77777777" w:rsidR="00C45E2B" w:rsidRPr="00C45E2B" w:rsidRDefault="00C45E2B" w:rsidP="00C45E2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</w:p>
        </w:tc>
      </w:tr>
      <w:tr w:rsidR="00C45E2B" w:rsidRPr="00C45E2B" w14:paraId="267A5056" w14:textId="77777777" w:rsidTr="00C45E2B">
        <w:trPr>
          <w:gridAfter w:val="1"/>
          <w:wAfter w:w="7" w:type="dxa"/>
          <w:trHeight w:val="186"/>
          <w:jc w:val="center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7759" w14:textId="77777777" w:rsidR="00C45E2B" w:rsidRPr="00C45E2B" w:rsidRDefault="00C45E2B" w:rsidP="00C45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9607" w14:textId="77777777" w:rsidR="00C45E2B" w:rsidRPr="00C45E2B" w:rsidRDefault="00C45E2B" w:rsidP="00C45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C45E2B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CF97EC1" w14:textId="77777777" w:rsidR="00C45E2B" w:rsidRPr="00C45E2B" w:rsidRDefault="00C45E2B" w:rsidP="00C45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C45E2B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103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A80A7D4" w14:textId="77777777" w:rsidR="00C45E2B" w:rsidRPr="00C45E2B" w:rsidRDefault="00C45E2B" w:rsidP="00C45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C45E2B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UNAM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4B33146" w14:textId="77777777" w:rsidR="00C45E2B" w:rsidRPr="00C45E2B" w:rsidRDefault="00C45E2B" w:rsidP="00C45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C45E2B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58.8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97652A7" w14:textId="77777777" w:rsidR="00C45E2B" w:rsidRPr="00C45E2B" w:rsidRDefault="00C45E2B" w:rsidP="00C45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C45E2B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90.9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B4D8CD5" w14:textId="77777777" w:rsidR="00C45E2B" w:rsidRPr="00C45E2B" w:rsidRDefault="00C45E2B" w:rsidP="00C45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C45E2B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91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920C21D" w14:textId="77777777" w:rsidR="00C45E2B" w:rsidRPr="00C45E2B" w:rsidRDefault="00C45E2B" w:rsidP="00C45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C45E2B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57.6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8C39A65" w14:textId="77777777" w:rsidR="00C45E2B" w:rsidRPr="00C45E2B" w:rsidRDefault="00C45E2B" w:rsidP="00C45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C45E2B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13.8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306CF96" w14:textId="77777777" w:rsidR="00C45E2B" w:rsidRPr="00C45E2B" w:rsidRDefault="00C45E2B" w:rsidP="00C45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C45E2B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4.3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7567E7D" w14:textId="77777777" w:rsidR="00C45E2B" w:rsidRPr="00C45E2B" w:rsidRDefault="00C45E2B" w:rsidP="00C45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C45E2B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3.8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68D0" w14:textId="77777777" w:rsidR="00C45E2B" w:rsidRPr="00C45E2B" w:rsidRDefault="00C45E2B" w:rsidP="00C45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4C084" w14:textId="77777777" w:rsidR="00C45E2B" w:rsidRPr="00C45E2B" w:rsidRDefault="00C45E2B" w:rsidP="00C45E2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</w:p>
        </w:tc>
      </w:tr>
      <w:tr w:rsidR="00C45E2B" w:rsidRPr="00C45E2B" w14:paraId="513E8546" w14:textId="77777777" w:rsidTr="00C45E2B">
        <w:trPr>
          <w:gridAfter w:val="1"/>
          <w:wAfter w:w="7" w:type="dxa"/>
          <w:trHeight w:val="186"/>
          <w:jc w:val="center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B88D" w14:textId="77777777" w:rsidR="00C45E2B" w:rsidRPr="00C45E2B" w:rsidRDefault="00C45E2B" w:rsidP="00C45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D3BC" w14:textId="77777777" w:rsidR="00C45E2B" w:rsidRPr="00C45E2B" w:rsidRDefault="00C45E2B" w:rsidP="00C45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3BD52" w14:textId="77777777" w:rsidR="00C45E2B" w:rsidRPr="00C45E2B" w:rsidRDefault="00C45E2B" w:rsidP="00C45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C45E2B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158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2CD86" w14:textId="77777777" w:rsidR="00C45E2B" w:rsidRPr="00C45E2B" w:rsidRDefault="00C45E2B" w:rsidP="00C45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C45E2B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ITESM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38C9B" w14:textId="77777777" w:rsidR="00C45E2B" w:rsidRPr="00C45E2B" w:rsidRDefault="00C45E2B" w:rsidP="00C45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C45E2B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48.5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0AF9" w14:textId="77777777" w:rsidR="00C45E2B" w:rsidRPr="00C45E2B" w:rsidRDefault="00C45E2B" w:rsidP="00C45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C45E2B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36.9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C540" w14:textId="77777777" w:rsidR="00C45E2B" w:rsidRPr="00C45E2B" w:rsidRDefault="00C45E2B" w:rsidP="00C45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C45E2B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88.9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F1D70" w14:textId="77777777" w:rsidR="00C45E2B" w:rsidRPr="00C45E2B" w:rsidRDefault="00C45E2B" w:rsidP="00C45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C45E2B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89.5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2ED2" w14:textId="77777777" w:rsidR="00C45E2B" w:rsidRPr="00C45E2B" w:rsidRDefault="00C45E2B" w:rsidP="00C45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C45E2B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98.2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2606" w14:textId="77777777" w:rsidR="00C45E2B" w:rsidRPr="00C45E2B" w:rsidRDefault="00C45E2B" w:rsidP="00C45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C45E2B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18.4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D9836" w14:textId="77777777" w:rsidR="00C45E2B" w:rsidRPr="00C45E2B" w:rsidRDefault="00C45E2B" w:rsidP="00C45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C45E2B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4.6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15E7" w14:textId="77777777" w:rsidR="00C45E2B" w:rsidRPr="00C45E2B" w:rsidRDefault="00C45E2B" w:rsidP="00C45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00EE" w14:textId="77777777" w:rsidR="00C45E2B" w:rsidRPr="00C45E2B" w:rsidRDefault="00C45E2B" w:rsidP="00C45E2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</w:p>
        </w:tc>
      </w:tr>
      <w:tr w:rsidR="00C45E2B" w:rsidRPr="00C45E2B" w14:paraId="18A4DCB9" w14:textId="77777777" w:rsidTr="00C45E2B">
        <w:trPr>
          <w:gridAfter w:val="1"/>
          <w:wAfter w:w="7" w:type="dxa"/>
          <w:trHeight w:val="18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ADF6" w14:textId="77777777" w:rsidR="00C45E2B" w:rsidRPr="00C45E2B" w:rsidRDefault="00C45E2B" w:rsidP="00C45E2B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A6EA" w14:textId="77777777" w:rsidR="00C45E2B" w:rsidRPr="00C45E2B" w:rsidRDefault="00C45E2B" w:rsidP="00C45E2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0BBE" w14:textId="77777777" w:rsidR="00C45E2B" w:rsidRPr="00C45E2B" w:rsidRDefault="00C45E2B" w:rsidP="00C45E2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3C5B" w14:textId="77777777" w:rsidR="00C45E2B" w:rsidRPr="00C45E2B" w:rsidRDefault="00C45E2B" w:rsidP="00C45E2B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6213" w14:textId="77777777" w:rsidR="00C45E2B" w:rsidRPr="00C45E2B" w:rsidRDefault="00C45E2B" w:rsidP="00C45E2B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45C6" w14:textId="77777777" w:rsidR="00C45E2B" w:rsidRPr="00C45E2B" w:rsidRDefault="00C45E2B" w:rsidP="00C45E2B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92BA" w14:textId="77777777" w:rsidR="00C45E2B" w:rsidRPr="00C45E2B" w:rsidRDefault="00C45E2B" w:rsidP="00C45E2B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9C39" w14:textId="77777777" w:rsidR="00C45E2B" w:rsidRPr="00C45E2B" w:rsidRDefault="00C45E2B" w:rsidP="00C45E2B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0874" w14:textId="77777777" w:rsidR="00C45E2B" w:rsidRPr="00C45E2B" w:rsidRDefault="00C45E2B" w:rsidP="00C45E2B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2A80" w14:textId="77777777" w:rsidR="00C45E2B" w:rsidRPr="00C45E2B" w:rsidRDefault="00C45E2B" w:rsidP="00C45E2B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3A9A" w14:textId="77777777" w:rsidR="00C45E2B" w:rsidRPr="00C45E2B" w:rsidRDefault="00C45E2B" w:rsidP="00C45E2B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1871" w14:textId="77777777" w:rsidR="00C45E2B" w:rsidRPr="00C45E2B" w:rsidRDefault="00C45E2B" w:rsidP="00C45E2B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4925" w14:textId="77777777" w:rsidR="00C45E2B" w:rsidRPr="00C45E2B" w:rsidRDefault="00C45E2B" w:rsidP="00C45E2B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</w:p>
        </w:tc>
      </w:tr>
      <w:tr w:rsidR="00C45E2B" w:rsidRPr="00C45E2B" w14:paraId="0F6397E5" w14:textId="77777777" w:rsidTr="00C45E2B">
        <w:trPr>
          <w:gridAfter w:val="1"/>
          <w:wAfter w:w="7" w:type="dxa"/>
          <w:trHeight w:val="74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07B4553D" w14:textId="77777777" w:rsidR="00C45E2B" w:rsidRPr="00C45E2B" w:rsidRDefault="00C45E2B" w:rsidP="00C45E2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45E2B">
              <w:rPr>
                <w:b/>
                <w:sz w:val="16"/>
                <w:szCs w:val="16"/>
              </w:rPr>
              <w:t>Ranking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2C36C932" w14:textId="77777777" w:rsidR="00C45E2B" w:rsidRPr="00C45E2B" w:rsidRDefault="00C45E2B" w:rsidP="00C45E2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45E2B">
              <w:rPr>
                <w:b/>
                <w:sz w:val="16"/>
                <w:szCs w:val="16"/>
              </w:rPr>
              <w:t>Año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4CD15A4E" w14:textId="77777777" w:rsidR="00C45E2B" w:rsidRPr="00C45E2B" w:rsidRDefault="00C45E2B" w:rsidP="00C45E2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45E2B">
              <w:rPr>
                <w:b/>
                <w:sz w:val="16"/>
                <w:szCs w:val="16"/>
              </w:rPr>
              <w:t>Posición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168245B2" w14:textId="77777777" w:rsidR="00C45E2B" w:rsidRPr="00C45E2B" w:rsidRDefault="00C45E2B" w:rsidP="00C45E2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45E2B">
              <w:rPr>
                <w:b/>
                <w:sz w:val="16"/>
                <w:szCs w:val="16"/>
              </w:rPr>
              <w:t>Institución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EB86B99" w14:textId="77777777" w:rsidR="00C45E2B" w:rsidRPr="00C45E2B" w:rsidRDefault="00C45E2B" w:rsidP="00C45E2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45E2B">
              <w:rPr>
                <w:b/>
                <w:sz w:val="16"/>
                <w:szCs w:val="16"/>
              </w:rPr>
              <w:t xml:space="preserve">Puntaje Gral.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4048D52" w14:textId="77777777" w:rsidR="00C45E2B" w:rsidRPr="00C45E2B" w:rsidRDefault="00C45E2B" w:rsidP="00C45E2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45E2B">
              <w:rPr>
                <w:b/>
                <w:sz w:val="16"/>
                <w:szCs w:val="16"/>
              </w:rPr>
              <w:t>Reputación según académicos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DAE5A3B" w14:textId="77777777" w:rsidR="00C45E2B" w:rsidRPr="00C45E2B" w:rsidRDefault="00C45E2B" w:rsidP="00C45E2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45E2B">
              <w:rPr>
                <w:b/>
                <w:sz w:val="16"/>
                <w:szCs w:val="16"/>
              </w:rPr>
              <w:t>Reputación según empleadores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4C8624D" w14:textId="77777777" w:rsidR="00C45E2B" w:rsidRPr="00C45E2B" w:rsidRDefault="00C45E2B" w:rsidP="00C45E2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45E2B">
              <w:rPr>
                <w:b/>
                <w:sz w:val="16"/>
                <w:szCs w:val="16"/>
              </w:rPr>
              <w:t>Relación entre estudiantes y profesores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66FE7C9" w14:textId="77777777" w:rsidR="00C45E2B" w:rsidRPr="00C45E2B" w:rsidRDefault="00C45E2B" w:rsidP="00C45E2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45E2B">
              <w:rPr>
                <w:b/>
                <w:sz w:val="16"/>
                <w:szCs w:val="16"/>
              </w:rPr>
              <w:t>Proporción de personal académico con doctorado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E1BCC41" w14:textId="77777777" w:rsidR="00C45E2B" w:rsidRPr="00C45E2B" w:rsidRDefault="00C45E2B" w:rsidP="00C45E2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45E2B">
              <w:rPr>
                <w:b/>
                <w:sz w:val="16"/>
                <w:szCs w:val="16"/>
              </w:rPr>
              <w:t>Impacto en internet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B77C954" w14:textId="77777777" w:rsidR="00C45E2B" w:rsidRPr="00C45E2B" w:rsidRDefault="00C45E2B" w:rsidP="00C45E2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45E2B">
              <w:rPr>
                <w:b/>
                <w:sz w:val="16"/>
                <w:szCs w:val="16"/>
              </w:rPr>
              <w:t>Proporción de artículos por personal académico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D73950C" w14:textId="77777777" w:rsidR="00C45E2B" w:rsidRPr="00C45E2B" w:rsidRDefault="00C45E2B" w:rsidP="00C45E2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45E2B">
              <w:rPr>
                <w:b/>
                <w:sz w:val="16"/>
                <w:szCs w:val="16"/>
              </w:rPr>
              <w:t>Promedio de citas académicas por artículo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629DF2E" w14:textId="77777777" w:rsidR="00C45E2B" w:rsidRPr="00C45E2B" w:rsidRDefault="00C45E2B" w:rsidP="00C45E2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45E2B">
              <w:rPr>
                <w:b/>
                <w:sz w:val="16"/>
                <w:szCs w:val="16"/>
              </w:rPr>
              <w:t>Red Internacional de Investigación</w:t>
            </w:r>
          </w:p>
        </w:tc>
      </w:tr>
      <w:tr w:rsidR="00C45E2B" w:rsidRPr="00C45E2B" w14:paraId="1FBD2265" w14:textId="77777777" w:rsidTr="00C45E2B">
        <w:trPr>
          <w:gridAfter w:val="1"/>
          <w:wAfter w:w="7" w:type="dxa"/>
          <w:trHeight w:val="186"/>
          <w:jc w:val="center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AC6D7CC" w14:textId="77777777" w:rsidR="00C45E2B" w:rsidRPr="00C45E2B" w:rsidRDefault="00C45E2B" w:rsidP="00C45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45E2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MX"/>
              </w:rPr>
              <w:t xml:space="preserve">QS </w:t>
            </w:r>
            <w:r w:rsidRPr="00C45E2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MX"/>
              </w:rPr>
              <w:br/>
              <w:t xml:space="preserve">Latinoamérica 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951A25F" w14:textId="77777777" w:rsidR="00C45E2B" w:rsidRPr="00C45E2B" w:rsidRDefault="00C45E2B" w:rsidP="00C45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C45E2B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BCEFAB2" w14:textId="77777777" w:rsidR="00C45E2B" w:rsidRPr="00C45E2B" w:rsidRDefault="00C45E2B" w:rsidP="00C45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C45E2B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E742C86" w14:textId="77777777" w:rsidR="00C45E2B" w:rsidRPr="00C45E2B" w:rsidRDefault="00C45E2B" w:rsidP="00C45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C45E2B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UNAM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9DCCA72" w14:textId="77777777" w:rsidR="00C45E2B" w:rsidRPr="00C45E2B" w:rsidRDefault="00C45E2B" w:rsidP="00C45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C45E2B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95.9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64F7957" w14:textId="77777777" w:rsidR="00C45E2B" w:rsidRPr="00C45E2B" w:rsidRDefault="00C45E2B" w:rsidP="00C45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C45E2B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100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1EED719" w14:textId="77777777" w:rsidR="00C45E2B" w:rsidRPr="00C45E2B" w:rsidRDefault="00C45E2B" w:rsidP="00C45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C45E2B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100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2BEA16B" w14:textId="77777777" w:rsidR="00C45E2B" w:rsidRPr="00C45E2B" w:rsidRDefault="00C45E2B" w:rsidP="00C45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C45E2B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86.1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6433659" w14:textId="77777777" w:rsidR="00C45E2B" w:rsidRPr="00C45E2B" w:rsidRDefault="00C45E2B" w:rsidP="00C45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C45E2B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73.8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B88E22E" w14:textId="77777777" w:rsidR="00C45E2B" w:rsidRPr="00C45E2B" w:rsidRDefault="00C45E2B" w:rsidP="00C45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C45E2B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100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D59D422" w14:textId="77777777" w:rsidR="00C45E2B" w:rsidRPr="00C45E2B" w:rsidRDefault="00C45E2B" w:rsidP="00C45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C45E2B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59.5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A2BD286" w14:textId="77777777" w:rsidR="00C45E2B" w:rsidRPr="00C45E2B" w:rsidRDefault="00C45E2B" w:rsidP="00C45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C45E2B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73.9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E384509" w14:textId="77777777" w:rsidR="00C45E2B" w:rsidRPr="00C45E2B" w:rsidRDefault="00C45E2B" w:rsidP="00C45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C45E2B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100</w:t>
            </w:r>
          </w:p>
        </w:tc>
      </w:tr>
      <w:tr w:rsidR="00C45E2B" w:rsidRPr="00C45E2B" w14:paraId="768B1B2C" w14:textId="77777777" w:rsidTr="00C45E2B">
        <w:trPr>
          <w:gridAfter w:val="1"/>
          <w:wAfter w:w="7" w:type="dxa"/>
          <w:trHeight w:val="186"/>
          <w:jc w:val="center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320B" w14:textId="77777777" w:rsidR="00C45E2B" w:rsidRPr="00C45E2B" w:rsidRDefault="00C45E2B" w:rsidP="00C45E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9010" w14:textId="77777777" w:rsidR="00C45E2B" w:rsidRPr="00C45E2B" w:rsidRDefault="00C45E2B" w:rsidP="00C45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74E6" w14:textId="77777777" w:rsidR="00C45E2B" w:rsidRPr="00C45E2B" w:rsidRDefault="00C45E2B" w:rsidP="00C45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C45E2B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9983" w14:textId="77777777" w:rsidR="00C45E2B" w:rsidRPr="00C45E2B" w:rsidRDefault="00C45E2B" w:rsidP="00C45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C45E2B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ITESM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F0E08" w14:textId="77777777" w:rsidR="00C45E2B" w:rsidRPr="00C45E2B" w:rsidRDefault="00C45E2B" w:rsidP="00C45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C45E2B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95.2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A21C5" w14:textId="77777777" w:rsidR="00C45E2B" w:rsidRPr="00C45E2B" w:rsidRDefault="00C45E2B" w:rsidP="00C45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C45E2B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93.6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6CBE" w14:textId="77777777" w:rsidR="00C45E2B" w:rsidRPr="00C45E2B" w:rsidRDefault="00C45E2B" w:rsidP="00C45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C45E2B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99.9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E7743" w14:textId="77777777" w:rsidR="00C45E2B" w:rsidRPr="00C45E2B" w:rsidRDefault="00C45E2B" w:rsidP="00C45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C45E2B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99.8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20EB2" w14:textId="77777777" w:rsidR="00C45E2B" w:rsidRPr="00C45E2B" w:rsidRDefault="00C45E2B" w:rsidP="00C45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C45E2B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94.9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95D5" w14:textId="77777777" w:rsidR="00C45E2B" w:rsidRPr="00C45E2B" w:rsidRDefault="00C45E2B" w:rsidP="00C45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C45E2B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53.1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FE0C" w14:textId="77777777" w:rsidR="00C45E2B" w:rsidRPr="00C45E2B" w:rsidRDefault="00C45E2B" w:rsidP="00C45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C45E2B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49.8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DAE5" w14:textId="77777777" w:rsidR="00C45E2B" w:rsidRPr="00C45E2B" w:rsidRDefault="00C45E2B" w:rsidP="00C45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C45E2B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90.4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3014" w14:textId="77777777" w:rsidR="00C45E2B" w:rsidRPr="00C45E2B" w:rsidRDefault="00C45E2B" w:rsidP="00C45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C45E2B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92.4</w:t>
            </w:r>
          </w:p>
        </w:tc>
      </w:tr>
      <w:tr w:rsidR="00C45E2B" w:rsidRPr="00C45E2B" w14:paraId="2FCF6D61" w14:textId="77777777" w:rsidTr="00C45E2B">
        <w:trPr>
          <w:gridAfter w:val="1"/>
          <w:wAfter w:w="7" w:type="dxa"/>
          <w:trHeight w:val="186"/>
          <w:jc w:val="center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51C2" w14:textId="77777777" w:rsidR="00C45E2B" w:rsidRPr="00C45E2B" w:rsidRDefault="00C45E2B" w:rsidP="00C45E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532C" w14:textId="77777777" w:rsidR="00C45E2B" w:rsidRPr="00C45E2B" w:rsidRDefault="00C45E2B" w:rsidP="00C45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C45E2B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78A94B5" w14:textId="77777777" w:rsidR="00C45E2B" w:rsidRPr="00C45E2B" w:rsidRDefault="00C45E2B" w:rsidP="00C45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C45E2B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A778F70" w14:textId="77777777" w:rsidR="00C45E2B" w:rsidRPr="00C45E2B" w:rsidRDefault="00C45E2B" w:rsidP="00C45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C45E2B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UNAM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7C6918F" w14:textId="77777777" w:rsidR="00C45E2B" w:rsidRPr="00C45E2B" w:rsidRDefault="00C45E2B" w:rsidP="00C45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C45E2B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96.3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7CAD492" w14:textId="77777777" w:rsidR="00C45E2B" w:rsidRPr="00C45E2B" w:rsidRDefault="00C45E2B" w:rsidP="00C45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C45E2B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100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B49B2A9" w14:textId="77777777" w:rsidR="00C45E2B" w:rsidRPr="00C45E2B" w:rsidRDefault="00C45E2B" w:rsidP="00C45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C45E2B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100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558047D" w14:textId="77777777" w:rsidR="00C45E2B" w:rsidRPr="00C45E2B" w:rsidRDefault="00C45E2B" w:rsidP="00C45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C45E2B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89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CB11C6F" w14:textId="77777777" w:rsidR="00C45E2B" w:rsidRPr="00C45E2B" w:rsidRDefault="00C45E2B" w:rsidP="00C45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C45E2B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72.3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19C8CD1" w14:textId="77777777" w:rsidR="00C45E2B" w:rsidRPr="00C45E2B" w:rsidRDefault="00C45E2B" w:rsidP="00C45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C45E2B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100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DD2F423" w14:textId="77777777" w:rsidR="00C45E2B" w:rsidRPr="00C45E2B" w:rsidRDefault="00C45E2B" w:rsidP="00C45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C45E2B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57.1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0EC9DC1" w14:textId="77777777" w:rsidR="00C45E2B" w:rsidRPr="00C45E2B" w:rsidRDefault="00C45E2B" w:rsidP="00C45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C45E2B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71.2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06CFA69" w14:textId="77777777" w:rsidR="00C45E2B" w:rsidRPr="00C45E2B" w:rsidRDefault="00C45E2B" w:rsidP="00C45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C45E2B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100</w:t>
            </w:r>
          </w:p>
        </w:tc>
      </w:tr>
      <w:tr w:rsidR="00C45E2B" w:rsidRPr="00C45E2B" w14:paraId="41D2AD7F" w14:textId="77777777" w:rsidTr="00C45E2B">
        <w:trPr>
          <w:gridAfter w:val="1"/>
          <w:wAfter w:w="7" w:type="dxa"/>
          <w:trHeight w:val="186"/>
          <w:jc w:val="center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F6E8" w14:textId="77777777" w:rsidR="00C45E2B" w:rsidRPr="00C45E2B" w:rsidRDefault="00C45E2B" w:rsidP="00C45E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05DD" w14:textId="77777777" w:rsidR="00C45E2B" w:rsidRPr="00C45E2B" w:rsidRDefault="00C45E2B" w:rsidP="00C45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B21F" w14:textId="77777777" w:rsidR="00C45E2B" w:rsidRPr="00C45E2B" w:rsidRDefault="00C45E2B" w:rsidP="00C45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C45E2B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2A01" w14:textId="77777777" w:rsidR="00C45E2B" w:rsidRPr="00C45E2B" w:rsidRDefault="00C45E2B" w:rsidP="00C45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C45E2B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ITESM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1A90" w14:textId="77777777" w:rsidR="00C45E2B" w:rsidRPr="00C45E2B" w:rsidRDefault="00C45E2B" w:rsidP="00C45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C45E2B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98.4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2FAFA" w14:textId="77777777" w:rsidR="00C45E2B" w:rsidRPr="00C45E2B" w:rsidRDefault="00C45E2B" w:rsidP="00C45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C45E2B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92.6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1B9E" w14:textId="77777777" w:rsidR="00C45E2B" w:rsidRPr="00C45E2B" w:rsidRDefault="00C45E2B" w:rsidP="00C45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C45E2B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99.9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4B3A" w14:textId="77777777" w:rsidR="00C45E2B" w:rsidRPr="00C45E2B" w:rsidRDefault="00C45E2B" w:rsidP="00C45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C45E2B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99.6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DA6D8" w14:textId="77777777" w:rsidR="00C45E2B" w:rsidRPr="00C45E2B" w:rsidRDefault="00C45E2B" w:rsidP="00C45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C45E2B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93.5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7DD7" w14:textId="77777777" w:rsidR="00C45E2B" w:rsidRPr="00C45E2B" w:rsidRDefault="00C45E2B" w:rsidP="00C45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C45E2B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73.2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84FC" w14:textId="77777777" w:rsidR="00C45E2B" w:rsidRPr="00C45E2B" w:rsidRDefault="00C45E2B" w:rsidP="00C45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C45E2B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54.5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9642" w14:textId="77777777" w:rsidR="00C45E2B" w:rsidRPr="00C45E2B" w:rsidRDefault="00C45E2B" w:rsidP="00C45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C45E2B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95.1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92C3B" w14:textId="77777777" w:rsidR="00C45E2B" w:rsidRPr="00C45E2B" w:rsidRDefault="00C45E2B" w:rsidP="00C45E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C45E2B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98.6</w:t>
            </w:r>
          </w:p>
        </w:tc>
      </w:tr>
    </w:tbl>
    <w:p w14:paraId="4F130EE1" w14:textId="77777777" w:rsidR="00C45E2B" w:rsidRDefault="00C45E2B" w:rsidP="007F08E1">
      <w:pPr>
        <w:pStyle w:val="Prrafodelista"/>
        <w:jc w:val="both"/>
        <w:rPr>
          <w:sz w:val="24"/>
        </w:rPr>
      </w:pPr>
    </w:p>
    <w:p w14:paraId="525CFFC2" w14:textId="56548DF2" w:rsidR="007F08E1" w:rsidRPr="0017155C" w:rsidRDefault="007F08E1" w:rsidP="007F08E1">
      <w:pPr>
        <w:pStyle w:val="Prrafodelista"/>
        <w:jc w:val="both"/>
        <w:rPr>
          <w:b/>
          <w:sz w:val="24"/>
        </w:rPr>
      </w:pPr>
      <w:r w:rsidRPr="0017155C">
        <w:rPr>
          <w:b/>
          <w:sz w:val="24"/>
        </w:rPr>
        <w:t>Comportamiento de la UNAM</w:t>
      </w:r>
    </w:p>
    <w:p w14:paraId="54CC86FF" w14:textId="77FDB801" w:rsidR="007F08E1" w:rsidRPr="0017155C" w:rsidRDefault="004B0FCB" w:rsidP="00BC3EF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17155C">
        <w:rPr>
          <w:sz w:val="24"/>
        </w:rPr>
        <w:t xml:space="preserve">La UNAM </w:t>
      </w:r>
      <w:r w:rsidR="00A14F9E" w:rsidRPr="0017155C">
        <w:rPr>
          <w:sz w:val="24"/>
        </w:rPr>
        <w:t xml:space="preserve">ha pasado a ser la segunda mejor </w:t>
      </w:r>
      <w:r w:rsidRPr="0017155C">
        <w:rPr>
          <w:sz w:val="24"/>
        </w:rPr>
        <w:t>universidad mexicana en el ranking</w:t>
      </w:r>
      <w:r w:rsidR="00A14F9E" w:rsidRPr="0017155C">
        <w:rPr>
          <w:sz w:val="24"/>
        </w:rPr>
        <w:t xml:space="preserve">, al ubicarse en </w:t>
      </w:r>
      <w:r w:rsidR="003347D4" w:rsidRPr="0017155C">
        <w:rPr>
          <w:sz w:val="24"/>
        </w:rPr>
        <w:t xml:space="preserve">la posición </w:t>
      </w:r>
      <w:r w:rsidR="00A14F9E" w:rsidRPr="0017155C">
        <w:rPr>
          <w:sz w:val="24"/>
        </w:rPr>
        <w:t>6</w:t>
      </w:r>
      <w:r w:rsidR="00F10CBD" w:rsidRPr="0017155C">
        <w:rPr>
          <w:sz w:val="24"/>
        </w:rPr>
        <w:t xml:space="preserve"> a nivel Latinoamérica</w:t>
      </w:r>
      <w:r w:rsidR="007F08E1" w:rsidRPr="0017155C">
        <w:rPr>
          <w:sz w:val="24"/>
        </w:rPr>
        <w:t xml:space="preserve">; </w:t>
      </w:r>
    </w:p>
    <w:p w14:paraId="2F41642E" w14:textId="109C714C" w:rsidR="00A14F9E" w:rsidRPr="0017155C" w:rsidRDefault="00A14F9E" w:rsidP="002D090A">
      <w:pPr>
        <w:pStyle w:val="Prrafodelista"/>
        <w:numPr>
          <w:ilvl w:val="1"/>
          <w:numId w:val="11"/>
        </w:numPr>
        <w:spacing w:after="0" w:line="240" w:lineRule="auto"/>
        <w:jc w:val="both"/>
        <w:rPr>
          <w:sz w:val="24"/>
        </w:rPr>
      </w:pPr>
      <w:r w:rsidRPr="0017155C">
        <w:rPr>
          <w:sz w:val="24"/>
        </w:rPr>
        <w:t xml:space="preserve">La UNAM </w:t>
      </w:r>
      <w:r w:rsidR="00E32BF9" w:rsidRPr="0017155C">
        <w:rPr>
          <w:sz w:val="24"/>
        </w:rPr>
        <w:t>logró</w:t>
      </w:r>
      <w:r w:rsidRPr="0017155C">
        <w:rPr>
          <w:sz w:val="24"/>
        </w:rPr>
        <w:t xml:space="preserve"> una puntuación de </w:t>
      </w:r>
      <w:r w:rsidR="00FC100A" w:rsidRPr="0017155C">
        <w:rPr>
          <w:sz w:val="24"/>
        </w:rPr>
        <w:t>100 sobre 100 e</w:t>
      </w:r>
      <w:r w:rsidR="003347D4" w:rsidRPr="0017155C">
        <w:rPr>
          <w:sz w:val="24"/>
        </w:rPr>
        <w:t xml:space="preserve">n </w:t>
      </w:r>
      <w:r w:rsidRPr="0017155C">
        <w:rPr>
          <w:sz w:val="24"/>
        </w:rPr>
        <w:t xml:space="preserve">cuatro indicadores que representan el 65% del total del ranking: 1) Reputación según académicos, 2) Reputación según empleadores, 3) Impacto en internet, y 4) Red Internacional de Investigación; </w:t>
      </w:r>
    </w:p>
    <w:p w14:paraId="2CEA74C8" w14:textId="31EF68A9" w:rsidR="00A14F9E" w:rsidRPr="0017155C" w:rsidRDefault="00A14F9E" w:rsidP="002D090A">
      <w:pPr>
        <w:pStyle w:val="Prrafodelista"/>
        <w:numPr>
          <w:ilvl w:val="1"/>
          <w:numId w:val="11"/>
        </w:numPr>
        <w:spacing w:after="0" w:line="240" w:lineRule="auto"/>
        <w:jc w:val="both"/>
        <w:rPr>
          <w:sz w:val="24"/>
        </w:rPr>
      </w:pPr>
      <w:r w:rsidRPr="0017155C">
        <w:rPr>
          <w:sz w:val="24"/>
        </w:rPr>
        <w:t xml:space="preserve">La universidad </w:t>
      </w:r>
      <w:r w:rsidR="00E32BF9">
        <w:rPr>
          <w:sz w:val="24"/>
        </w:rPr>
        <w:t>presento</w:t>
      </w:r>
      <w:r w:rsidRPr="0017155C">
        <w:rPr>
          <w:sz w:val="24"/>
        </w:rPr>
        <w:t xml:space="preserve"> un incremento de 0.4 puntos en “puntaje general” y de 2.9 puntos en el rubro de “relación entre estudiantes y profesores”.</w:t>
      </w:r>
    </w:p>
    <w:p w14:paraId="0D5B8AA7" w14:textId="55F29AFD" w:rsidR="00BE3461" w:rsidRPr="0017155C" w:rsidRDefault="00FC100A" w:rsidP="002D090A">
      <w:pPr>
        <w:pStyle w:val="Prrafodelista"/>
        <w:numPr>
          <w:ilvl w:val="1"/>
          <w:numId w:val="11"/>
        </w:numPr>
        <w:spacing w:after="0" w:line="240" w:lineRule="auto"/>
        <w:jc w:val="both"/>
        <w:rPr>
          <w:sz w:val="24"/>
        </w:rPr>
      </w:pPr>
      <w:r w:rsidRPr="0017155C">
        <w:rPr>
          <w:sz w:val="24"/>
        </w:rPr>
        <w:t>Finalmente</w:t>
      </w:r>
      <w:r w:rsidR="00E32BF9">
        <w:rPr>
          <w:sz w:val="24"/>
        </w:rPr>
        <w:t xml:space="preserve">, la UNAM tuvo un </w:t>
      </w:r>
      <w:r w:rsidR="00A14F9E" w:rsidRPr="0017155C">
        <w:rPr>
          <w:sz w:val="24"/>
        </w:rPr>
        <w:t>decremento de 1.5 puntos en el indicador de “proporción de personal académico con doctorado”, 2.4 puntos en el rubro “proporción de artículos por personal académico” y de 2.7 puntos en “promedio de citas académicas por artículo”.</w:t>
      </w:r>
    </w:p>
    <w:p w14:paraId="391ED43E" w14:textId="77777777" w:rsidR="00A14F9E" w:rsidRPr="0017155C" w:rsidRDefault="00A14F9E" w:rsidP="00BE3461">
      <w:pPr>
        <w:spacing w:after="0" w:line="240" w:lineRule="auto"/>
        <w:jc w:val="both"/>
        <w:rPr>
          <w:sz w:val="24"/>
        </w:rPr>
      </w:pPr>
    </w:p>
    <w:tbl>
      <w:tblPr>
        <w:tblW w:w="81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8"/>
        <w:gridCol w:w="664"/>
        <w:gridCol w:w="664"/>
        <w:gridCol w:w="672"/>
        <w:gridCol w:w="672"/>
        <w:gridCol w:w="672"/>
      </w:tblGrid>
      <w:tr w:rsidR="00BE3461" w:rsidRPr="0017155C" w14:paraId="7509EFE5" w14:textId="77777777" w:rsidTr="002D090A">
        <w:trPr>
          <w:trHeight w:val="233"/>
          <w:jc w:val="center"/>
        </w:trPr>
        <w:tc>
          <w:tcPr>
            <w:tcW w:w="8122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A6A4B7" w14:textId="4744A243" w:rsidR="00BE3461" w:rsidRPr="0017155C" w:rsidRDefault="00EA55D2" w:rsidP="001C1B5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18"/>
              </w:rPr>
              <w:t xml:space="preserve">Tabla </w:t>
            </w:r>
            <w:r w:rsidR="001C1B5F">
              <w:rPr>
                <w:b/>
                <w:sz w:val="20"/>
                <w:szCs w:val="18"/>
              </w:rPr>
              <w:t>7</w:t>
            </w:r>
            <w:r w:rsidR="00BE3461" w:rsidRPr="0017155C">
              <w:rPr>
                <w:b/>
                <w:sz w:val="20"/>
                <w:szCs w:val="18"/>
              </w:rPr>
              <w:t>. Desempeño de la UNAM en los indicadores del QS ranking Latinoamérica de universidades, 2016-2020.</w:t>
            </w:r>
          </w:p>
        </w:tc>
      </w:tr>
      <w:tr w:rsidR="00BE3461" w:rsidRPr="0017155C" w14:paraId="1EF26CCD" w14:textId="4F71BA1E" w:rsidTr="00BE3461">
        <w:trPr>
          <w:trHeight w:val="233"/>
          <w:jc w:val="center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102E084" w14:textId="685782D3" w:rsidR="00BE3461" w:rsidRPr="0017155C" w:rsidRDefault="00BE3461" w:rsidP="000C24E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7155C">
              <w:rPr>
                <w:b/>
                <w:sz w:val="16"/>
                <w:szCs w:val="16"/>
              </w:rPr>
              <w:t>Indicador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A73B26D" w14:textId="77777777" w:rsidR="00BE3461" w:rsidRPr="0017155C" w:rsidRDefault="00BE3461" w:rsidP="000C24E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7155C"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39108A4" w14:textId="77777777" w:rsidR="00BE3461" w:rsidRPr="0017155C" w:rsidRDefault="00BE3461" w:rsidP="000C24E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7155C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E055DF6" w14:textId="77777777" w:rsidR="00BE3461" w:rsidRPr="0017155C" w:rsidRDefault="00BE3461" w:rsidP="000C24E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7155C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04001A5" w14:textId="5AF31CEF" w:rsidR="00BE3461" w:rsidRPr="0017155C" w:rsidRDefault="00BE3461" w:rsidP="000C24E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7155C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8FDF65A" w14:textId="1A0E1104" w:rsidR="00BE3461" w:rsidRPr="0017155C" w:rsidRDefault="00BE3461" w:rsidP="00BE34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7155C">
              <w:rPr>
                <w:b/>
                <w:sz w:val="16"/>
                <w:szCs w:val="16"/>
              </w:rPr>
              <w:t>2020</w:t>
            </w:r>
          </w:p>
        </w:tc>
      </w:tr>
      <w:tr w:rsidR="006B21BB" w:rsidRPr="0017155C" w14:paraId="52DA5B34" w14:textId="21E0B24A" w:rsidTr="006B21BB">
        <w:trPr>
          <w:trHeight w:val="233"/>
          <w:jc w:val="center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C46C" w14:textId="77777777" w:rsidR="006B21BB" w:rsidRPr="0017155C" w:rsidRDefault="006B21BB" w:rsidP="006B2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1715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Posición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7356C" w14:textId="4E4A6A95" w:rsidR="006B21BB" w:rsidRPr="0017155C" w:rsidRDefault="006B21BB" w:rsidP="006B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17155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919D1" w14:textId="17E7C061" w:rsidR="006B21BB" w:rsidRPr="0017155C" w:rsidRDefault="006B21BB" w:rsidP="006B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17155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05FDC" w14:textId="30CC1272" w:rsidR="006B21BB" w:rsidRPr="0017155C" w:rsidRDefault="006B21BB" w:rsidP="006B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17155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40BC" w14:textId="1FEC64A6" w:rsidR="006B21BB" w:rsidRPr="0017155C" w:rsidRDefault="006B21BB" w:rsidP="006B21B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7155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8152" w14:textId="4ADE07D9" w:rsidR="006B21BB" w:rsidRPr="0017155C" w:rsidRDefault="006B21BB" w:rsidP="006B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17155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6B21BB" w:rsidRPr="0017155C" w14:paraId="728AF084" w14:textId="478208B8" w:rsidTr="006B21BB">
        <w:trPr>
          <w:trHeight w:val="233"/>
          <w:jc w:val="center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DE9C364" w14:textId="77777777" w:rsidR="006B21BB" w:rsidRPr="0017155C" w:rsidRDefault="006B21BB" w:rsidP="006B2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17155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Puntaje General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E4B4C92" w14:textId="42DFFDFA" w:rsidR="006B21BB" w:rsidRPr="0017155C" w:rsidRDefault="006B21BB" w:rsidP="006B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17155C">
              <w:rPr>
                <w:rFonts w:ascii="Calibri" w:hAnsi="Calibri" w:cs="Calibri"/>
                <w:color w:val="000000"/>
                <w:sz w:val="16"/>
                <w:szCs w:val="16"/>
              </w:rPr>
              <w:t>94.9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9C565CA" w14:textId="261F3A1C" w:rsidR="006B21BB" w:rsidRPr="0017155C" w:rsidRDefault="006B21BB" w:rsidP="006B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17155C">
              <w:rPr>
                <w:rFonts w:ascii="Calibri" w:hAnsi="Calibri" w:cs="Calibri"/>
                <w:color w:val="000000"/>
                <w:sz w:val="16"/>
                <w:szCs w:val="16"/>
              </w:rPr>
              <w:t>96.5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4DECDD4" w14:textId="1705194B" w:rsidR="006B21BB" w:rsidRPr="0017155C" w:rsidRDefault="006B21BB" w:rsidP="006B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17155C">
              <w:rPr>
                <w:rFonts w:ascii="Calibri" w:hAnsi="Calibri" w:cs="Calibri"/>
                <w:color w:val="000000"/>
                <w:sz w:val="16"/>
                <w:szCs w:val="16"/>
              </w:rPr>
              <w:t>95.9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857033A" w14:textId="39A812E9" w:rsidR="006B21BB" w:rsidRPr="0017155C" w:rsidRDefault="006B21BB" w:rsidP="006B21B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7155C">
              <w:rPr>
                <w:rFonts w:ascii="Calibri" w:hAnsi="Calibri" w:cs="Calibri"/>
                <w:color w:val="000000"/>
                <w:sz w:val="16"/>
                <w:szCs w:val="16"/>
              </w:rPr>
              <w:t>95.9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956431" w14:textId="7FEA451D" w:rsidR="006B21BB" w:rsidRPr="0017155C" w:rsidRDefault="006B21BB" w:rsidP="006B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17155C">
              <w:rPr>
                <w:rFonts w:ascii="Calibri" w:hAnsi="Calibri" w:cs="Calibri"/>
                <w:color w:val="000000"/>
                <w:sz w:val="16"/>
                <w:szCs w:val="16"/>
              </w:rPr>
              <w:t>96.3</w:t>
            </w:r>
          </w:p>
        </w:tc>
      </w:tr>
      <w:tr w:rsidR="006B21BB" w:rsidRPr="0017155C" w14:paraId="212959F2" w14:textId="1831947A" w:rsidTr="006B21BB">
        <w:trPr>
          <w:trHeight w:val="233"/>
          <w:jc w:val="center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E220" w14:textId="77777777" w:rsidR="006B21BB" w:rsidRPr="0017155C" w:rsidRDefault="006B21BB" w:rsidP="006B2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17155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Reputación según académicos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412E9" w14:textId="596A6CE2" w:rsidR="006B21BB" w:rsidRPr="0017155C" w:rsidRDefault="006B21BB" w:rsidP="006B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17155C"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659A7" w14:textId="62E003F9" w:rsidR="006B21BB" w:rsidRPr="0017155C" w:rsidRDefault="006B21BB" w:rsidP="006B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17155C"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A0973" w14:textId="47055A8C" w:rsidR="006B21BB" w:rsidRPr="0017155C" w:rsidRDefault="006B21BB" w:rsidP="006B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17155C"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D90B" w14:textId="336F86B3" w:rsidR="006B21BB" w:rsidRPr="0017155C" w:rsidRDefault="006B21BB" w:rsidP="006B21B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7155C"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DCA5" w14:textId="588F52B3" w:rsidR="006B21BB" w:rsidRPr="0017155C" w:rsidRDefault="006B21BB" w:rsidP="006B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17155C"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</w:tr>
      <w:tr w:rsidR="006B21BB" w:rsidRPr="0017155C" w14:paraId="33AD338C" w14:textId="183274FE" w:rsidTr="006B21BB">
        <w:trPr>
          <w:trHeight w:val="233"/>
          <w:jc w:val="center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A6C523C" w14:textId="77777777" w:rsidR="006B21BB" w:rsidRPr="0017155C" w:rsidRDefault="006B21BB" w:rsidP="006B2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17155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Reputación según empleadores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AD88049" w14:textId="0D64766C" w:rsidR="006B21BB" w:rsidRPr="0017155C" w:rsidRDefault="006B21BB" w:rsidP="006B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17155C"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EBE4A0F" w14:textId="621FB518" w:rsidR="006B21BB" w:rsidRPr="0017155C" w:rsidRDefault="006B21BB" w:rsidP="006B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17155C"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52BFD9C" w14:textId="75734BD5" w:rsidR="006B21BB" w:rsidRPr="0017155C" w:rsidRDefault="006B21BB" w:rsidP="006B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17155C"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9301CD" w14:textId="63311CB8" w:rsidR="006B21BB" w:rsidRPr="0017155C" w:rsidRDefault="006B21BB" w:rsidP="006B21B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7155C"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BEFFF3" w14:textId="6E279FE0" w:rsidR="006B21BB" w:rsidRPr="0017155C" w:rsidRDefault="006B21BB" w:rsidP="006B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17155C"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</w:tr>
      <w:tr w:rsidR="006B21BB" w:rsidRPr="0017155C" w14:paraId="4D34D35B" w14:textId="546DF8A6" w:rsidTr="006B21BB">
        <w:trPr>
          <w:trHeight w:val="233"/>
          <w:jc w:val="center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4EAA" w14:textId="77777777" w:rsidR="006B21BB" w:rsidRPr="0017155C" w:rsidRDefault="006B21BB" w:rsidP="006B2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17155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Relación entre estudiantes y profesores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A3DE4" w14:textId="012D36D6" w:rsidR="006B21BB" w:rsidRPr="0017155C" w:rsidRDefault="006B21BB" w:rsidP="006B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17155C">
              <w:rPr>
                <w:rFonts w:ascii="Calibri" w:hAnsi="Calibri" w:cs="Calibri"/>
                <w:color w:val="000000"/>
                <w:sz w:val="16"/>
                <w:szCs w:val="16"/>
              </w:rPr>
              <w:t>83.3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52D84" w14:textId="3E9D56EE" w:rsidR="006B21BB" w:rsidRPr="0017155C" w:rsidRDefault="006B21BB" w:rsidP="006B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17155C">
              <w:rPr>
                <w:rFonts w:ascii="Calibri" w:hAnsi="Calibri" w:cs="Calibri"/>
                <w:color w:val="000000"/>
                <w:sz w:val="16"/>
                <w:szCs w:val="16"/>
              </w:rPr>
              <w:t>90.9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00B0D" w14:textId="351CC23A" w:rsidR="006B21BB" w:rsidRPr="0017155C" w:rsidRDefault="006B21BB" w:rsidP="006B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17155C">
              <w:rPr>
                <w:rFonts w:ascii="Calibri" w:hAnsi="Calibri" w:cs="Calibri"/>
                <w:color w:val="000000"/>
                <w:sz w:val="16"/>
                <w:szCs w:val="16"/>
              </w:rPr>
              <w:t>87.6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2A6A" w14:textId="2B54013D" w:rsidR="006B21BB" w:rsidRPr="0017155C" w:rsidRDefault="006B21BB" w:rsidP="006B21B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7155C">
              <w:rPr>
                <w:rFonts w:ascii="Calibri" w:hAnsi="Calibri" w:cs="Calibri"/>
                <w:color w:val="000000"/>
                <w:sz w:val="16"/>
                <w:szCs w:val="16"/>
              </w:rPr>
              <w:t>86.1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DD50" w14:textId="50C056A7" w:rsidR="006B21BB" w:rsidRPr="0017155C" w:rsidRDefault="006B21BB" w:rsidP="006B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17155C">
              <w:rPr>
                <w:rFonts w:ascii="Calibri" w:hAnsi="Calibri" w:cs="Calibri"/>
                <w:color w:val="000000"/>
                <w:sz w:val="16"/>
                <w:szCs w:val="16"/>
              </w:rPr>
              <w:t>89</w:t>
            </w:r>
          </w:p>
        </w:tc>
      </w:tr>
      <w:tr w:rsidR="006B21BB" w:rsidRPr="0017155C" w14:paraId="105A25DD" w14:textId="157EF3D9" w:rsidTr="006B21BB">
        <w:trPr>
          <w:trHeight w:val="233"/>
          <w:jc w:val="center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E9D1788" w14:textId="77777777" w:rsidR="006B21BB" w:rsidRPr="0017155C" w:rsidRDefault="006B21BB" w:rsidP="006B2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17155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Promedio de citas académicas por artículo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F339357" w14:textId="7DC9282B" w:rsidR="006B21BB" w:rsidRPr="0017155C" w:rsidRDefault="006B21BB" w:rsidP="006B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17155C">
              <w:rPr>
                <w:rFonts w:ascii="Calibri" w:hAnsi="Calibri" w:cs="Calibri"/>
                <w:color w:val="000000"/>
                <w:sz w:val="16"/>
                <w:szCs w:val="16"/>
              </w:rPr>
              <w:t>85.5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8A821AF" w14:textId="29170238" w:rsidR="006B21BB" w:rsidRPr="0017155C" w:rsidRDefault="006B21BB" w:rsidP="006B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17155C">
              <w:rPr>
                <w:rFonts w:ascii="Calibri" w:hAnsi="Calibri" w:cs="Calibri"/>
                <w:color w:val="000000"/>
                <w:sz w:val="16"/>
                <w:szCs w:val="16"/>
              </w:rPr>
              <w:t>82.3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5210F70" w14:textId="72BCD6E9" w:rsidR="006B21BB" w:rsidRPr="0017155C" w:rsidRDefault="006B21BB" w:rsidP="006B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17155C">
              <w:rPr>
                <w:rFonts w:ascii="Calibri" w:hAnsi="Calibri" w:cs="Calibri"/>
                <w:color w:val="000000"/>
                <w:sz w:val="16"/>
                <w:szCs w:val="16"/>
              </w:rPr>
              <w:t>76.8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285636" w14:textId="518DAE2A" w:rsidR="006B21BB" w:rsidRPr="0017155C" w:rsidRDefault="006B21BB" w:rsidP="006B21B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7155C">
              <w:rPr>
                <w:rFonts w:ascii="Calibri" w:hAnsi="Calibri" w:cs="Calibri"/>
                <w:color w:val="000000"/>
                <w:sz w:val="16"/>
                <w:szCs w:val="16"/>
              </w:rPr>
              <w:t>73.9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25D7EA2" w14:textId="435F7579" w:rsidR="006B21BB" w:rsidRPr="0017155C" w:rsidRDefault="006B21BB" w:rsidP="006B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17155C">
              <w:rPr>
                <w:rFonts w:ascii="Calibri" w:hAnsi="Calibri" w:cs="Calibri"/>
                <w:color w:val="000000"/>
                <w:sz w:val="16"/>
                <w:szCs w:val="16"/>
              </w:rPr>
              <w:t>71.2</w:t>
            </w:r>
          </w:p>
        </w:tc>
      </w:tr>
      <w:tr w:rsidR="006B21BB" w:rsidRPr="0017155C" w14:paraId="6CC5553B" w14:textId="17CFEC8A" w:rsidTr="006B21BB">
        <w:trPr>
          <w:trHeight w:val="233"/>
          <w:jc w:val="center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5198" w14:textId="77777777" w:rsidR="006B21BB" w:rsidRPr="0017155C" w:rsidRDefault="006B21BB" w:rsidP="006B2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17155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Proporción de artículos por personal académico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1B715" w14:textId="402A723B" w:rsidR="006B21BB" w:rsidRPr="0017155C" w:rsidRDefault="006B21BB" w:rsidP="006B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17155C">
              <w:rPr>
                <w:rFonts w:ascii="Calibri" w:hAnsi="Calibri" w:cs="Calibri"/>
                <w:color w:val="000000"/>
                <w:sz w:val="16"/>
                <w:szCs w:val="16"/>
              </w:rPr>
              <w:t>53.7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97BBE" w14:textId="376D2204" w:rsidR="006B21BB" w:rsidRPr="0017155C" w:rsidRDefault="006B21BB" w:rsidP="006B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17155C">
              <w:rPr>
                <w:rFonts w:ascii="Calibri" w:hAnsi="Calibri" w:cs="Calibri"/>
                <w:color w:val="000000"/>
                <w:sz w:val="16"/>
                <w:szCs w:val="16"/>
              </w:rPr>
              <w:t>54.1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CFD12" w14:textId="70BED276" w:rsidR="006B21BB" w:rsidRPr="0017155C" w:rsidRDefault="006B21BB" w:rsidP="006B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17155C">
              <w:rPr>
                <w:rFonts w:ascii="Calibri" w:hAnsi="Calibri" w:cs="Calibri"/>
                <w:color w:val="000000"/>
                <w:sz w:val="16"/>
                <w:szCs w:val="16"/>
              </w:rPr>
              <w:t>55.5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60A6" w14:textId="639CDEFE" w:rsidR="006B21BB" w:rsidRPr="0017155C" w:rsidRDefault="006B21BB" w:rsidP="006B21B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7155C">
              <w:rPr>
                <w:rFonts w:ascii="Calibri" w:hAnsi="Calibri" w:cs="Calibri"/>
                <w:color w:val="000000"/>
                <w:sz w:val="16"/>
                <w:szCs w:val="16"/>
              </w:rPr>
              <w:t>59.5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1BE3" w14:textId="1423A64B" w:rsidR="006B21BB" w:rsidRPr="0017155C" w:rsidRDefault="006B21BB" w:rsidP="006B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17155C">
              <w:rPr>
                <w:rFonts w:ascii="Calibri" w:hAnsi="Calibri" w:cs="Calibri"/>
                <w:color w:val="000000"/>
                <w:sz w:val="16"/>
                <w:szCs w:val="16"/>
              </w:rPr>
              <w:t>57.1</w:t>
            </w:r>
          </w:p>
        </w:tc>
      </w:tr>
      <w:tr w:rsidR="006B21BB" w:rsidRPr="0017155C" w14:paraId="6F801961" w14:textId="31E49E52" w:rsidTr="006B21BB">
        <w:trPr>
          <w:trHeight w:val="233"/>
          <w:jc w:val="center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963B364" w14:textId="77777777" w:rsidR="006B21BB" w:rsidRPr="0017155C" w:rsidRDefault="006B21BB" w:rsidP="006B2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17155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Proporción de personal académico con doctorado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6BD03B2" w14:textId="36AF53ED" w:rsidR="006B21BB" w:rsidRPr="0017155C" w:rsidRDefault="006B21BB" w:rsidP="006B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17155C">
              <w:rPr>
                <w:rFonts w:ascii="Calibri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C43A226" w14:textId="7F338C47" w:rsidR="006B21BB" w:rsidRPr="0017155C" w:rsidRDefault="006B21BB" w:rsidP="006B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17155C">
              <w:rPr>
                <w:rFonts w:ascii="Calibri" w:hAnsi="Calibri" w:cs="Calibri"/>
                <w:color w:val="000000"/>
                <w:sz w:val="16"/>
                <w:szCs w:val="16"/>
              </w:rPr>
              <w:t>68.5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9B06785" w14:textId="7799702F" w:rsidR="006B21BB" w:rsidRPr="0017155C" w:rsidRDefault="006B21BB" w:rsidP="006B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17155C">
              <w:rPr>
                <w:rFonts w:ascii="Calibri" w:hAnsi="Calibri" w:cs="Calibri"/>
                <w:color w:val="000000"/>
                <w:sz w:val="16"/>
                <w:szCs w:val="16"/>
              </w:rPr>
              <w:t>69.2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8BE030" w14:textId="5471A698" w:rsidR="006B21BB" w:rsidRPr="0017155C" w:rsidRDefault="006B21BB" w:rsidP="006B21B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7155C">
              <w:rPr>
                <w:rFonts w:ascii="Calibri" w:hAnsi="Calibri" w:cs="Calibri"/>
                <w:color w:val="000000"/>
                <w:sz w:val="16"/>
                <w:szCs w:val="16"/>
              </w:rPr>
              <w:t>73.8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9A74E0" w14:textId="2711083C" w:rsidR="006B21BB" w:rsidRPr="0017155C" w:rsidRDefault="006B21BB" w:rsidP="006B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17155C">
              <w:rPr>
                <w:rFonts w:ascii="Calibri" w:hAnsi="Calibri" w:cs="Calibri"/>
                <w:color w:val="000000"/>
                <w:sz w:val="16"/>
                <w:szCs w:val="16"/>
              </w:rPr>
              <w:t>72.3</w:t>
            </w:r>
          </w:p>
        </w:tc>
      </w:tr>
      <w:tr w:rsidR="006B21BB" w:rsidRPr="0017155C" w14:paraId="1D93A584" w14:textId="02827AFD" w:rsidTr="006B21BB">
        <w:trPr>
          <w:trHeight w:val="233"/>
          <w:jc w:val="center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83B2" w14:textId="77777777" w:rsidR="006B21BB" w:rsidRPr="0017155C" w:rsidRDefault="006B21BB" w:rsidP="006B2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17155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Impacto en internet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000C1" w14:textId="5375B8AB" w:rsidR="006B21BB" w:rsidRPr="0017155C" w:rsidRDefault="006B21BB" w:rsidP="006B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17155C"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9DFF4" w14:textId="663A4DE9" w:rsidR="006B21BB" w:rsidRPr="0017155C" w:rsidRDefault="006B21BB" w:rsidP="006B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17155C"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16671" w14:textId="65CBE305" w:rsidR="006B21BB" w:rsidRPr="0017155C" w:rsidRDefault="006B21BB" w:rsidP="006B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17155C"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CB90" w14:textId="59D12EED" w:rsidR="006B21BB" w:rsidRPr="0017155C" w:rsidRDefault="006B21BB" w:rsidP="006B21B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7155C"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E592" w14:textId="49021A75" w:rsidR="006B21BB" w:rsidRPr="0017155C" w:rsidRDefault="006B21BB" w:rsidP="006B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17155C"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</w:tr>
      <w:tr w:rsidR="006B21BB" w:rsidRPr="0017155C" w14:paraId="42E244B5" w14:textId="50D7EB94" w:rsidTr="006B21BB">
        <w:trPr>
          <w:trHeight w:val="233"/>
          <w:jc w:val="center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4416FBA" w14:textId="77777777" w:rsidR="006B21BB" w:rsidRPr="0017155C" w:rsidRDefault="006B21BB" w:rsidP="006B2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17155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Red Internacional de Investigación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BE59EBA" w14:textId="0D3BC0E8" w:rsidR="006B21BB" w:rsidRPr="0017155C" w:rsidRDefault="00D533B9" w:rsidP="006B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17155C">
              <w:rPr>
                <w:rFonts w:ascii="Calibri" w:hAnsi="Calibri" w:cs="Calibri"/>
                <w:color w:val="000000"/>
                <w:sz w:val="16"/>
                <w:szCs w:val="16"/>
              </w:rPr>
              <w:t>*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30705C9" w14:textId="3B2C60CD" w:rsidR="006B21BB" w:rsidRPr="0017155C" w:rsidRDefault="006B21BB" w:rsidP="006B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17155C">
              <w:rPr>
                <w:rFonts w:ascii="Calibri" w:hAnsi="Calibri" w:cs="Calibri"/>
                <w:color w:val="000000"/>
                <w:sz w:val="16"/>
                <w:szCs w:val="16"/>
              </w:rPr>
              <w:t>99.9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F75BD0B" w14:textId="308A60EE" w:rsidR="006B21BB" w:rsidRPr="0017155C" w:rsidRDefault="006B21BB" w:rsidP="006B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17155C">
              <w:rPr>
                <w:rFonts w:ascii="Calibri" w:hAnsi="Calibri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3A559B" w14:textId="47B556BD" w:rsidR="006B21BB" w:rsidRPr="0017155C" w:rsidRDefault="006B21BB" w:rsidP="006B21B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7155C"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6757FEF" w14:textId="12CD670E" w:rsidR="006B21BB" w:rsidRPr="0017155C" w:rsidRDefault="006B21BB" w:rsidP="006B2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17155C"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</w:tr>
      <w:tr w:rsidR="00BE3461" w:rsidRPr="00FC100A" w14:paraId="365CC3D8" w14:textId="77777777" w:rsidTr="00BE3461">
        <w:trPr>
          <w:trHeight w:val="233"/>
          <w:jc w:val="center"/>
        </w:trPr>
        <w:tc>
          <w:tcPr>
            <w:tcW w:w="8122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8643BE1" w14:textId="77777777" w:rsidR="00BE3461" w:rsidRPr="0017155C" w:rsidRDefault="00BE3461" w:rsidP="00BE346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4"/>
                <w:lang w:eastAsia="es-MX"/>
              </w:rPr>
            </w:pPr>
            <w:r w:rsidRPr="0017155C">
              <w:rPr>
                <w:rFonts w:ascii="Calibri" w:eastAsia="Times New Roman" w:hAnsi="Calibri" w:cs="Calibri"/>
                <w:b/>
                <w:sz w:val="12"/>
                <w:szCs w:val="14"/>
                <w:lang w:eastAsia="es-MX"/>
              </w:rPr>
              <w:t>Fuente:</w:t>
            </w:r>
            <w:r w:rsidRPr="0017155C">
              <w:rPr>
                <w:rFonts w:ascii="Calibri" w:eastAsia="Times New Roman" w:hAnsi="Calibri" w:cs="Calibri"/>
                <w:sz w:val="12"/>
                <w:szCs w:val="14"/>
                <w:lang w:eastAsia="es-MX"/>
              </w:rPr>
              <w:t xml:space="preserve"> Elaboración propia con datos publicados del QS ranking Latinoamérica de universidades, 2016-2019.</w:t>
            </w:r>
          </w:p>
          <w:p w14:paraId="0AC15815" w14:textId="22AA3771" w:rsidR="00D533B9" w:rsidRPr="00FC100A" w:rsidRDefault="00D533B9" w:rsidP="00D533B9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  <w:lang w:eastAsia="es-MX"/>
              </w:rPr>
            </w:pPr>
            <w:r w:rsidRPr="0017155C">
              <w:rPr>
                <w:rFonts w:ascii="Calibri" w:eastAsia="Times New Roman" w:hAnsi="Calibri" w:cs="Calibri"/>
                <w:sz w:val="12"/>
                <w:szCs w:val="14"/>
                <w:lang w:eastAsia="es-MX"/>
              </w:rPr>
              <w:t>* Este indicador no existía en esta edición.</w:t>
            </w:r>
          </w:p>
        </w:tc>
      </w:tr>
    </w:tbl>
    <w:p w14:paraId="633B31A6" w14:textId="77777777" w:rsidR="000C24EC" w:rsidRPr="00FC100A" w:rsidRDefault="000C24EC" w:rsidP="007F08E1">
      <w:pPr>
        <w:pStyle w:val="Prrafodelista"/>
        <w:spacing w:after="0" w:line="240" w:lineRule="auto"/>
        <w:rPr>
          <w:sz w:val="20"/>
        </w:rPr>
      </w:pPr>
      <w:bookmarkStart w:id="0" w:name="_GoBack"/>
      <w:bookmarkEnd w:id="0"/>
    </w:p>
    <w:sectPr w:rsidR="000C24EC" w:rsidRPr="00FC100A" w:rsidSect="00CB1770">
      <w:pgSz w:w="12240" w:h="15840"/>
      <w:pgMar w:top="111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E7FD2" w14:textId="77777777" w:rsidR="00E8463A" w:rsidRDefault="00E8463A" w:rsidP="00C41170">
      <w:pPr>
        <w:spacing w:after="0" w:line="240" w:lineRule="auto"/>
      </w:pPr>
      <w:r>
        <w:separator/>
      </w:r>
    </w:p>
  </w:endnote>
  <w:endnote w:type="continuationSeparator" w:id="0">
    <w:p w14:paraId="57E5563F" w14:textId="77777777" w:rsidR="00E8463A" w:rsidRDefault="00E8463A" w:rsidP="00C41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079BD" w14:textId="77777777" w:rsidR="00E8463A" w:rsidRDefault="00E8463A" w:rsidP="00C41170">
      <w:pPr>
        <w:spacing w:after="0" w:line="240" w:lineRule="auto"/>
      </w:pPr>
      <w:r>
        <w:separator/>
      </w:r>
    </w:p>
  </w:footnote>
  <w:footnote w:type="continuationSeparator" w:id="0">
    <w:p w14:paraId="43426C28" w14:textId="77777777" w:rsidR="00E8463A" w:rsidRDefault="00E8463A" w:rsidP="00C41170">
      <w:pPr>
        <w:spacing w:after="0" w:line="240" w:lineRule="auto"/>
      </w:pPr>
      <w:r>
        <w:continuationSeparator/>
      </w:r>
    </w:p>
  </w:footnote>
  <w:footnote w:id="1">
    <w:p w14:paraId="4C34D78F" w14:textId="1D642199" w:rsidR="002D090A" w:rsidRDefault="002D090A" w:rsidP="006445F9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0930C3">
        <w:rPr>
          <w:sz w:val="18"/>
        </w:rPr>
        <w:t>El indicador de “Excelencia” del Ranking Webometrics es el único rubro enfocado a medir el impacto de la investigación. Este indicador es calculado a partir del número de artículos entre el 10% de los más citados en 26 disciplinas durante un periodo de 5 años conforme a los datos de Grupo Scimago.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A38C8"/>
    <w:multiLevelType w:val="hybridMultilevel"/>
    <w:tmpl w:val="CAFA8CDA"/>
    <w:lvl w:ilvl="0" w:tplc="0F3CAC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129DF"/>
    <w:multiLevelType w:val="hybridMultilevel"/>
    <w:tmpl w:val="DD72F91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977F0"/>
    <w:multiLevelType w:val="hybridMultilevel"/>
    <w:tmpl w:val="EB00DBDC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9F7345D"/>
    <w:multiLevelType w:val="hybridMultilevel"/>
    <w:tmpl w:val="13B6953E"/>
    <w:lvl w:ilvl="0" w:tplc="FB9C58B8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sz w:val="24"/>
        <w:szCs w:val="24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FF033E2"/>
    <w:multiLevelType w:val="hybridMultilevel"/>
    <w:tmpl w:val="652019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54369"/>
    <w:multiLevelType w:val="hybridMultilevel"/>
    <w:tmpl w:val="A516CDD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F36934"/>
    <w:multiLevelType w:val="hybridMultilevel"/>
    <w:tmpl w:val="91D89B02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145A29"/>
    <w:multiLevelType w:val="hybridMultilevel"/>
    <w:tmpl w:val="C33EBC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C6690"/>
    <w:multiLevelType w:val="hybridMultilevel"/>
    <w:tmpl w:val="EE2483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F3909"/>
    <w:multiLevelType w:val="hybridMultilevel"/>
    <w:tmpl w:val="EE2483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1715E"/>
    <w:multiLevelType w:val="hybridMultilevel"/>
    <w:tmpl w:val="F1E21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71206"/>
    <w:multiLevelType w:val="hybridMultilevel"/>
    <w:tmpl w:val="36E2E1A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C84BD2"/>
    <w:multiLevelType w:val="hybridMultilevel"/>
    <w:tmpl w:val="DCA075F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A124999"/>
    <w:multiLevelType w:val="hybridMultilevel"/>
    <w:tmpl w:val="1AD0EA76"/>
    <w:lvl w:ilvl="0" w:tplc="3B4AD0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6"/>
  </w:num>
  <w:num w:numId="5">
    <w:abstractNumId w:val="5"/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"/>
  </w:num>
  <w:num w:numId="10">
    <w:abstractNumId w:val="3"/>
  </w:num>
  <w:num w:numId="11">
    <w:abstractNumId w:val="0"/>
  </w:num>
  <w:num w:numId="12">
    <w:abstractNumId w:val="4"/>
  </w:num>
  <w:num w:numId="13">
    <w:abstractNumId w:val="10"/>
  </w:num>
  <w:num w:numId="14">
    <w:abstractNumId w:val="9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87"/>
    <w:rsid w:val="000030C0"/>
    <w:rsid w:val="0000652E"/>
    <w:rsid w:val="00011614"/>
    <w:rsid w:val="00014724"/>
    <w:rsid w:val="00020E31"/>
    <w:rsid w:val="0002187F"/>
    <w:rsid w:val="00026805"/>
    <w:rsid w:val="0003232C"/>
    <w:rsid w:val="00035884"/>
    <w:rsid w:val="0004030C"/>
    <w:rsid w:val="0004712B"/>
    <w:rsid w:val="00055632"/>
    <w:rsid w:val="00061C78"/>
    <w:rsid w:val="00062B9F"/>
    <w:rsid w:val="00063BF8"/>
    <w:rsid w:val="00072ABC"/>
    <w:rsid w:val="00085CA2"/>
    <w:rsid w:val="000930C3"/>
    <w:rsid w:val="00095E29"/>
    <w:rsid w:val="000A31CC"/>
    <w:rsid w:val="000A62C9"/>
    <w:rsid w:val="000B2479"/>
    <w:rsid w:val="000B3CEF"/>
    <w:rsid w:val="000B541A"/>
    <w:rsid w:val="000C24EC"/>
    <w:rsid w:val="000C31EF"/>
    <w:rsid w:val="000C3D13"/>
    <w:rsid w:val="000C6A1B"/>
    <w:rsid w:val="000D0015"/>
    <w:rsid w:val="000D06A3"/>
    <w:rsid w:val="000D5409"/>
    <w:rsid w:val="000D5875"/>
    <w:rsid w:val="000E06F7"/>
    <w:rsid w:val="000E3D1A"/>
    <w:rsid w:val="000E4209"/>
    <w:rsid w:val="000E5282"/>
    <w:rsid w:val="000F3986"/>
    <w:rsid w:val="000F3B73"/>
    <w:rsid w:val="00111BAD"/>
    <w:rsid w:val="00113D12"/>
    <w:rsid w:val="00115A9D"/>
    <w:rsid w:val="001217F8"/>
    <w:rsid w:val="00121ECB"/>
    <w:rsid w:val="001329FA"/>
    <w:rsid w:val="00133440"/>
    <w:rsid w:val="00135B1D"/>
    <w:rsid w:val="00145378"/>
    <w:rsid w:val="001468ED"/>
    <w:rsid w:val="00150486"/>
    <w:rsid w:val="001511A2"/>
    <w:rsid w:val="00162FFD"/>
    <w:rsid w:val="00165E40"/>
    <w:rsid w:val="0017155C"/>
    <w:rsid w:val="0017723B"/>
    <w:rsid w:val="00185865"/>
    <w:rsid w:val="0019282A"/>
    <w:rsid w:val="00193EB9"/>
    <w:rsid w:val="0019631C"/>
    <w:rsid w:val="001A286B"/>
    <w:rsid w:val="001A3875"/>
    <w:rsid w:val="001A6B42"/>
    <w:rsid w:val="001A7734"/>
    <w:rsid w:val="001B70F9"/>
    <w:rsid w:val="001C1B5F"/>
    <w:rsid w:val="001C5CD3"/>
    <w:rsid w:val="001C65BF"/>
    <w:rsid w:val="001C74C7"/>
    <w:rsid w:val="001D0B61"/>
    <w:rsid w:val="001D1F74"/>
    <w:rsid w:val="001D4C47"/>
    <w:rsid w:val="001D5EBD"/>
    <w:rsid w:val="001F1D2C"/>
    <w:rsid w:val="001F34B2"/>
    <w:rsid w:val="001F507B"/>
    <w:rsid w:val="00200345"/>
    <w:rsid w:val="00200691"/>
    <w:rsid w:val="00202ADD"/>
    <w:rsid w:val="00212D61"/>
    <w:rsid w:val="0023309E"/>
    <w:rsid w:val="0023315E"/>
    <w:rsid w:val="00234D0C"/>
    <w:rsid w:val="00245DE0"/>
    <w:rsid w:val="00250246"/>
    <w:rsid w:val="0025102A"/>
    <w:rsid w:val="00257543"/>
    <w:rsid w:val="00260339"/>
    <w:rsid w:val="00263F3E"/>
    <w:rsid w:val="00281678"/>
    <w:rsid w:val="00286835"/>
    <w:rsid w:val="00287D4C"/>
    <w:rsid w:val="00290141"/>
    <w:rsid w:val="00291132"/>
    <w:rsid w:val="002938AF"/>
    <w:rsid w:val="002A1F4A"/>
    <w:rsid w:val="002A7AD8"/>
    <w:rsid w:val="002B25F8"/>
    <w:rsid w:val="002B705F"/>
    <w:rsid w:val="002C2928"/>
    <w:rsid w:val="002D090A"/>
    <w:rsid w:val="002D1CCB"/>
    <w:rsid w:val="002D2258"/>
    <w:rsid w:val="002E342B"/>
    <w:rsid w:val="002E496D"/>
    <w:rsid w:val="002F62AE"/>
    <w:rsid w:val="00301FFD"/>
    <w:rsid w:val="003043A7"/>
    <w:rsid w:val="00306D1A"/>
    <w:rsid w:val="00306D26"/>
    <w:rsid w:val="00312B45"/>
    <w:rsid w:val="00313A7C"/>
    <w:rsid w:val="0031474A"/>
    <w:rsid w:val="003201C2"/>
    <w:rsid w:val="00320A0B"/>
    <w:rsid w:val="00324AC0"/>
    <w:rsid w:val="0032598E"/>
    <w:rsid w:val="00327994"/>
    <w:rsid w:val="0033135B"/>
    <w:rsid w:val="003345DC"/>
    <w:rsid w:val="003347D4"/>
    <w:rsid w:val="00337372"/>
    <w:rsid w:val="00337FE5"/>
    <w:rsid w:val="00344794"/>
    <w:rsid w:val="003549CE"/>
    <w:rsid w:val="00354E9F"/>
    <w:rsid w:val="00362220"/>
    <w:rsid w:val="00364998"/>
    <w:rsid w:val="0036555C"/>
    <w:rsid w:val="00367218"/>
    <w:rsid w:val="00370262"/>
    <w:rsid w:val="003805B5"/>
    <w:rsid w:val="00392FEF"/>
    <w:rsid w:val="003969B6"/>
    <w:rsid w:val="00396EA9"/>
    <w:rsid w:val="00397F1A"/>
    <w:rsid w:val="003A0899"/>
    <w:rsid w:val="003A7B7B"/>
    <w:rsid w:val="003B185E"/>
    <w:rsid w:val="003B2D5D"/>
    <w:rsid w:val="003B42BE"/>
    <w:rsid w:val="003B74C3"/>
    <w:rsid w:val="003C078B"/>
    <w:rsid w:val="003C102E"/>
    <w:rsid w:val="003C1B18"/>
    <w:rsid w:val="003C71DE"/>
    <w:rsid w:val="003E16DB"/>
    <w:rsid w:val="003E1861"/>
    <w:rsid w:val="003E2616"/>
    <w:rsid w:val="003E3CE4"/>
    <w:rsid w:val="003E470C"/>
    <w:rsid w:val="003F23B1"/>
    <w:rsid w:val="003F49B2"/>
    <w:rsid w:val="003F4E52"/>
    <w:rsid w:val="003F525C"/>
    <w:rsid w:val="003F6DF0"/>
    <w:rsid w:val="003F7797"/>
    <w:rsid w:val="00400C3E"/>
    <w:rsid w:val="004012BB"/>
    <w:rsid w:val="004052AE"/>
    <w:rsid w:val="00405DF0"/>
    <w:rsid w:val="00406263"/>
    <w:rsid w:val="00407940"/>
    <w:rsid w:val="00415337"/>
    <w:rsid w:val="00421F27"/>
    <w:rsid w:val="00425547"/>
    <w:rsid w:val="00427088"/>
    <w:rsid w:val="00431299"/>
    <w:rsid w:val="004333C9"/>
    <w:rsid w:val="00436361"/>
    <w:rsid w:val="00440ED4"/>
    <w:rsid w:val="004428C5"/>
    <w:rsid w:val="00442B1B"/>
    <w:rsid w:val="00450CB1"/>
    <w:rsid w:val="0045138C"/>
    <w:rsid w:val="0045419E"/>
    <w:rsid w:val="00464CE0"/>
    <w:rsid w:val="00470000"/>
    <w:rsid w:val="00470121"/>
    <w:rsid w:val="0047047E"/>
    <w:rsid w:val="00471AC7"/>
    <w:rsid w:val="00472C94"/>
    <w:rsid w:val="00473561"/>
    <w:rsid w:val="00477856"/>
    <w:rsid w:val="00483093"/>
    <w:rsid w:val="00491118"/>
    <w:rsid w:val="00493403"/>
    <w:rsid w:val="004A0BCC"/>
    <w:rsid w:val="004A5CDA"/>
    <w:rsid w:val="004A79F2"/>
    <w:rsid w:val="004B0FCB"/>
    <w:rsid w:val="004B11C6"/>
    <w:rsid w:val="004B1ED5"/>
    <w:rsid w:val="004B4A0F"/>
    <w:rsid w:val="004C2A69"/>
    <w:rsid w:val="004C4F5D"/>
    <w:rsid w:val="004C5FAD"/>
    <w:rsid w:val="004C7A6A"/>
    <w:rsid w:val="004D1553"/>
    <w:rsid w:val="004D66E3"/>
    <w:rsid w:val="004D7EF7"/>
    <w:rsid w:val="004E0C72"/>
    <w:rsid w:val="004E45FF"/>
    <w:rsid w:val="004E47A3"/>
    <w:rsid w:val="004F1B6E"/>
    <w:rsid w:val="004F61D3"/>
    <w:rsid w:val="004F6D81"/>
    <w:rsid w:val="004F71C0"/>
    <w:rsid w:val="005001B4"/>
    <w:rsid w:val="00501E62"/>
    <w:rsid w:val="00503BA2"/>
    <w:rsid w:val="0050401D"/>
    <w:rsid w:val="00504243"/>
    <w:rsid w:val="005061FB"/>
    <w:rsid w:val="00513426"/>
    <w:rsid w:val="0051539C"/>
    <w:rsid w:val="00516B87"/>
    <w:rsid w:val="0052065E"/>
    <w:rsid w:val="00525C28"/>
    <w:rsid w:val="005427A3"/>
    <w:rsid w:val="0054305B"/>
    <w:rsid w:val="0054331B"/>
    <w:rsid w:val="00555157"/>
    <w:rsid w:val="00560738"/>
    <w:rsid w:val="00561292"/>
    <w:rsid w:val="005612C8"/>
    <w:rsid w:val="00565CFB"/>
    <w:rsid w:val="00573E61"/>
    <w:rsid w:val="00575789"/>
    <w:rsid w:val="00577CEB"/>
    <w:rsid w:val="00581873"/>
    <w:rsid w:val="00596822"/>
    <w:rsid w:val="005A0D1F"/>
    <w:rsid w:val="005A4AEB"/>
    <w:rsid w:val="005A663A"/>
    <w:rsid w:val="005A6FC1"/>
    <w:rsid w:val="005B1ECF"/>
    <w:rsid w:val="005B79EA"/>
    <w:rsid w:val="005C1662"/>
    <w:rsid w:val="005C563E"/>
    <w:rsid w:val="005C66F9"/>
    <w:rsid w:val="005D07B4"/>
    <w:rsid w:val="005E02C6"/>
    <w:rsid w:val="005E49CA"/>
    <w:rsid w:val="0060365B"/>
    <w:rsid w:val="0060553F"/>
    <w:rsid w:val="0060680E"/>
    <w:rsid w:val="0062254D"/>
    <w:rsid w:val="0062413E"/>
    <w:rsid w:val="006303B1"/>
    <w:rsid w:val="006318D8"/>
    <w:rsid w:val="00632189"/>
    <w:rsid w:val="006355D9"/>
    <w:rsid w:val="00641B6F"/>
    <w:rsid w:val="006445F9"/>
    <w:rsid w:val="0065009C"/>
    <w:rsid w:val="00651F04"/>
    <w:rsid w:val="00652FD6"/>
    <w:rsid w:val="00654A3F"/>
    <w:rsid w:val="00662201"/>
    <w:rsid w:val="00667AE4"/>
    <w:rsid w:val="00670550"/>
    <w:rsid w:val="006736A3"/>
    <w:rsid w:val="0067403C"/>
    <w:rsid w:val="00675AA8"/>
    <w:rsid w:val="00676787"/>
    <w:rsid w:val="006A21AB"/>
    <w:rsid w:val="006A60F4"/>
    <w:rsid w:val="006B05EF"/>
    <w:rsid w:val="006B21BB"/>
    <w:rsid w:val="006B3FF3"/>
    <w:rsid w:val="006C06E9"/>
    <w:rsid w:val="006C15EC"/>
    <w:rsid w:val="006C7BE7"/>
    <w:rsid w:val="006D051D"/>
    <w:rsid w:val="006D0ABB"/>
    <w:rsid w:val="006D617A"/>
    <w:rsid w:val="006E52EA"/>
    <w:rsid w:val="006F279A"/>
    <w:rsid w:val="006F4917"/>
    <w:rsid w:val="007018B4"/>
    <w:rsid w:val="00722D0E"/>
    <w:rsid w:val="00724EFA"/>
    <w:rsid w:val="00734379"/>
    <w:rsid w:val="00744819"/>
    <w:rsid w:val="00744964"/>
    <w:rsid w:val="00754BE1"/>
    <w:rsid w:val="00760949"/>
    <w:rsid w:val="007609BC"/>
    <w:rsid w:val="00762B6E"/>
    <w:rsid w:val="00767EFC"/>
    <w:rsid w:val="00770185"/>
    <w:rsid w:val="00774187"/>
    <w:rsid w:val="00776C1B"/>
    <w:rsid w:val="00785E55"/>
    <w:rsid w:val="00790351"/>
    <w:rsid w:val="0079092E"/>
    <w:rsid w:val="0079176B"/>
    <w:rsid w:val="00795016"/>
    <w:rsid w:val="00796B30"/>
    <w:rsid w:val="007A309D"/>
    <w:rsid w:val="007B2B33"/>
    <w:rsid w:val="007B452F"/>
    <w:rsid w:val="007B4D15"/>
    <w:rsid w:val="007B5DBB"/>
    <w:rsid w:val="007D0730"/>
    <w:rsid w:val="007D1993"/>
    <w:rsid w:val="007D5D89"/>
    <w:rsid w:val="007E580C"/>
    <w:rsid w:val="007F08E1"/>
    <w:rsid w:val="007F3955"/>
    <w:rsid w:val="007F72AE"/>
    <w:rsid w:val="007F746F"/>
    <w:rsid w:val="008005A1"/>
    <w:rsid w:val="0080125E"/>
    <w:rsid w:val="00804CF9"/>
    <w:rsid w:val="0080512B"/>
    <w:rsid w:val="008103F8"/>
    <w:rsid w:val="00810B69"/>
    <w:rsid w:val="00813422"/>
    <w:rsid w:val="00826C09"/>
    <w:rsid w:val="00835B0A"/>
    <w:rsid w:val="0083640D"/>
    <w:rsid w:val="0083745C"/>
    <w:rsid w:val="00847AF9"/>
    <w:rsid w:val="0085352B"/>
    <w:rsid w:val="00856E6B"/>
    <w:rsid w:val="008626E8"/>
    <w:rsid w:val="0086322B"/>
    <w:rsid w:val="008704FC"/>
    <w:rsid w:val="008745B6"/>
    <w:rsid w:val="00875C5A"/>
    <w:rsid w:val="00876A66"/>
    <w:rsid w:val="008854CD"/>
    <w:rsid w:val="008866FB"/>
    <w:rsid w:val="00894FE3"/>
    <w:rsid w:val="00897100"/>
    <w:rsid w:val="008B3929"/>
    <w:rsid w:val="008B6B90"/>
    <w:rsid w:val="008B70DB"/>
    <w:rsid w:val="008C176E"/>
    <w:rsid w:val="008C4623"/>
    <w:rsid w:val="008C7015"/>
    <w:rsid w:val="008F2D1A"/>
    <w:rsid w:val="00903EBE"/>
    <w:rsid w:val="0090653A"/>
    <w:rsid w:val="009066FE"/>
    <w:rsid w:val="00910E42"/>
    <w:rsid w:val="0091324E"/>
    <w:rsid w:val="0092070D"/>
    <w:rsid w:val="0092330B"/>
    <w:rsid w:val="009265F9"/>
    <w:rsid w:val="009267D3"/>
    <w:rsid w:val="00927179"/>
    <w:rsid w:val="00932183"/>
    <w:rsid w:val="00932412"/>
    <w:rsid w:val="00945346"/>
    <w:rsid w:val="00947A6A"/>
    <w:rsid w:val="00947DCF"/>
    <w:rsid w:val="00950D2D"/>
    <w:rsid w:val="009511D0"/>
    <w:rsid w:val="00954CDE"/>
    <w:rsid w:val="00955161"/>
    <w:rsid w:val="0096160B"/>
    <w:rsid w:val="009636DB"/>
    <w:rsid w:val="0097047B"/>
    <w:rsid w:val="0097677E"/>
    <w:rsid w:val="0097714D"/>
    <w:rsid w:val="0097768D"/>
    <w:rsid w:val="009808C3"/>
    <w:rsid w:val="00981BE7"/>
    <w:rsid w:val="00981CD5"/>
    <w:rsid w:val="009846E4"/>
    <w:rsid w:val="009857C4"/>
    <w:rsid w:val="009862C8"/>
    <w:rsid w:val="00987969"/>
    <w:rsid w:val="0099194A"/>
    <w:rsid w:val="00995A41"/>
    <w:rsid w:val="009B3B74"/>
    <w:rsid w:val="009B4626"/>
    <w:rsid w:val="009B7E5A"/>
    <w:rsid w:val="009C1E0E"/>
    <w:rsid w:val="009C76AE"/>
    <w:rsid w:val="009D015F"/>
    <w:rsid w:val="009D0F5E"/>
    <w:rsid w:val="009D416B"/>
    <w:rsid w:val="009F4A57"/>
    <w:rsid w:val="009F525B"/>
    <w:rsid w:val="00A1198C"/>
    <w:rsid w:val="00A14F9E"/>
    <w:rsid w:val="00A24DD6"/>
    <w:rsid w:val="00A301BB"/>
    <w:rsid w:val="00A320B9"/>
    <w:rsid w:val="00A378D5"/>
    <w:rsid w:val="00A41A11"/>
    <w:rsid w:val="00A44795"/>
    <w:rsid w:val="00A455D0"/>
    <w:rsid w:val="00A5000B"/>
    <w:rsid w:val="00A52257"/>
    <w:rsid w:val="00A56FEF"/>
    <w:rsid w:val="00A5715F"/>
    <w:rsid w:val="00A63125"/>
    <w:rsid w:val="00A66A80"/>
    <w:rsid w:val="00A7189F"/>
    <w:rsid w:val="00A71A4C"/>
    <w:rsid w:val="00A8312D"/>
    <w:rsid w:val="00A952B2"/>
    <w:rsid w:val="00A95E4B"/>
    <w:rsid w:val="00AA1552"/>
    <w:rsid w:val="00AA3C84"/>
    <w:rsid w:val="00AA3DCE"/>
    <w:rsid w:val="00AA71FB"/>
    <w:rsid w:val="00AB0508"/>
    <w:rsid w:val="00AB1258"/>
    <w:rsid w:val="00AB5481"/>
    <w:rsid w:val="00AB7217"/>
    <w:rsid w:val="00AC3FEF"/>
    <w:rsid w:val="00AC55CD"/>
    <w:rsid w:val="00AC6036"/>
    <w:rsid w:val="00AE45D1"/>
    <w:rsid w:val="00AE5228"/>
    <w:rsid w:val="00AE5856"/>
    <w:rsid w:val="00AE7143"/>
    <w:rsid w:val="00AF050E"/>
    <w:rsid w:val="00AF10A3"/>
    <w:rsid w:val="00AF1313"/>
    <w:rsid w:val="00AF3EB1"/>
    <w:rsid w:val="00AF6E41"/>
    <w:rsid w:val="00AF7885"/>
    <w:rsid w:val="00B00D95"/>
    <w:rsid w:val="00B016CB"/>
    <w:rsid w:val="00B03CA8"/>
    <w:rsid w:val="00B1058D"/>
    <w:rsid w:val="00B1317D"/>
    <w:rsid w:val="00B167FE"/>
    <w:rsid w:val="00B17EEF"/>
    <w:rsid w:val="00B21449"/>
    <w:rsid w:val="00B25A80"/>
    <w:rsid w:val="00B2718E"/>
    <w:rsid w:val="00B33DF2"/>
    <w:rsid w:val="00B35DF6"/>
    <w:rsid w:val="00B36FBB"/>
    <w:rsid w:val="00B42CB1"/>
    <w:rsid w:val="00B460BD"/>
    <w:rsid w:val="00B54EDF"/>
    <w:rsid w:val="00B57999"/>
    <w:rsid w:val="00B60353"/>
    <w:rsid w:val="00B74898"/>
    <w:rsid w:val="00B800FC"/>
    <w:rsid w:val="00B80F2A"/>
    <w:rsid w:val="00B9196F"/>
    <w:rsid w:val="00B92799"/>
    <w:rsid w:val="00BA483A"/>
    <w:rsid w:val="00BA65A1"/>
    <w:rsid w:val="00BB1ED0"/>
    <w:rsid w:val="00BB33B5"/>
    <w:rsid w:val="00BB3985"/>
    <w:rsid w:val="00BC3EFE"/>
    <w:rsid w:val="00BC4065"/>
    <w:rsid w:val="00BC49A1"/>
    <w:rsid w:val="00BC5A1E"/>
    <w:rsid w:val="00BC64E4"/>
    <w:rsid w:val="00BD1485"/>
    <w:rsid w:val="00BE3461"/>
    <w:rsid w:val="00BE3F9E"/>
    <w:rsid w:val="00BE7F7A"/>
    <w:rsid w:val="00BF1FF9"/>
    <w:rsid w:val="00BF4156"/>
    <w:rsid w:val="00BF77DE"/>
    <w:rsid w:val="00C019D1"/>
    <w:rsid w:val="00C0735B"/>
    <w:rsid w:val="00C1696D"/>
    <w:rsid w:val="00C34789"/>
    <w:rsid w:val="00C41170"/>
    <w:rsid w:val="00C45D7A"/>
    <w:rsid w:val="00C45E2B"/>
    <w:rsid w:val="00C46B82"/>
    <w:rsid w:val="00C51390"/>
    <w:rsid w:val="00C53381"/>
    <w:rsid w:val="00C568D8"/>
    <w:rsid w:val="00C625AC"/>
    <w:rsid w:val="00C67398"/>
    <w:rsid w:val="00C73ED8"/>
    <w:rsid w:val="00C74F61"/>
    <w:rsid w:val="00C77DE7"/>
    <w:rsid w:val="00C856B6"/>
    <w:rsid w:val="00C96CAA"/>
    <w:rsid w:val="00CA0B0D"/>
    <w:rsid w:val="00CA7F40"/>
    <w:rsid w:val="00CB0130"/>
    <w:rsid w:val="00CB0B67"/>
    <w:rsid w:val="00CB1770"/>
    <w:rsid w:val="00CB7710"/>
    <w:rsid w:val="00CC4A69"/>
    <w:rsid w:val="00CC705F"/>
    <w:rsid w:val="00CD482D"/>
    <w:rsid w:val="00CE1B0F"/>
    <w:rsid w:val="00CE644D"/>
    <w:rsid w:val="00CF01EA"/>
    <w:rsid w:val="00CF49CA"/>
    <w:rsid w:val="00CF5D11"/>
    <w:rsid w:val="00D0231C"/>
    <w:rsid w:val="00D069A4"/>
    <w:rsid w:val="00D075ED"/>
    <w:rsid w:val="00D110B7"/>
    <w:rsid w:val="00D12605"/>
    <w:rsid w:val="00D246B5"/>
    <w:rsid w:val="00D333FD"/>
    <w:rsid w:val="00D40232"/>
    <w:rsid w:val="00D44972"/>
    <w:rsid w:val="00D533B9"/>
    <w:rsid w:val="00D55C1E"/>
    <w:rsid w:val="00D62EBB"/>
    <w:rsid w:val="00D6394B"/>
    <w:rsid w:val="00D70652"/>
    <w:rsid w:val="00D71753"/>
    <w:rsid w:val="00D738CF"/>
    <w:rsid w:val="00D73E97"/>
    <w:rsid w:val="00D7465F"/>
    <w:rsid w:val="00D76DF8"/>
    <w:rsid w:val="00D80651"/>
    <w:rsid w:val="00D83316"/>
    <w:rsid w:val="00D83C43"/>
    <w:rsid w:val="00D8424B"/>
    <w:rsid w:val="00D91A4F"/>
    <w:rsid w:val="00D92256"/>
    <w:rsid w:val="00DA21C8"/>
    <w:rsid w:val="00DA70FB"/>
    <w:rsid w:val="00DB477B"/>
    <w:rsid w:val="00DB7B91"/>
    <w:rsid w:val="00DC4030"/>
    <w:rsid w:val="00DF1EAA"/>
    <w:rsid w:val="00DF38E0"/>
    <w:rsid w:val="00E16DB1"/>
    <w:rsid w:val="00E2676F"/>
    <w:rsid w:val="00E32BF9"/>
    <w:rsid w:val="00E4612D"/>
    <w:rsid w:val="00E46B8C"/>
    <w:rsid w:val="00E47F95"/>
    <w:rsid w:val="00E64262"/>
    <w:rsid w:val="00E67EA9"/>
    <w:rsid w:val="00E70EAA"/>
    <w:rsid w:val="00E75DE8"/>
    <w:rsid w:val="00E7695E"/>
    <w:rsid w:val="00E84175"/>
    <w:rsid w:val="00E8463A"/>
    <w:rsid w:val="00E879DC"/>
    <w:rsid w:val="00E879FB"/>
    <w:rsid w:val="00E93619"/>
    <w:rsid w:val="00E93F34"/>
    <w:rsid w:val="00E96D6C"/>
    <w:rsid w:val="00E97A19"/>
    <w:rsid w:val="00EA55D2"/>
    <w:rsid w:val="00EB23F8"/>
    <w:rsid w:val="00EB282F"/>
    <w:rsid w:val="00EC492E"/>
    <w:rsid w:val="00EC7F43"/>
    <w:rsid w:val="00EE2F6D"/>
    <w:rsid w:val="00EF26AC"/>
    <w:rsid w:val="00EF2EDE"/>
    <w:rsid w:val="00EF4296"/>
    <w:rsid w:val="00EF4BA5"/>
    <w:rsid w:val="00EF4D43"/>
    <w:rsid w:val="00F00441"/>
    <w:rsid w:val="00F0100C"/>
    <w:rsid w:val="00F066F1"/>
    <w:rsid w:val="00F07F38"/>
    <w:rsid w:val="00F10CBD"/>
    <w:rsid w:val="00F1496E"/>
    <w:rsid w:val="00F22953"/>
    <w:rsid w:val="00F23B8F"/>
    <w:rsid w:val="00F30D00"/>
    <w:rsid w:val="00F3118C"/>
    <w:rsid w:val="00F32C2B"/>
    <w:rsid w:val="00F4398E"/>
    <w:rsid w:val="00F505AC"/>
    <w:rsid w:val="00F50CF2"/>
    <w:rsid w:val="00F51F5D"/>
    <w:rsid w:val="00F53886"/>
    <w:rsid w:val="00F55B98"/>
    <w:rsid w:val="00F65136"/>
    <w:rsid w:val="00F66F2B"/>
    <w:rsid w:val="00F6783A"/>
    <w:rsid w:val="00F76BE7"/>
    <w:rsid w:val="00F81F73"/>
    <w:rsid w:val="00F83FDD"/>
    <w:rsid w:val="00F84119"/>
    <w:rsid w:val="00F86566"/>
    <w:rsid w:val="00F944CC"/>
    <w:rsid w:val="00FB0D84"/>
    <w:rsid w:val="00FB4024"/>
    <w:rsid w:val="00FC100A"/>
    <w:rsid w:val="00FC17E2"/>
    <w:rsid w:val="00FC2854"/>
    <w:rsid w:val="00FC29B4"/>
    <w:rsid w:val="00FC5858"/>
    <w:rsid w:val="00FC6A62"/>
    <w:rsid w:val="00FC7CC1"/>
    <w:rsid w:val="00FD273F"/>
    <w:rsid w:val="00FD3B62"/>
    <w:rsid w:val="00FE4B30"/>
    <w:rsid w:val="00FE62EE"/>
    <w:rsid w:val="00FE687A"/>
    <w:rsid w:val="00FF06D9"/>
    <w:rsid w:val="00FF0EE1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8E8D8"/>
  <w15:chartTrackingRefBased/>
  <w15:docId w15:val="{789BB052-50DA-4040-B891-175017D3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398E"/>
    <w:pPr>
      <w:ind w:left="720"/>
      <w:contextualSpacing/>
    </w:pPr>
  </w:style>
  <w:style w:type="table" w:styleId="Tablaconcuadrcula">
    <w:name w:val="Table Grid"/>
    <w:basedOn w:val="Tablanormal"/>
    <w:uiPriority w:val="39"/>
    <w:rsid w:val="00E9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00691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B3C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3C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3C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3C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3CE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3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3CEF"/>
    <w:rPr>
      <w:rFonts w:ascii="Segoe UI" w:hAnsi="Segoe UI" w:cs="Segoe UI"/>
      <w:sz w:val="18"/>
      <w:szCs w:val="18"/>
    </w:rPr>
  </w:style>
  <w:style w:type="table" w:styleId="Tabladecuadrcula4-nfasis5">
    <w:name w:val="Grid Table 4 Accent 5"/>
    <w:basedOn w:val="Tablanormal"/>
    <w:uiPriority w:val="49"/>
    <w:rsid w:val="00E16D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C4117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4117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4117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B17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1770"/>
  </w:style>
  <w:style w:type="paragraph" w:styleId="Piedepgina">
    <w:name w:val="footer"/>
    <w:basedOn w:val="Normal"/>
    <w:link w:val="PiedepginaCar"/>
    <w:uiPriority w:val="99"/>
    <w:unhideWhenUsed/>
    <w:rsid w:val="00CB17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1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5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1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0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2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1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ropbox\DGEI%20-%20UNAM\Reportes%20Rankings\Estadisticas\QSLatinamerica2020_231020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ropbox\DGEI%20-%20UNAM\Reportes%20Rankings\Estadisticas\QSLatinamerica2020_23102019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</c:dPt>
          <c:dPt>
            <c:idx val="4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</c:dPt>
          <c:dPt>
            <c:idx val="6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</c:dPt>
          <c:dPt>
            <c:idx val="7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</c:dPt>
          <c:dPt>
            <c:idx val="8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</c:dPt>
          <c:dPt>
            <c:idx val="9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10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</c:dPt>
          <c:dPt>
            <c:idx val="11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</c:dPt>
          <c:dPt>
            <c:idx val="1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</c:dPt>
          <c:dPt>
            <c:idx val="13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</c:dPt>
          <c:dPt>
            <c:idx val="14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16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</c:dPt>
          <c:dPt>
            <c:idx val="17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</c:dPt>
          <c:dPt>
            <c:idx val="19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Paises!$A$1:$A$20</c:f>
              <c:strCache>
                <c:ptCount val="20"/>
                <c:pt idx="0">
                  <c:v>Brasil</c:v>
                </c:pt>
                <c:pt idx="1">
                  <c:v>México</c:v>
                </c:pt>
                <c:pt idx="2">
                  <c:v>Colombia</c:v>
                </c:pt>
                <c:pt idx="3">
                  <c:v>Argentina</c:v>
                </c:pt>
                <c:pt idx="4">
                  <c:v>Chile</c:v>
                </c:pt>
                <c:pt idx="5">
                  <c:v>Perú</c:v>
                </c:pt>
                <c:pt idx="6">
                  <c:v>Ecuador</c:v>
                </c:pt>
                <c:pt idx="7">
                  <c:v>Venezuela</c:v>
                </c:pt>
                <c:pt idx="8">
                  <c:v>Rep. Dominicana </c:v>
                </c:pt>
                <c:pt idx="9">
                  <c:v>Cuba</c:v>
                </c:pt>
                <c:pt idx="10">
                  <c:v>Panamá</c:v>
                </c:pt>
                <c:pt idx="11">
                  <c:v>Costa Rica</c:v>
                </c:pt>
                <c:pt idx="12">
                  <c:v>El Salvador</c:v>
                </c:pt>
                <c:pt idx="13">
                  <c:v>Paraguay</c:v>
                </c:pt>
                <c:pt idx="14">
                  <c:v>Bolivia</c:v>
                </c:pt>
                <c:pt idx="15">
                  <c:v>Puerto Rico</c:v>
                </c:pt>
                <c:pt idx="16">
                  <c:v>Uruguay</c:v>
                </c:pt>
                <c:pt idx="17">
                  <c:v>Guatemala</c:v>
                </c:pt>
                <c:pt idx="18">
                  <c:v>Nicaragua</c:v>
                </c:pt>
                <c:pt idx="19">
                  <c:v>Honduras</c:v>
                </c:pt>
              </c:strCache>
            </c:strRef>
          </c:cat>
          <c:val>
            <c:numRef>
              <c:f>Paises!$B$1:$B$20</c:f>
              <c:numCache>
                <c:formatCode>General</c:formatCode>
                <c:ptCount val="20"/>
                <c:pt idx="0">
                  <c:v>94</c:v>
                </c:pt>
                <c:pt idx="1">
                  <c:v>59</c:v>
                </c:pt>
                <c:pt idx="2">
                  <c:v>57</c:v>
                </c:pt>
                <c:pt idx="3">
                  <c:v>43</c:v>
                </c:pt>
                <c:pt idx="4">
                  <c:v>40</c:v>
                </c:pt>
                <c:pt idx="5">
                  <c:v>20</c:v>
                </c:pt>
                <c:pt idx="6">
                  <c:v>15</c:v>
                </c:pt>
                <c:pt idx="7">
                  <c:v>9</c:v>
                </c:pt>
                <c:pt idx="8">
                  <c:v>9</c:v>
                </c:pt>
                <c:pt idx="9">
                  <c:v>7</c:v>
                </c:pt>
                <c:pt idx="10">
                  <c:v>7</c:v>
                </c:pt>
                <c:pt idx="11">
                  <c:v>6</c:v>
                </c:pt>
                <c:pt idx="12">
                  <c:v>6</c:v>
                </c:pt>
                <c:pt idx="13">
                  <c:v>5</c:v>
                </c:pt>
                <c:pt idx="14">
                  <c:v>5</c:v>
                </c:pt>
                <c:pt idx="15">
                  <c:v>4</c:v>
                </c:pt>
                <c:pt idx="16">
                  <c:v>4</c:v>
                </c:pt>
                <c:pt idx="17">
                  <c:v>4</c:v>
                </c:pt>
                <c:pt idx="18">
                  <c:v>3</c:v>
                </c:pt>
                <c:pt idx="19">
                  <c:v>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84999944"/>
        <c:axId val="484996416"/>
      </c:barChart>
      <c:catAx>
        <c:axId val="484999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84996416"/>
        <c:crosses val="autoZero"/>
        <c:auto val="1"/>
        <c:lblAlgn val="ctr"/>
        <c:lblOffset val="100"/>
        <c:noMultiLvlLbl val="0"/>
      </c:catAx>
      <c:valAx>
        <c:axId val="484996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84999944"/>
        <c:crosses val="autoZero"/>
        <c:crossBetween val="between"/>
        <c:majorUnit val="2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ysClr val="windowText" lastClr="000000"/>
          </a:solidFill>
        </a:defRPr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'UNAM-ITESM'!$J$9</c:f>
              <c:strCache>
                <c:ptCount val="1"/>
                <c:pt idx="0">
                  <c:v>UNAM</c:v>
                </c:pt>
              </c:strCache>
            </c:strRef>
          </c:tx>
          <c:spPr>
            <a:ln w="19050" cap="rnd" cmpd="sng" algn="ctr">
              <a:solidFill>
                <a:schemeClr val="accent1">
                  <a:shade val="95000"/>
                  <a:satMod val="105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'UNAM-ITESM'!$O$8:$S$8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'UNAM-ITESM'!$O$9:$S$9</c:f>
              <c:numCache>
                <c:formatCode>General</c:formatCode>
                <c:ptCount val="5"/>
                <c:pt idx="0">
                  <c:v>6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'UNAM-ITESM'!$J$10</c:f>
              <c:strCache>
                <c:ptCount val="1"/>
                <c:pt idx="0">
                  <c:v>ITESM</c:v>
                </c:pt>
              </c:strCache>
            </c:strRef>
          </c:tx>
          <c:spPr>
            <a:ln w="19050" cap="rnd" cmpd="sng" algn="ctr">
              <a:solidFill>
                <a:schemeClr val="accent2">
                  <a:shade val="95000"/>
                  <a:satMod val="105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2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'UNAM-ITESM'!$O$8:$S$8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'UNAM-ITESM'!$O$10:$S$10</c:f>
              <c:numCache>
                <c:formatCode>General</c:formatCode>
                <c:ptCount val="5"/>
                <c:pt idx="0">
                  <c:v>9</c:v>
                </c:pt>
                <c:pt idx="1">
                  <c:v>7</c:v>
                </c:pt>
                <c:pt idx="2">
                  <c:v>5</c:v>
                </c:pt>
                <c:pt idx="3">
                  <c:v>6</c:v>
                </c:pt>
                <c:pt idx="4">
                  <c:v>3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84998376"/>
        <c:axId val="484999552"/>
      </c:lineChart>
      <c:catAx>
        <c:axId val="484998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84999552"/>
        <c:crosses val="max"/>
        <c:auto val="1"/>
        <c:lblAlgn val="ctr"/>
        <c:lblOffset val="100"/>
        <c:noMultiLvlLbl val="0"/>
      </c:catAx>
      <c:valAx>
        <c:axId val="484999552"/>
        <c:scaling>
          <c:orientation val="maxMin"/>
        </c:scaling>
        <c:delete val="1"/>
        <c:axPos val="l"/>
        <c:numFmt formatCode="General" sourceLinked="1"/>
        <c:majorTickMark val="none"/>
        <c:minorTickMark val="none"/>
        <c:tickLblPos val="nextTo"/>
        <c:crossAx val="484998376"/>
        <c:crosses val="autoZero"/>
        <c:crossBetween val="between"/>
        <c:majorUnit val="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3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cs:styleClr val="auto"/>
    </cs:fontRef>
    <cs:spPr/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 w="9575">
        <a:solidFill>
          <a:schemeClr val="lt1">
            <a:lumMod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19050" cap="rnd" cmpd="sng" algn="ctr">
        <a:solidFill>
          <a:schemeClr val="phClr">
            <a:shade val="95000"/>
            <a:satMod val="105000"/>
          </a:schemeClr>
        </a:solidFill>
        <a:round/>
      </a:ln>
    </cs:spPr>
  </cs:dataPointLine>
  <cs:dataPointMarker>
    <cs:lnRef idx="0"/>
    <cs:fillRef idx="0"/>
    <cs:effectRef idx="0"/>
    <cs:fontRef idx="minor">
      <a:schemeClr val="dk1"/>
    </cs:fontRef>
    <cs:spPr>
      <a:solidFill>
        <a:schemeClr val="lt1"/>
      </a:solidFill>
    </cs:spPr>
  </cs:dataPointMarker>
  <cs:dataPointMarkerLayout symbol="circle" size="17"/>
  <cs:dataPointWireframe>
    <cs:lnRef idx="0">
      <cs:styleClr val="auto"/>
    </cs:lnRef>
    <cs:fillRef idx="1"/>
    <cs:effectRef idx="0"/>
    <cs:fontRef idx="minor">
      <a:schemeClr val="dk1"/>
    </cs:fontRef>
    <cs:spPr>
      <a:ln w="9525">
        <a:solidFill>
          <a:schemeClr val="phClr"/>
        </a:solidFill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dk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seriesLine>
  <cs:title>
    <cs:lnRef idx="0"/>
    <cs:fillRef idx="0"/>
    <cs:effectRef idx="0"/>
    <cs:fontRef idx="minor">
      <a:schemeClr val="dk1"/>
    </cs:fontRef>
    <cs:defRPr sz="1440" b="0" kern="1200" cap="all" spc="0" baseline="0">
      <a:gradFill>
        <a:gsLst>
          <a:gs pos="0">
            <a:schemeClr val="dk1">
              <a:lumMod val="50000"/>
              <a:lumOff val="50000"/>
            </a:schemeClr>
          </a:gs>
          <a:gs pos="100000">
            <a:schemeClr val="dk1">
              <a:lumMod val="85000"/>
              <a:lumOff val="15000"/>
            </a:schemeClr>
          </a:gs>
        </a:gsLst>
        <a:lin ang="5400000" scaled="0"/>
      </a:gradFill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CDCE0-EBF2-4655-8149-484155CEA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3467</Words>
  <Characters>19072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DGEI Sala de juntas</dc:creator>
  <cp:keywords/>
  <dc:description/>
  <cp:lastModifiedBy>admin</cp:lastModifiedBy>
  <cp:revision>82</cp:revision>
  <cp:lastPrinted>2019-10-23T21:07:00Z</cp:lastPrinted>
  <dcterms:created xsi:type="dcterms:W3CDTF">2018-10-25T14:55:00Z</dcterms:created>
  <dcterms:modified xsi:type="dcterms:W3CDTF">2019-10-25T18:34:00Z</dcterms:modified>
</cp:coreProperties>
</file>