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D5EB3" w14:textId="77777777" w:rsidR="001511A2" w:rsidRPr="008C72D8" w:rsidRDefault="001511A2" w:rsidP="0078703F">
      <w:pPr>
        <w:spacing w:line="240" w:lineRule="auto"/>
        <w:jc w:val="center"/>
        <w:rPr>
          <w:b/>
          <w:sz w:val="24"/>
        </w:rPr>
      </w:pPr>
      <w:r w:rsidRPr="008C72D8">
        <w:rPr>
          <w:b/>
          <w:sz w:val="24"/>
        </w:rPr>
        <w:t>Dirección General de Evaluación Institucional</w:t>
      </w:r>
    </w:p>
    <w:p w14:paraId="6A06AB9A" w14:textId="7494F51A" w:rsidR="001511A2" w:rsidRPr="008C72D8" w:rsidRDefault="001511A2" w:rsidP="0078703F">
      <w:pPr>
        <w:spacing w:line="240" w:lineRule="auto"/>
        <w:jc w:val="center"/>
        <w:rPr>
          <w:b/>
          <w:sz w:val="24"/>
        </w:rPr>
      </w:pPr>
      <w:r w:rsidRPr="008C72D8">
        <w:rPr>
          <w:b/>
          <w:sz w:val="24"/>
        </w:rPr>
        <w:t xml:space="preserve">Ciudad Universitaria, DF a </w:t>
      </w:r>
      <w:r w:rsidR="00D25B6A" w:rsidRPr="008C72D8">
        <w:rPr>
          <w:b/>
          <w:sz w:val="24"/>
        </w:rPr>
        <w:t>20</w:t>
      </w:r>
      <w:r w:rsidRPr="008C72D8">
        <w:rPr>
          <w:b/>
          <w:sz w:val="24"/>
        </w:rPr>
        <w:t xml:space="preserve"> de </w:t>
      </w:r>
      <w:r w:rsidR="00160CA2" w:rsidRPr="008C72D8">
        <w:rPr>
          <w:b/>
          <w:sz w:val="24"/>
        </w:rPr>
        <w:t xml:space="preserve">noviembre </w:t>
      </w:r>
      <w:r w:rsidR="00FA3228" w:rsidRPr="008C72D8">
        <w:rPr>
          <w:b/>
          <w:sz w:val="24"/>
        </w:rPr>
        <w:t>de 2019</w:t>
      </w:r>
    </w:p>
    <w:p w14:paraId="1CF22417" w14:textId="77777777" w:rsidR="001511A2" w:rsidRPr="008C72D8" w:rsidRDefault="001511A2" w:rsidP="0078703F">
      <w:pPr>
        <w:spacing w:line="240" w:lineRule="auto"/>
        <w:jc w:val="center"/>
        <w:rPr>
          <w:b/>
          <w:sz w:val="24"/>
        </w:rPr>
      </w:pPr>
    </w:p>
    <w:p w14:paraId="59840055" w14:textId="7B3AE4C3" w:rsidR="00160CA2" w:rsidRPr="008C72D8" w:rsidRDefault="001511A2" w:rsidP="0078703F">
      <w:pPr>
        <w:spacing w:line="240" w:lineRule="auto"/>
        <w:jc w:val="center"/>
        <w:rPr>
          <w:b/>
          <w:sz w:val="28"/>
          <w:szCs w:val="28"/>
        </w:rPr>
      </w:pPr>
      <w:r w:rsidRPr="008C72D8">
        <w:rPr>
          <w:b/>
          <w:sz w:val="28"/>
          <w:szCs w:val="28"/>
        </w:rPr>
        <w:t xml:space="preserve">UNAM EN </w:t>
      </w:r>
      <w:r w:rsidR="003215C3" w:rsidRPr="008C72D8">
        <w:rPr>
          <w:b/>
          <w:sz w:val="28"/>
          <w:szCs w:val="28"/>
        </w:rPr>
        <w:t>TIMES HIGHER EDUCATION</w:t>
      </w:r>
      <w:r w:rsidR="00160CA2" w:rsidRPr="008C72D8">
        <w:rPr>
          <w:b/>
          <w:sz w:val="28"/>
          <w:szCs w:val="28"/>
        </w:rPr>
        <w:t xml:space="preserve"> POR ÁREAS DEL CONOCIMIENTO</w:t>
      </w:r>
    </w:p>
    <w:p w14:paraId="206DCAFA" w14:textId="77777777" w:rsidR="00EF2EDE" w:rsidRPr="008C72D8" w:rsidRDefault="00EF2EDE" w:rsidP="0078703F">
      <w:pPr>
        <w:spacing w:line="240" w:lineRule="auto"/>
        <w:rPr>
          <w:sz w:val="24"/>
        </w:rPr>
      </w:pPr>
    </w:p>
    <w:p w14:paraId="2A7C12A0" w14:textId="1012B153" w:rsidR="00610EEE" w:rsidRPr="008C72D8" w:rsidRDefault="00610EEE" w:rsidP="0078703F">
      <w:pPr>
        <w:pStyle w:val="Prrafodelista"/>
        <w:numPr>
          <w:ilvl w:val="0"/>
          <w:numId w:val="1"/>
        </w:numPr>
        <w:spacing w:line="240" w:lineRule="auto"/>
        <w:jc w:val="both"/>
        <w:rPr>
          <w:sz w:val="24"/>
        </w:rPr>
      </w:pPr>
      <w:r w:rsidRPr="008C72D8">
        <w:rPr>
          <w:sz w:val="24"/>
        </w:rPr>
        <w:t xml:space="preserve">Times Higher Education (THE) publicó la edición del ranking mundial de universidades </w:t>
      </w:r>
      <w:r w:rsidR="00160CA2" w:rsidRPr="008C72D8">
        <w:rPr>
          <w:sz w:val="24"/>
        </w:rPr>
        <w:t xml:space="preserve">por áreas del conocimiento </w:t>
      </w:r>
      <w:r w:rsidR="00FA3228" w:rsidRPr="008C72D8">
        <w:rPr>
          <w:sz w:val="24"/>
        </w:rPr>
        <w:t>2020</w:t>
      </w:r>
      <w:r w:rsidRPr="008C72D8">
        <w:rPr>
          <w:sz w:val="24"/>
        </w:rPr>
        <w:t xml:space="preserve">. </w:t>
      </w:r>
    </w:p>
    <w:p w14:paraId="1ACF18D8" w14:textId="77777777" w:rsidR="006D2A38" w:rsidRPr="008C72D8" w:rsidRDefault="006D2A38" w:rsidP="0078703F">
      <w:pPr>
        <w:pStyle w:val="Prrafodelista"/>
        <w:spacing w:line="240" w:lineRule="auto"/>
        <w:jc w:val="both"/>
        <w:rPr>
          <w:sz w:val="24"/>
        </w:rPr>
      </w:pPr>
    </w:p>
    <w:p w14:paraId="60576EA0" w14:textId="111F541A" w:rsidR="00763FC9" w:rsidRPr="008C72D8" w:rsidRDefault="00216BFF" w:rsidP="0078703F">
      <w:pPr>
        <w:pStyle w:val="Prrafodelista"/>
        <w:numPr>
          <w:ilvl w:val="0"/>
          <w:numId w:val="1"/>
        </w:numPr>
        <w:spacing w:line="240" w:lineRule="auto"/>
        <w:jc w:val="both"/>
        <w:rPr>
          <w:sz w:val="24"/>
        </w:rPr>
      </w:pPr>
      <w:r w:rsidRPr="008C72D8">
        <w:rPr>
          <w:sz w:val="24"/>
        </w:rPr>
        <w:t xml:space="preserve">En el </w:t>
      </w:r>
      <w:r w:rsidR="00160CA2" w:rsidRPr="008C72D8">
        <w:rPr>
          <w:sz w:val="24"/>
        </w:rPr>
        <w:t xml:space="preserve">ranking </w:t>
      </w:r>
      <w:r w:rsidR="0069463B" w:rsidRPr="008C72D8">
        <w:rPr>
          <w:sz w:val="24"/>
        </w:rPr>
        <w:t xml:space="preserve">THE </w:t>
      </w:r>
      <w:r w:rsidR="00160CA2" w:rsidRPr="008C72D8">
        <w:rPr>
          <w:sz w:val="24"/>
        </w:rPr>
        <w:t>por áreas del conocimiento</w:t>
      </w:r>
      <w:r w:rsidRPr="008C72D8">
        <w:rPr>
          <w:sz w:val="24"/>
        </w:rPr>
        <w:t xml:space="preserve">, la UNAM es la universidad mexicana con más áreas del conocimiento </w:t>
      </w:r>
      <w:r w:rsidR="00A76DED">
        <w:rPr>
          <w:sz w:val="24"/>
        </w:rPr>
        <w:t>evaluadas</w:t>
      </w:r>
      <w:r w:rsidRPr="008C72D8">
        <w:rPr>
          <w:sz w:val="24"/>
        </w:rPr>
        <w:t xml:space="preserve">, las cuales </w:t>
      </w:r>
      <w:r w:rsidR="00A76DED">
        <w:rPr>
          <w:sz w:val="24"/>
        </w:rPr>
        <w:t xml:space="preserve">fueron clasificadas </w:t>
      </w:r>
      <w:r w:rsidRPr="008C72D8">
        <w:rPr>
          <w:sz w:val="24"/>
        </w:rPr>
        <w:t>en los siguientes rangos</w:t>
      </w:r>
      <w:r w:rsidR="00763FC9" w:rsidRPr="008C72D8">
        <w:t xml:space="preserve">: </w:t>
      </w:r>
    </w:p>
    <w:p w14:paraId="4C8D6F96" w14:textId="77777777" w:rsidR="0080682B" w:rsidRPr="008C72D8" w:rsidRDefault="0080682B" w:rsidP="0078703F">
      <w:pPr>
        <w:pStyle w:val="Prrafodelista"/>
        <w:spacing w:line="240" w:lineRule="auto"/>
        <w:rPr>
          <w:sz w:val="24"/>
        </w:rPr>
      </w:pPr>
    </w:p>
    <w:tbl>
      <w:tblPr>
        <w:tblW w:w="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9"/>
        <w:gridCol w:w="2655"/>
      </w:tblGrid>
      <w:tr w:rsidR="0027594B" w:rsidRPr="008C72D8" w14:paraId="6B5EA449" w14:textId="77777777" w:rsidTr="0027594B">
        <w:trPr>
          <w:trHeight w:val="254"/>
          <w:jc w:val="center"/>
        </w:trPr>
        <w:tc>
          <w:tcPr>
            <w:tcW w:w="1189" w:type="dxa"/>
            <w:shd w:val="clear" w:color="auto" w:fill="BDD6EE" w:themeFill="accent1" w:themeFillTint="66"/>
            <w:noWrap/>
            <w:vAlign w:val="center"/>
            <w:hideMark/>
          </w:tcPr>
          <w:p w14:paraId="49023B30" w14:textId="77777777" w:rsidR="0027594B" w:rsidRPr="008C72D8" w:rsidRDefault="0027594B"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Rango</w:t>
            </w:r>
          </w:p>
        </w:tc>
        <w:tc>
          <w:tcPr>
            <w:tcW w:w="2655" w:type="dxa"/>
            <w:shd w:val="clear" w:color="auto" w:fill="BDD6EE" w:themeFill="accent1" w:themeFillTint="66"/>
            <w:noWrap/>
            <w:vAlign w:val="center"/>
            <w:hideMark/>
          </w:tcPr>
          <w:p w14:paraId="75A58EA7" w14:textId="77777777" w:rsidR="0027594B" w:rsidRPr="008C72D8" w:rsidRDefault="0027594B"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Área del Conocimiento</w:t>
            </w:r>
          </w:p>
        </w:tc>
      </w:tr>
      <w:tr w:rsidR="0027594B" w:rsidRPr="008C72D8" w14:paraId="3C743BAF" w14:textId="77777777" w:rsidTr="0027594B">
        <w:trPr>
          <w:trHeight w:val="254"/>
          <w:jc w:val="center"/>
        </w:trPr>
        <w:tc>
          <w:tcPr>
            <w:tcW w:w="1189" w:type="dxa"/>
            <w:shd w:val="clear" w:color="auto" w:fill="auto"/>
            <w:noWrap/>
            <w:vAlign w:val="center"/>
            <w:hideMark/>
          </w:tcPr>
          <w:p w14:paraId="28D17C08" w14:textId="77777777" w:rsidR="0027594B" w:rsidRPr="008C72D8" w:rsidRDefault="0027594B"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101–125</w:t>
            </w:r>
          </w:p>
        </w:tc>
        <w:tc>
          <w:tcPr>
            <w:tcW w:w="2655" w:type="dxa"/>
            <w:shd w:val="clear" w:color="auto" w:fill="auto"/>
            <w:noWrap/>
            <w:vAlign w:val="center"/>
            <w:hideMark/>
          </w:tcPr>
          <w:p w14:paraId="07900DF6" w14:textId="77777777" w:rsidR="0027594B" w:rsidRPr="008C72D8" w:rsidRDefault="0027594B" w:rsidP="0078703F">
            <w:pPr>
              <w:spacing w:line="240" w:lineRule="auto"/>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Artes y Humanidades</w:t>
            </w:r>
          </w:p>
        </w:tc>
      </w:tr>
      <w:tr w:rsidR="0027594B" w:rsidRPr="008C72D8" w14:paraId="6BD4367E" w14:textId="77777777" w:rsidTr="0027594B">
        <w:trPr>
          <w:trHeight w:val="254"/>
          <w:jc w:val="center"/>
        </w:trPr>
        <w:tc>
          <w:tcPr>
            <w:tcW w:w="1189" w:type="dxa"/>
            <w:shd w:val="clear" w:color="auto" w:fill="E7E6E6" w:themeFill="background2"/>
            <w:noWrap/>
            <w:vAlign w:val="center"/>
            <w:hideMark/>
          </w:tcPr>
          <w:p w14:paraId="52226D95" w14:textId="77777777" w:rsidR="0027594B" w:rsidRPr="008C72D8" w:rsidRDefault="0027594B"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101–125</w:t>
            </w:r>
          </w:p>
        </w:tc>
        <w:tc>
          <w:tcPr>
            <w:tcW w:w="2655" w:type="dxa"/>
            <w:shd w:val="clear" w:color="auto" w:fill="E7E6E6" w:themeFill="background2"/>
            <w:noWrap/>
            <w:vAlign w:val="center"/>
            <w:hideMark/>
          </w:tcPr>
          <w:p w14:paraId="0DD2D223" w14:textId="77777777" w:rsidR="0027594B" w:rsidRPr="008C72D8" w:rsidRDefault="0027594B" w:rsidP="0078703F">
            <w:pPr>
              <w:spacing w:line="240" w:lineRule="auto"/>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Derecho</w:t>
            </w:r>
          </w:p>
        </w:tc>
      </w:tr>
      <w:tr w:rsidR="0027594B" w:rsidRPr="008C72D8" w14:paraId="2E19A0E4" w14:textId="77777777" w:rsidTr="0027594B">
        <w:trPr>
          <w:trHeight w:val="254"/>
          <w:jc w:val="center"/>
        </w:trPr>
        <w:tc>
          <w:tcPr>
            <w:tcW w:w="1189" w:type="dxa"/>
            <w:shd w:val="clear" w:color="auto" w:fill="auto"/>
            <w:noWrap/>
            <w:vAlign w:val="center"/>
            <w:hideMark/>
          </w:tcPr>
          <w:p w14:paraId="473B7F4D" w14:textId="77777777" w:rsidR="0027594B" w:rsidRPr="008C72D8" w:rsidRDefault="0027594B"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151–175</w:t>
            </w:r>
          </w:p>
        </w:tc>
        <w:tc>
          <w:tcPr>
            <w:tcW w:w="2655" w:type="dxa"/>
            <w:shd w:val="clear" w:color="auto" w:fill="auto"/>
            <w:noWrap/>
            <w:vAlign w:val="center"/>
            <w:hideMark/>
          </w:tcPr>
          <w:p w14:paraId="508F8CCE" w14:textId="77777777" w:rsidR="0027594B" w:rsidRPr="008C72D8" w:rsidRDefault="0027594B" w:rsidP="0078703F">
            <w:pPr>
              <w:spacing w:line="240" w:lineRule="auto"/>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Educación</w:t>
            </w:r>
          </w:p>
        </w:tc>
      </w:tr>
      <w:tr w:rsidR="0027594B" w:rsidRPr="008C72D8" w14:paraId="79025C07" w14:textId="77777777" w:rsidTr="0027594B">
        <w:trPr>
          <w:trHeight w:val="254"/>
          <w:jc w:val="center"/>
        </w:trPr>
        <w:tc>
          <w:tcPr>
            <w:tcW w:w="1189" w:type="dxa"/>
            <w:shd w:val="clear" w:color="auto" w:fill="E7E6E6" w:themeFill="background2"/>
            <w:noWrap/>
            <w:vAlign w:val="center"/>
            <w:hideMark/>
          </w:tcPr>
          <w:p w14:paraId="283E0D71" w14:textId="77777777" w:rsidR="0027594B" w:rsidRPr="008C72D8" w:rsidRDefault="0027594B"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301–400</w:t>
            </w:r>
          </w:p>
        </w:tc>
        <w:tc>
          <w:tcPr>
            <w:tcW w:w="2655" w:type="dxa"/>
            <w:shd w:val="clear" w:color="auto" w:fill="E7E6E6" w:themeFill="background2"/>
            <w:noWrap/>
            <w:vAlign w:val="center"/>
            <w:hideMark/>
          </w:tcPr>
          <w:p w14:paraId="6F966DE2" w14:textId="77777777" w:rsidR="0027594B" w:rsidRPr="008C72D8" w:rsidRDefault="0027594B" w:rsidP="0078703F">
            <w:pPr>
              <w:spacing w:line="240" w:lineRule="auto"/>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Ciencias Sociales</w:t>
            </w:r>
          </w:p>
        </w:tc>
      </w:tr>
      <w:tr w:rsidR="0027594B" w:rsidRPr="008C72D8" w14:paraId="5B7FC014" w14:textId="77777777" w:rsidTr="0027594B">
        <w:trPr>
          <w:trHeight w:val="254"/>
          <w:jc w:val="center"/>
        </w:trPr>
        <w:tc>
          <w:tcPr>
            <w:tcW w:w="1189" w:type="dxa"/>
            <w:shd w:val="clear" w:color="auto" w:fill="auto"/>
            <w:noWrap/>
            <w:vAlign w:val="center"/>
            <w:hideMark/>
          </w:tcPr>
          <w:p w14:paraId="6A916C28" w14:textId="77777777" w:rsidR="0027594B" w:rsidRPr="008C72D8" w:rsidRDefault="0027594B"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301–400</w:t>
            </w:r>
          </w:p>
        </w:tc>
        <w:tc>
          <w:tcPr>
            <w:tcW w:w="2655" w:type="dxa"/>
            <w:shd w:val="clear" w:color="auto" w:fill="auto"/>
            <w:noWrap/>
            <w:vAlign w:val="center"/>
            <w:hideMark/>
          </w:tcPr>
          <w:p w14:paraId="67EF1EDC" w14:textId="77777777" w:rsidR="0027594B" w:rsidRPr="008C72D8" w:rsidRDefault="0027594B" w:rsidP="0078703F">
            <w:pPr>
              <w:spacing w:line="240" w:lineRule="auto"/>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Psicología</w:t>
            </w:r>
          </w:p>
        </w:tc>
      </w:tr>
      <w:tr w:rsidR="0027594B" w:rsidRPr="008C72D8" w14:paraId="6F0BF0EA" w14:textId="77777777" w:rsidTr="0027594B">
        <w:trPr>
          <w:trHeight w:val="254"/>
          <w:jc w:val="center"/>
        </w:trPr>
        <w:tc>
          <w:tcPr>
            <w:tcW w:w="1189" w:type="dxa"/>
            <w:shd w:val="clear" w:color="auto" w:fill="E7E6E6" w:themeFill="background2"/>
            <w:noWrap/>
            <w:vAlign w:val="center"/>
            <w:hideMark/>
          </w:tcPr>
          <w:p w14:paraId="4EF89728" w14:textId="77777777" w:rsidR="0027594B" w:rsidRPr="008C72D8" w:rsidRDefault="0027594B"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401–500</w:t>
            </w:r>
          </w:p>
        </w:tc>
        <w:tc>
          <w:tcPr>
            <w:tcW w:w="2655" w:type="dxa"/>
            <w:shd w:val="clear" w:color="auto" w:fill="E7E6E6" w:themeFill="background2"/>
            <w:noWrap/>
            <w:vAlign w:val="center"/>
            <w:hideMark/>
          </w:tcPr>
          <w:p w14:paraId="31CBB5D8" w14:textId="77777777" w:rsidR="0027594B" w:rsidRPr="008C72D8" w:rsidRDefault="0027594B" w:rsidP="0078703F">
            <w:pPr>
              <w:spacing w:line="240" w:lineRule="auto"/>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Clínica, Pre-Clínica y Salud</w:t>
            </w:r>
          </w:p>
        </w:tc>
      </w:tr>
      <w:tr w:rsidR="0027594B" w:rsidRPr="008C72D8" w14:paraId="1AEE7B2D" w14:textId="77777777" w:rsidTr="0027594B">
        <w:trPr>
          <w:trHeight w:val="254"/>
          <w:jc w:val="center"/>
        </w:trPr>
        <w:tc>
          <w:tcPr>
            <w:tcW w:w="1189" w:type="dxa"/>
            <w:shd w:val="clear" w:color="auto" w:fill="auto"/>
            <w:noWrap/>
            <w:vAlign w:val="center"/>
            <w:hideMark/>
          </w:tcPr>
          <w:p w14:paraId="38262BDB" w14:textId="77777777" w:rsidR="0027594B" w:rsidRPr="008C72D8" w:rsidRDefault="0027594B"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501–600</w:t>
            </w:r>
          </w:p>
        </w:tc>
        <w:tc>
          <w:tcPr>
            <w:tcW w:w="2655" w:type="dxa"/>
            <w:shd w:val="clear" w:color="auto" w:fill="auto"/>
            <w:noWrap/>
            <w:vAlign w:val="center"/>
            <w:hideMark/>
          </w:tcPr>
          <w:p w14:paraId="2B6D4B4C" w14:textId="77777777" w:rsidR="0027594B" w:rsidRPr="008C72D8" w:rsidRDefault="0027594B" w:rsidP="0078703F">
            <w:pPr>
              <w:spacing w:line="240" w:lineRule="auto"/>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Ciencias de la Vida</w:t>
            </w:r>
          </w:p>
        </w:tc>
      </w:tr>
      <w:tr w:rsidR="0027594B" w:rsidRPr="008C72D8" w14:paraId="6CC72E66" w14:textId="77777777" w:rsidTr="0027594B">
        <w:trPr>
          <w:trHeight w:val="254"/>
          <w:jc w:val="center"/>
        </w:trPr>
        <w:tc>
          <w:tcPr>
            <w:tcW w:w="1189" w:type="dxa"/>
            <w:shd w:val="clear" w:color="auto" w:fill="E7E6E6" w:themeFill="background2"/>
            <w:noWrap/>
            <w:vAlign w:val="center"/>
            <w:hideMark/>
          </w:tcPr>
          <w:p w14:paraId="49F83BA6" w14:textId="77777777" w:rsidR="0027594B" w:rsidRPr="008C72D8" w:rsidRDefault="0027594B"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501+</w:t>
            </w:r>
          </w:p>
        </w:tc>
        <w:tc>
          <w:tcPr>
            <w:tcW w:w="2655" w:type="dxa"/>
            <w:shd w:val="clear" w:color="auto" w:fill="E7E6E6" w:themeFill="background2"/>
            <w:noWrap/>
            <w:vAlign w:val="center"/>
            <w:hideMark/>
          </w:tcPr>
          <w:p w14:paraId="53152206" w14:textId="77777777" w:rsidR="0027594B" w:rsidRPr="008C72D8" w:rsidRDefault="0027594B" w:rsidP="0078703F">
            <w:pPr>
              <w:spacing w:line="240" w:lineRule="auto"/>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Negocios y Economía</w:t>
            </w:r>
          </w:p>
        </w:tc>
      </w:tr>
      <w:tr w:rsidR="0027594B" w:rsidRPr="008C72D8" w14:paraId="319E9C98" w14:textId="77777777" w:rsidTr="0027594B">
        <w:trPr>
          <w:trHeight w:val="254"/>
          <w:jc w:val="center"/>
        </w:trPr>
        <w:tc>
          <w:tcPr>
            <w:tcW w:w="1189" w:type="dxa"/>
            <w:shd w:val="clear" w:color="auto" w:fill="auto"/>
            <w:noWrap/>
            <w:vAlign w:val="center"/>
            <w:hideMark/>
          </w:tcPr>
          <w:p w14:paraId="304BE050" w14:textId="77777777" w:rsidR="0027594B" w:rsidRPr="008C72D8" w:rsidRDefault="0027594B"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601–800</w:t>
            </w:r>
          </w:p>
        </w:tc>
        <w:tc>
          <w:tcPr>
            <w:tcW w:w="2655" w:type="dxa"/>
            <w:shd w:val="clear" w:color="auto" w:fill="auto"/>
            <w:noWrap/>
            <w:vAlign w:val="center"/>
            <w:hideMark/>
          </w:tcPr>
          <w:p w14:paraId="69E92E35" w14:textId="77777777" w:rsidR="0027594B" w:rsidRPr="008C72D8" w:rsidRDefault="0027594B" w:rsidP="0078703F">
            <w:pPr>
              <w:spacing w:line="240" w:lineRule="auto"/>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Ciencias Físicas</w:t>
            </w:r>
          </w:p>
        </w:tc>
      </w:tr>
      <w:tr w:rsidR="0027594B" w:rsidRPr="008C72D8" w14:paraId="644F7B7B" w14:textId="77777777" w:rsidTr="0027594B">
        <w:trPr>
          <w:trHeight w:val="254"/>
          <w:jc w:val="center"/>
        </w:trPr>
        <w:tc>
          <w:tcPr>
            <w:tcW w:w="1189" w:type="dxa"/>
            <w:shd w:val="clear" w:color="auto" w:fill="E7E6E6" w:themeFill="background2"/>
            <w:noWrap/>
            <w:vAlign w:val="center"/>
            <w:hideMark/>
          </w:tcPr>
          <w:p w14:paraId="2CEA37EE" w14:textId="77777777" w:rsidR="0027594B" w:rsidRPr="008C72D8" w:rsidRDefault="0027594B"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601–800</w:t>
            </w:r>
          </w:p>
        </w:tc>
        <w:tc>
          <w:tcPr>
            <w:tcW w:w="2655" w:type="dxa"/>
            <w:shd w:val="clear" w:color="auto" w:fill="E7E6E6" w:themeFill="background2"/>
            <w:noWrap/>
            <w:vAlign w:val="center"/>
            <w:hideMark/>
          </w:tcPr>
          <w:p w14:paraId="30706E98" w14:textId="77777777" w:rsidR="0027594B" w:rsidRPr="008C72D8" w:rsidRDefault="0027594B" w:rsidP="0078703F">
            <w:pPr>
              <w:spacing w:line="240" w:lineRule="auto"/>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Ingeniería y Tecnología</w:t>
            </w:r>
          </w:p>
        </w:tc>
      </w:tr>
      <w:tr w:rsidR="0027594B" w:rsidRPr="008C72D8" w14:paraId="71689C46" w14:textId="77777777" w:rsidTr="0027594B">
        <w:trPr>
          <w:trHeight w:val="254"/>
          <w:jc w:val="center"/>
        </w:trPr>
        <w:tc>
          <w:tcPr>
            <w:tcW w:w="1189" w:type="dxa"/>
            <w:shd w:val="clear" w:color="auto" w:fill="auto"/>
            <w:noWrap/>
            <w:vAlign w:val="center"/>
            <w:hideMark/>
          </w:tcPr>
          <w:p w14:paraId="58411BB6" w14:textId="77777777" w:rsidR="0027594B" w:rsidRPr="008C72D8" w:rsidRDefault="0027594B"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601+</w:t>
            </w:r>
          </w:p>
        </w:tc>
        <w:tc>
          <w:tcPr>
            <w:tcW w:w="2655" w:type="dxa"/>
            <w:shd w:val="clear" w:color="auto" w:fill="auto"/>
            <w:noWrap/>
            <w:vAlign w:val="center"/>
            <w:hideMark/>
          </w:tcPr>
          <w:p w14:paraId="54D102E3" w14:textId="77777777" w:rsidR="0027594B" w:rsidRPr="008C72D8" w:rsidRDefault="0027594B" w:rsidP="0078703F">
            <w:pPr>
              <w:spacing w:line="240" w:lineRule="auto"/>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Ciencias de la Computación</w:t>
            </w:r>
          </w:p>
        </w:tc>
      </w:tr>
    </w:tbl>
    <w:p w14:paraId="5631FCC5" w14:textId="26DC0286" w:rsidR="00DD36A0" w:rsidRPr="008C72D8" w:rsidRDefault="00DD36A0" w:rsidP="0078703F">
      <w:pPr>
        <w:pStyle w:val="Prrafodelista"/>
        <w:spacing w:line="240" w:lineRule="auto"/>
        <w:jc w:val="both"/>
        <w:rPr>
          <w:sz w:val="24"/>
        </w:rPr>
      </w:pPr>
    </w:p>
    <w:p w14:paraId="5C94F4D6" w14:textId="77777777" w:rsidR="00A2224C" w:rsidRPr="008C72D8" w:rsidRDefault="00A2224C" w:rsidP="0078703F">
      <w:pPr>
        <w:pStyle w:val="Prrafodelista"/>
        <w:numPr>
          <w:ilvl w:val="0"/>
          <w:numId w:val="1"/>
        </w:numPr>
        <w:spacing w:line="240" w:lineRule="auto"/>
        <w:jc w:val="both"/>
        <w:rPr>
          <w:b/>
          <w:sz w:val="24"/>
        </w:rPr>
      </w:pPr>
      <w:r w:rsidRPr="008C72D8">
        <w:rPr>
          <w:b/>
          <w:sz w:val="24"/>
        </w:rPr>
        <w:t>Metodología e Indicadores</w:t>
      </w:r>
    </w:p>
    <w:p w14:paraId="4E98CAF0" w14:textId="77777777" w:rsidR="00813ACB" w:rsidRPr="008C72D8" w:rsidRDefault="00813ACB" w:rsidP="0078703F">
      <w:pPr>
        <w:pStyle w:val="Prrafodelista"/>
        <w:spacing w:line="240" w:lineRule="auto"/>
        <w:jc w:val="both"/>
        <w:rPr>
          <w:b/>
          <w:i/>
          <w:sz w:val="24"/>
        </w:rPr>
      </w:pPr>
    </w:p>
    <w:p w14:paraId="1EFAF11A" w14:textId="77777777" w:rsidR="00813ACB" w:rsidRPr="008C72D8" w:rsidRDefault="00813ACB" w:rsidP="0078703F">
      <w:pPr>
        <w:pStyle w:val="Prrafodelista"/>
        <w:spacing w:line="240" w:lineRule="auto"/>
        <w:jc w:val="both"/>
        <w:rPr>
          <w:b/>
          <w:i/>
          <w:sz w:val="24"/>
        </w:rPr>
      </w:pPr>
      <w:r w:rsidRPr="008C72D8">
        <w:rPr>
          <w:b/>
          <w:i/>
          <w:sz w:val="24"/>
        </w:rPr>
        <w:t>Criterio de selección:</w:t>
      </w:r>
    </w:p>
    <w:p w14:paraId="31CD6C8E" w14:textId="08C9B303" w:rsidR="00D25E24" w:rsidRPr="008C72D8" w:rsidRDefault="00813ACB" w:rsidP="0078703F">
      <w:pPr>
        <w:pStyle w:val="Prrafodelista"/>
        <w:spacing w:line="240" w:lineRule="auto"/>
        <w:jc w:val="both"/>
        <w:rPr>
          <w:sz w:val="24"/>
        </w:rPr>
      </w:pPr>
      <w:r w:rsidRPr="008C72D8">
        <w:rPr>
          <w:sz w:val="24"/>
        </w:rPr>
        <w:t xml:space="preserve">Las universidades deben publicar al menos </w:t>
      </w:r>
      <w:r w:rsidR="00E5561C" w:rsidRPr="008C72D8">
        <w:rPr>
          <w:sz w:val="24"/>
        </w:rPr>
        <w:t xml:space="preserve">1,000 </w:t>
      </w:r>
      <w:r w:rsidRPr="008C72D8">
        <w:rPr>
          <w:sz w:val="24"/>
        </w:rPr>
        <w:t>artículos</w:t>
      </w:r>
      <w:r w:rsidR="00E5561C" w:rsidRPr="008C72D8">
        <w:rPr>
          <w:sz w:val="24"/>
        </w:rPr>
        <w:t xml:space="preserve"> de investigación durante un periodo de 5 años.</w:t>
      </w:r>
      <w:r w:rsidR="00D25E24" w:rsidRPr="008C72D8">
        <w:rPr>
          <w:sz w:val="24"/>
        </w:rPr>
        <w:t xml:space="preserve"> </w:t>
      </w:r>
      <w:r w:rsidRPr="008C72D8">
        <w:rPr>
          <w:sz w:val="24"/>
        </w:rPr>
        <w:t xml:space="preserve">Además, el ranking THE by Subject establece un </w:t>
      </w:r>
      <w:r w:rsidR="001E3E33" w:rsidRPr="008C72D8">
        <w:rPr>
          <w:sz w:val="24"/>
        </w:rPr>
        <w:t xml:space="preserve">umbral </w:t>
      </w:r>
      <w:r w:rsidR="001853FC" w:rsidRPr="008C72D8">
        <w:rPr>
          <w:sz w:val="24"/>
        </w:rPr>
        <w:t xml:space="preserve">de publicaciones necesarias que </w:t>
      </w:r>
      <w:r w:rsidR="00D25E24" w:rsidRPr="008C72D8">
        <w:rPr>
          <w:sz w:val="24"/>
        </w:rPr>
        <w:t xml:space="preserve">varía dependiendo del área de conocimiento, por ejemplo, para Psicología se requieren 150 artículos publicados pero para Ciencias de la Vida se requieren 500 artículos publicados. </w:t>
      </w:r>
    </w:p>
    <w:p w14:paraId="5D9D19B5" w14:textId="77777777" w:rsidR="00D25E24" w:rsidRPr="008C72D8" w:rsidRDefault="00D25E24" w:rsidP="0078703F">
      <w:pPr>
        <w:pStyle w:val="Prrafodelista"/>
        <w:spacing w:line="240" w:lineRule="auto"/>
        <w:jc w:val="both"/>
        <w:rPr>
          <w:sz w:val="24"/>
        </w:rPr>
      </w:pPr>
    </w:p>
    <w:tbl>
      <w:tblPr>
        <w:tblW w:w="11527" w:type="dxa"/>
        <w:jc w:val="center"/>
        <w:tblLayout w:type="fixed"/>
        <w:tblCellMar>
          <w:left w:w="70" w:type="dxa"/>
          <w:right w:w="70" w:type="dxa"/>
        </w:tblCellMar>
        <w:tblLook w:val="04A0" w:firstRow="1" w:lastRow="0" w:firstColumn="1" w:lastColumn="0" w:noHBand="0" w:noVBand="1"/>
      </w:tblPr>
      <w:tblGrid>
        <w:gridCol w:w="1370"/>
        <w:gridCol w:w="1049"/>
        <w:gridCol w:w="1057"/>
        <w:gridCol w:w="894"/>
        <w:gridCol w:w="894"/>
        <w:gridCol w:w="894"/>
        <w:gridCol w:w="893"/>
        <w:gridCol w:w="894"/>
        <w:gridCol w:w="894"/>
        <w:gridCol w:w="894"/>
        <w:gridCol w:w="894"/>
        <w:gridCol w:w="900"/>
      </w:tblGrid>
      <w:tr w:rsidR="00D25E24" w:rsidRPr="008C72D8" w14:paraId="43DB3F5F" w14:textId="77777777" w:rsidTr="0024082E">
        <w:trPr>
          <w:trHeight w:val="201"/>
          <w:jc w:val="center"/>
        </w:trPr>
        <w:tc>
          <w:tcPr>
            <w:tcW w:w="1370" w:type="dxa"/>
            <w:vMerge w:val="restart"/>
            <w:tcBorders>
              <w:top w:val="single" w:sz="4" w:space="0" w:color="auto"/>
              <w:left w:val="single" w:sz="4" w:space="0" w:color="auto"/>
              <w:bottom w:val="single" w:sz="4" w:space="0" w:color="auto"/>
              <w:right w:val="single" w:sz="4" w:space="0" w:color="auto"/>
            </w:tcBorders>
            <w:shd w:val="clear" w:color="000000" w:fill="BDD6EE"/>
            <w:noWrap/>
            <w:vAlign w:val="center"/>
            <w:hideMark/>
          </w:tcPr>
          <w:p w14:paraId="5EE3D42E" w14:textId="77777777" w:rsidR="00D25E24" w:rsidRPr="008C72D8" w:rsidRDefault="00D25E24"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20"/>
                <w:lang w:eastAsia="es-MX"/>
              </w:rPr>
              <w:t>Indicador</w:t>
            </w:r>
          </w:p>
        </w:tc>
        <w:tc>
          <w:tcPr>
            <w:tcW w:w="10157" w:type="dxa"/>
            <w:gridSpan w:val="11"/>
            <w:tcBorders>
              <w:top w:val="single" w:sz="4" w:space="0" w:color="auto"/>
              <w:left w:val="nil"/>
              <w:bottom w:val="single" w:sz="4" w:space="0" w:color="auto"/>
              <w:right w:val="single" w:sz="4" w:space="0" w:color="auto"/>
            </w:tcBorders>
            <w:shd w:val="clear" w:color="000000" w:fill="BDD6EE"/>
            <w:noWrap/>
            <w:vAlign w:val="center"/>
            <w:hideMark/>
          </w:tcPr>
          <w:p w14:paraId="654FDCEC" w14:textId="77777777" w:rsidR="00D25E24" w:rsidRPr="008C72D8" w:rsidRDefault="00D25E24"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20"/>
                <w:lang w:eastAsia="es-MX"/>
              </w:rPr>
              <w:t>Área del Conocimiento</w:t>
            </w:r>
          </w:p>
        </w:tc>
      </w:tr>
      <w:tr w:rsidR="00D25E24" w:rsidRPr="008C72D8" w14:paraId="65908A1C" w14:textId="77777777" w:rsidTr="0024082E">
        <w:trPr>
          <w:trHeight w:val="577"/>
          <w:jc w:val="center"/>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4D1B0018" w14:textId="77777777" w:rsidR="00D25E24" w:rsidRPr="008C72D8" w:rsidRDefault="00D25E24" w:rsidP="0078703F">
            <w:pPr>
              <w:spacing w:line="240" w:lineRule="auto"/>
              <w:rPr>
                <w:rFonts w:ascii="Calibri" w:eastAsia="Times New Roman" w:hAnsi="Calibri" w:cs="Calibri"/>
                <w:b/>
                <w:bCs/>
                <w:color w:val="000000"/>
                <w:sz w:val="18"/>
                <w:szCs w:val="18"/>
                <w:lang w:eastAsia="es-MX"/>
              </w:rPr>
            </w:pPr>
          </w:p>
        </w:tc>
        <w:tc>
          <w:tcPr>
            <w:tcW w:w="1049" w:type="dxa"/>
            <w:tcBorders>
              <w:top w:val="single" w:sz="4" w:space="0" w:color="auto"/>
              <w:left w:val="nil"/>
              <w:bottom w:val="single" w:sz="4" w:space="0" w:color="auto"/>
              <w:right w:val="single" w:sz="4" w:space="0" w:color="auto"/>
            </w:tcBorders>
            <w:shd w:val="clear" w:color="000000" w:fill="D9E1F2"/>
            <w:vAlign w:val="center"/>
            <w:hideMark/>
          </w:tcPr>
          <w:p w14:paraId="1FDF77BB" w14:textId="77777777" w:rsidR="00D25E24" w:rsidRPr="008C72D8" w:rsidRDefault="00D25E24" w:rsidP="0078703F">
            <w:pPr>
              <w:spacing w:line="240" w:lineRule="auto"/>
              <w:jc w:val="center"/>
              <w:rPr>
                <w:rFonts w:ascii="Calibri" w:eastAsia="Times New Roman" w:hAnsi="Calibri" w:cs="Calibri"/>
                <w:b/>
                <w:bCs/>
                <w:color w:val="000000"/>
                <w:sz w:val="15"/>
                <w:szCs w:val="15"/>
                <w:lang w:eastAsia="es-MX"/>
              </w:rPr>
            </w:pPr>
            <w:r w:rsidRPr="008C72D8">
              <w:rPr>
                <w:rFonts w:ascii="Calibri" w:eastAsia="Times New Roman" w:hAnsi="Calibri" w:cs="Calibri"/>
                <w:b/>
                <w:bCs/>
                <w:color w:val="000000"/>
                <w:sz w:val="15"/>
                <w:szCs w:val="15"/>
                <w:lang w:eastAsia="es-MX"/>
              </w:rPr>
              <w:t>Artes y Humanidades</w:t>
            </w:r>
          </w:p>
        </w:tc>
        <w:tc>
          <w:tcPr>
            <w:tcW w:w="1057" w:type="dxa"/>
            <w:tcBorders>
              <w:top w:val="single" w:sz="4" w:space="0" w:color="auto"/>
              <w:left w:val="nil"/>
              <w:bottom w:val="single" w:sz="4" w:space="0" w:color="auto"/>
              <w:right w:val="single" w:sz="4" w:space="0" w:color="auto"/>
            </w:tcBorders>
            <w:shd w:val="clear" w:color="000000" w:fill="D9E1F2"/>
            <w:vAlign w:val="center"/>
            <w:hideMark/>
          </w:tcPr>
          <w:p w14:paraId="5B0100B2" w14:textId="77777777" w:rsidR="00D25E24" w:rsidRPr="008C72D8" w:rsidRDefault="00D25E24" w:rsidP="0078703F">
            <w:pPr>
              <w:spacing w:line="240" w:lineRule="auto"/>
              <w:jc w:val="center"/>
              <w:rPr>
                <w:rFonts w:ascii="Calibri" w:eastAsia="Times New Roman" w:hAnsi="Calibri" w:cs="Calibri"/>
                <w:b/>
                <w:bCs/>
                <w:color w:val="000000"/>
                <w:sz w:val="15"/>
                <w:szCs w:val="15"/>
                <w:lang w:eastAsia="es-MX"/>
              </w:rPr>
            </w:pPr>
            <w:r w:rsidRPr="008C72D8">
              <w:rPr>
                <w:rFonts w:ascii="Calibri" w:eastAsia="Times New Roman" w:hAnsi="Calibri" w:cs="Calibri"/>
                <w:b/>
                <w:bCs/>
                <w:color w:val="000000"/>
                <w:sz w:val="15"/>
                <w:szCs w:val="15"/>
                <w:lang w:eastAsia="es-MX"/>
              </w:rPr>
              <w:t>Ciencias de la Computación</w:t>
            </w:r>
          </w:p>
        </w:tc>
        <w:tc>
          <w:tcPr>
            <w:tcW w:w="894" w:type="dxa"/>
            <w:tcBorders>
              <w:top w:val="single" w:sz="4" w:space="0" w:color="auto"/>
              <w:left w:val="nil"/>
              <w:bottom w:val="single" w:sz="4" w:space="0" w:color="auto"/>
              <w:right w:val="single" w:sz="4" w:space="0" w:color="auto"/>
            </w:tcBorders>
            <w:shd w:val="clear" w:color="000000" w:fill="D9E1F2"/>
            <w:vAlign w:val="center"/>
            <w:hideMark/>
          </w:tcPr>
          <w:p w14:paraId="50849C9B" w14:textId="77777777" w:rsidR="00D25E24" w:rsidRPr="008C72D8" w:rsidRDefault="00D25E24" w:rsidP="0078703F">
            <w:pPr>
              <w:spacing w:line="240" w:lineRule="auto"/>
              <w:jc w:val="center"/>
              <w:rPr>
                <w:rFonts w:ascii="Calibri" w:eastAsia="Times New Roman" w:hAnsi="Calibri" w:cs="Calibri"/>
                <w:b/>
                <w:bCs/>
                <w:color w:val="000000"/>
                <w:sz w:val="15"/>
                <w:szCs w:val="15"/>
                <w:lang w:eastAsia="es-MX"/>
              </w:rPr>
            </w:pPr>
            <w:r w:rsidRPr="008C72D8">
              <w:rPr>
                <w:rFonts w:ascii="Calibri" w:eastAsia="Times New Roman" w:hAnsi="Calibri" w:cs="Calibri"/>
                <w:b/>
                <w:bCs/>
                <w:color w:val="000000"/>
                <w:sz w:val="15"/>
                <w:szCs w:val="15"/>
                <w:lang w:eastAsia="es-MX"/>
              </w:rPr>
              <w:t>Ciencias de la Vida</w:t>
            </w:r>
          </w:p>
        </w:tc>
        <w:tc>
          <w:tcPr>
            <w:tcW w:w="894" w:type="dxa"/>
            <w:tcBorders>
              <w:top w:val="single" w:sz="4" w:space="0" w:color="auto"/>
              <w:left w:val="nil"/>
              <w:bottom w:val="single" w:sz="4" w:space="0" w:color="auto"/>
              <w:right w:val="single" w:sz="4" w:space="0" w:color="auto"/>
            </w:tcBorders>
            <w:shd w:val="clear" w:color="000000" w:fill="D9E1F2"/>
            <w:vAlign w:val="center"/>
            <w:hideMark/>
          </w:tcPr>
          <w:p w14:paraId="0A78CE63" w14:textId="77777777" w:rsidR="00D25E24" w:rsidRPr="008C72D8" w:rsidRDefault="00D25E24" w:rsidP="0078703F">
            <w:pPr>
              <w:spacing w:line="240" w:lineRule="auto"/>
              <w:jc w:val="center"/>
              <w:rPr>
                <w:rFonts w:ascii="Calibri" w:eastAsia="Times New Roman" w:hAnsi="Calibri" w:cs="Calibri"/>
                <w:b/>
                <w:bCs/>
                <w:color w:val="000000"/>
                <w:sz w:val="15"/>
                <w:szCs w:val="15"/>
                <w:lang w:eastAsia="es-MX"/>
              </w:rPr>
            </w:pPr>
            <w:r w:rsidRPr="008C72D8">
              <w:rPr>
                <w:rFonts w:ascii="Calibri" w:eastAsia="Times New Roman" w:hAnsi="Calibri" w:cs="Calibri"/>
                <w:b/>
                <w:bCs/>
                <w:color w:val="000000"/>
                <w:sz w:val="15"/>
                <w:szCs w:val="15"/>
                <w:lang w:eastAsia="es-MX"/>
              </w:rPr>
              <w:t>Ciencias Físicas</w:t>
            </w:r>
          </w:p>
        </w:tc>
        <w:tc>
          <w:tcPr>
            <w:tcW w:w="894" w:type="dxa"/>
            <w:tcBorders>
              <w:top w:val="single" w:sz="4" w:space="0" w:color="auto"/>
              <w:left w:val="nil"/>
              <w:bottom w:val="single" w:sz="4" w:space="0" w:color="auto"/>
              <w:right w:val="single" w:sz="4" w:space="0" w:color="auto"/>
            </w:tcBorders>
            <w:shd w:val="clear" w:color="000000" w:fill="D9E1F2"/>
            <w:vAlign w:val="center"/>
            <w:hideMark/>
          </w:tcPr>
          <w:p w14:paraId="57926AE7" w14:textId="77777777" w:rsidR="00D25E24" w:rsidRPr="008C72D8" w:rsidRDefault="00D25E24" w:rsidP="0078703F">
            <w:pPr>
              <w:spacing w:line="240" w:lineRule="auto"/>
              <w:jc w:val="center"/>
              <w:rPr>
                <w:rFonts w:ascii="Calibri" w:eastAsia="Times New Roman" w:hAnsi="Calibri" w:cs="Calibri"/>
                <w:b/>
                <w:bCs/>
                <w:color w:val="000000"/>
                <w:sz w:val="15"/>
                <w:szCs w:val="15"/>
                <w:lang w:eastAsia="es-MX"/>
              </w:rPr>
            </w:pPr>
            <w:r w:rsidRPr="008C72D8">
              <w:rPr>
                <w:rFonts w:ascii="Calibri" w:eastAsia="Times New Roman" w:hAnsi="Calibri" w:cs="Calibri"/>
                <w:b/>
                <w:bCs/>
                <w:color w:val="000000"/>
                <w:sz w:val="15"/>
                <w:szCs w:val="15"/>
                <w:lang w:eastAsia="es-MX"/>
              </w:rPr>
              <w:t>Ciencias Sociales</w:t>
            </w:r>
          </w:p>
        </w:tc>
        <w:tc>
          <w:tcPr>
            <w:tcW w:w="893" w:type="dxa"/>
            <w:tcBorders>
              <w:top w:val="single" w:sz="4" w:space="0" w:color="auto"/>
              <w:left w:val="nil"/>
              <w:bottom w:val="single" w:sz="4" w:space="0" w:color="auto"/>
              <w:right w:val="single" w:sz="4" w:space="0" w:color="auto"/>
            </w:tcBorders>
            <w:shd w:val="clear" w:color="000000" w:fill="D9E1F2"/>
            <w:vAlign w:val="center"/>
            <w:hideMark/>
          </w:tcPr>
          <w:p w14:paraId="271C0FF0" w14:textId="77777777" w:rsidR="00D25E24" w:rsidRPr="008C72D8" w:rsidRDefault="00D25E24" w:rsidP="0078703F">
            <w:pPr>
              <w:spacing w:line="240" w:lineRule="auto"/>
              <w:jc w:val="center"/>
              <w:rPr>
                <w:rFonts w:ascii="Calibri" w:eastAsia="Times New Roman" w:hAnsi="Calibri" w:cs="Calibri"/>
                <w:b/>
                <w:bCs/>
                <w:color w:val="000000"/>
                <w:sz w:val="15"/>
                <w:szCs w:val="15"/>
                <w:lang w:eastAsia="es-MX"/>
              </w:rPr>
            </w:pPr>
            <w:r w:rsidRPr="008C72D8">
              <w:rPr>
                <w:rFonts w:ascii="Calibri" w:eastAsia="Times New Roman" w:hAnsi="Calibri" w:cs="Calibri"/>
                <w:b/>
                <w:bCs/>
                <w:color w:val="000000"/>
                <w:sz w:val="15"/>
                <w:szCs w:val="15"/>
                <w:lang w:eastAsia="es-MX"/>
              </w:rPr>
              <w:t>Clínica, Pre-Clínica y Salud</w:t>
            </w:r>
          </w:p>
        </w:tc>
        <w:tc>
          <w:tcPr>
            <w:tcW w:w="894" w:type="dxa"/>
            <w:tcBorders>
              <w:top w:val="single" w:sz="4" w:space="0" w:color="auto"/>
              <w:left w:val="nil"/>
              <w:bottom w:val="single" w:sz="4" w:space="0" w:color="auto"/>
              <w:right w:val="single" w:sz="4" w:space="0" w:color="auto"/>
            </w:tcBorders>
            <w:shd w:val="clear" w:color="000000" w:fill="D9E1F2"/>
            <w:vAlign w:val="center"/>
            <w:hideMark/>
          </w:tcPr>
          <w:p w14:paraId="7A9C32DD" w14:textId="77777777" w:rsidR="00D25E24" w:rsidRPr="008C72D8" w:rsidRDefault="00D25E24" w:rsidP="0078703F">
            <w:pPr>
              <w:spacing w:line="240" w:lineRule="auto"/>
              <w:jc w:val="center"/>
              <w:rPr>
                <w:rFonts w:ascii="Calibri" w:eastAsia="Times New Roman" w:hAnsi="Calibri" w:cs="Calibri"/>
                <w:b/>
                <w:bCs/>
                <w:color w:val="000000"/>
                <w:sz w:val="15"/>
                <w:szCs w:val="15"/>
                <w:lang w:eastAsia="es-MX"/>
              </w:rPr>
            </w:pPr>
            <w:r w:rsidRPr="008C72D8">
              <w:rPr>
                <w:rFonts w:ascii="Calibri" w:eastAsia="Times New Roman" w:hAnsi="Calibri" w:cs="Calibri"/>
                <w:b/>
                <w:bCs/>
                <w:color w:val="000000"/>
                <w:sz w:val="15"/>
                <w:szCs w:val="15"/>
                <w:lang w:eastAsia="es-MX"/>
              </w:rPr>
              <w:t>Derecho</w:t>
            </w:r>
          </w:p>
        </w:tc>
        <w:tc>
          <w:tcPr>
            <w:tcW w:w="894" w:type="dxa"/>
            <w:tcBorders>
              <w:top w:val="single" w:sz="4" w:space="0" w:color="auto"/>
              <w:left w:val="nil"/>
              <w:bottom w:val="single" w:sz="4" w:space="0" w:color="auto"/>
              <w:right w:val="single" w:sz="4" w:space="0" w:color="auto"/>
            </w:tcBorders>
            <w:shd w:val="clear" w:color="000000" w:fill="D9E1F2"/>
            <w:vAlign w:val="center"/>
            <w:hideMark/>
          </w:tcPr>
          <w:p w14:paraId="55584FD4" w14:textId="77777777" w:rsidR="00D25E24" w:rsidRPr="008C72D8" w:rsidRDefault="00D25E24" w:rsidP="0078703F">
            <w:pPr>
              <w:spacing w:line="240" w:lineRule="auto"/>
              <w:jc w:val="center"/>
              <w:rPr>
                <w:rFonts w:ascii="Calibri" w:eastAsia="Times New Roman" w:hAnsi="Calibri" w:cs="Calibri"/>
                <w:b/>
                <w:bCs/>
                <w:color w:val="000000"/>
                <w:sz w:val="15"/>
                <w:szCs w:val="15"/>
                <w:lang w:eastAsia="es-MX"/>
              </w:rPr>
            </w:pPr>
            <w:r w:rsidRPr="008C72D8">
              <w:rPr>
                <w:rFonts w:ascii="Calibri" w:eastAsia="Times New Roman" w:hAnsi="Calibri" w:cs="Calibri"/>
                <w:b/>
                <w:bCs/>
                <w:color w:val="000000"/>
                <w:sz w:val="15"/>
                <w:szCs w:val="15"/>
                <w:lang w:eastAsia="es-MX"/>
              </w:rPr>
              <w:t>Educación</w:t>
            </w:r>
          </w:p>
        </w:tc>
        <w:tc>
          <w:tcPr>
            <w:tcW w:w="894" w:type="dxa"/>
            <w:tcBorders>
              <w:top w:val="single" w:sz="4" w:space="0" w:color="auto"/>
              <w:left w:val="nil"/>
              <w:bottom w:val="single" w:sz="4" w:space="0" w:color="auto"/>
              <w:right w:val="single" w:sz="4" w:space="0" w:color="auto"/>
            </w:tcBorders>
            <w:shd w:val="clear" w:color="000000" w:fill="D9E1F2"/>
            <w:vAlign w:val="center"/>
            <w:hideMark/>
          </w:tcPr>
          <w:p w14:paraId="37FB687C" w14:textId="77777777" w:rsidR="00D25E24" w:rsidRPr="008C72D8" w:rsidRDefault="00D25E24" w:rsidP="0078703F">
            <w:pPr>
              <w:spacing w:line="240" w:lineRule="auto"/>
              <w:jc w:val="center"/>
              <w:rPr>
                <w:rFonts w:ascii="Calibri" w:eastAsia="Times New Roman" w:hAnsi="Calibri" w:cs="Calibri"/>
                <w:b/>
                <w:bCs/>
                <w:color w:val="000000"/>
                <w:sz w:val="15"/>
                <w:szCs w:val="15"/>
                <w:lang w:eastAsia="es-MX"/>
              </w:rPr>
            </w:pPr>
            <w:r w:rsidRPr="008C72D8">
              <w:rPr>
                <w:rFonts w:ascii="Calibri" w:eastAsia="Times New Roman" w:hAnsi="Calibri" w:cs="Calibri"/>
                <w:b/>
                <w:bCs/>
                <w:color w:val="000000"/>
                <w:sz w:val="15"/>
                <w:szCs w:val="15"/>
                <w:lang w:eastAsia="es-MX"/>
              </w:rPr>
              <w:t>Ingeniería y Tecnología</w:t>
            </w:r>
          </w:p>
        </w:tc>
        <w:tc>
          <w:tcPr>
            <w:tcW w:w="894" w:type="dxa"/>
            <w:tcBorders>
              <w:top w:val="single" w:sz="4" w:space="0" w:color="auto"/>
              <w:left w:val="nil"/>
              <w:bottom w:val="single" w:sz="4" w:space="0" w:color="auto"/>
              <w:right w:val="single" w:sz="4" w:space="0" w:color="auto"/>
            </w:tcBorders>
            <w:shd w:val="clear" w:color="000000" w:fill="D9E1F2"/>
            <w:vAlign w:val="center"/>
            <w:hideMark/>
          </w:tcPr>
          <w:p w14:paraId="42E4292D" w14:textId="77777777" w:rsidR="00D25E24" w:rsidRPr="008C72D8" w:rsidRDefault="00D25E24" w:rsidP="0078703F">
            <w:pPr>
              <w:spacing w:line="240" w:lineRule="auto"/>
              <w:jc w:val="center"/>
              <w:rPr>
                <w:rFonts w:ascii="Calibri" w:eastAsia="Times New Roman" w:hAnsi="Calibri" w:cs="Calibri"/>
                <w:b/>
                <w:bCs/>
                <w:color w:val="000000"/>
                <w:sz w:val="15"/>
                <w:szCs w:val="15"/>
                <w:lang w:eastAsia="es-MX"/>
              </w:rPr>
            </w:pPr>
            <w:r w:rsidRPr="008C72D8">
              <w:rPr>
                <w:rFonts w:ascii="Calibri" w:eastAsia="Times New Roman" w:hAnsi="Calibri" w:cs="Calibri"/>
                <w:b/>
                <w:bCs/>
                <w:color w:val="000000"/>
                <w:sz w:val="15"/>
                <w:szCs w:val="15"/>
                <w:lang w:eastAsia="es-MX"/>
              </w:rPr>
              <w:t>Negocios y Economía</w:t>
            </w:r>
          </w:p>
        </w:tc>
        <w:tc>
          <w:tcPr>
            <w:tcW w:w="900" w:type="dxa"/>
            <w:tcBorders>
              <w:top w:val="single" w:sz="4" w:space="0" w:color="auto"/>
              <w:left w:val="nil"/>
              <w:bottom w:val="single" w:sz="4" w:space="0" w:color="auto"/>
              <w:right w:val="single" w:sz="4" w:space="0" w:color="auto"/>
            </w:tcBorders>
            <w:shd w:val="clear" w:color="000000" w:fill="D9E1F2"/>
            <w:vAlign w:val="center"/>
            <w:hideMark/>
          </w:tcPr>
          <w:p w14:paraId="460C6BCE" w14:textId="77777777" w:rsidR="00D25E24" w:rsidRPr="008C72D8" w:rsidRDefault="00D25E24" w:rsidP="0078703F">
            <w:pPr>
              <w:spacing w:line="240" w:lineRule="auto"/>
              <w:jc w:val="center"/>
              <w:rPr>
                <w:rFonts w:ascii="Calibri" w:eastAsia="Times New Roman" w:hAnsi="Calibri" w:cs="Calibri"/>
                <w:b/>
                <w:bCs/>
                <w:color w:val="000000"/>
                <w:sz w:val="15"/>
                <w:szCs w:val="15"/>
                <w:lang w:eastAsia="es-MX"/>
              </w:rPr>
            </w:pPr>
            <w:r w:rsidRPr="008C72D8">
              <w:rPr>
                <w:rFonts w:ascii="Calibri" w:eastAsia="Times New Roman" w:hAnsi="Calibri" w:cs="Calibri"/>
                <w:b/>
                <w:bCs/>
                <w:color w:val="000000"/>
                <w:sz w:val="15"/>
                <w:szCs w:val="15"/>
                <w:lang w:eastAsia="es-MX"/>
              </w:rPr>
              <w:t>Psicología</w:t>
            </w:r>
          </w:p>
        </w:tc>
      </w:tr>
      <w:tr w:rsidR="00D25E24" w:rsidRPr="008C72D8" w14:paraId="171AFA28" w14:textId="77777777" w:rsidTr="0024082E">
        <w:trPr>
          <w:trHeight w:val="393"/>
          <w:jc w:val="center"/>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F50ED" w14:textId="77777777" w:rsidR="00D25E24" w:rsidRPr="008C72D8" w:rsidRDefault="00D25E24"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Citas</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67A07E7E"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15%</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1321A548"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27.5%</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0CCE7827"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35%</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67E41E19"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35%</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35638C2F"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25%</w:t>
            </w:r>
          </w:p>
        </w:tc>
        <w:tc>
          <w:tcPr>
            <w:tcW w:w="893" w:type="dxa"/>
            <w:tcBorders>
              <w:top w:val="single" w:sz="4" w:space="0" w:color="auto"/>
              <w:left w:val="nil"/>
              <w:bottom w:val="single" w:sz="4" w:space="0" w:color="auto"/>
              <w:right w:val="single" w:sz="4" w:space="0" w:color="auto"/>
            </w:tcBorders>
            <w:shd w:val="clear" w:color="auto" w:fill="auto"/>
            <w:vAlign w:val="center"/>
            <w:hideMark/>
          </w:tcPr>
          <w:p w14:paraId="4705BE84"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35%</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426AA6D1"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25%</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108E8A1A"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27.5%</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4754C9AF"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27.5%</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1ACA07EE"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25%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39F08A1"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35%</w:t>
            </w:r>
          </w:p>
        </w:tc>
      </w:tr>
      <w:tr w:rsidR="00D25E24" w:rsidRPr="008C72D8" w14:paraId="5C9FC54E" w14:textId="77777777" w:rsidTr="0024082E">
        <w:trPr>
          <w:trHeight w:val="393"/>
          <w:jc w:val="center"/>
        </w:trPr>
        <w:tc>
          <w:tcPr>
            <w:tcW w:w="13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FB9911" w14:textId="77777777" w:rsidR="00D25E24" w:rsidRPr="008C72D8" w:rsidRDefault="00D25E24"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Docencia</w:t>
            </w:r>
          </w:p>
        </w:tc>
        <w:tc>
          <w:tcPr>
            <w:tcW w:w="104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F2BCE0F"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37.4%</w:t>
            </w:r>
          </w:p>
        </w:tc>
        <w:tc>
          <w:tcPr>
            <w:tcW w:w="105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E8CE7B8"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30%</w:t>
            </w:r>
          </w:p>
        </w:tc>
        <w:tc>
          <w:tcPr>
            <w:tcW w:w="89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EA27414"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27.5%</w:t>
            </w:r>
          </w:p>
        </w:tc>
        <w:tc>
          <w:tcPr>
            <w:tcW w:w="89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94C153C"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27.5%</w:t>
            </w:r>
          </w:p>
        </w:tc>
        <w:tc>
          <w:tcPr>
            <w:tcW w:w="89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6D75CD7"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32.4%</w:t>
            </w:r>
          </w:p>
        </w:tc>
        <w:tc>
          <w:tcPr>
            <w:tcW w:w="8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F1166DD"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27.5%</w:t>
            </w:r>
          </w:p>
        </w:tc>
        <w:tc>
          <w:tcPr>
            <w:tcW w:w="89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9A4266B"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32.7%</w:t>
            </w:r>
          </w:p>
        </w:tc>
        <w:tc>
          <w:tcPr>
            <w:tcW w:w="89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62B38E"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32.7%</w:t>
            </w:r>
          </w:p>
        </w:tc>
        <w:tc>
          <w:tcPr>
            <w:tcW w:w="89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A8F42E1"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30%</w:t>
            </w:r>
          </w:p>
        </w:tc>
        <w:tc>
          <w:tcPr>
            <w:tcW w:w="89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505619E"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30.9%</w:t>
            </w:r>
          </w:p>
        </w:tc>
        <w:tc>
          <w:tcPr>
            <w:tcW w:w="9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A7EC6DD"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27.5%</w:t>
            </w:r>
          </w:p>
        </w:tc>
      </w:tr>
      <w:tr w:rsidR="00D25E24" w:rsidRPr="008C72D8" w14:paraId="0585E729" w14:textId="77777777" w:rsidTr="0024082E">
        <w:trPr>
          <w:trHeight w:val="393"/>
          <w:jc w:val="center"/>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123F0" w14:textId="77777777" w:rsidR="00D25E24" w:rsidRPr="008C72D8" w:rsidRDefault="00D25E24"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Investigación</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41ACAFE3"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37.6%</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18E4817E"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30%</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11487314"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27.5%</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23737180"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27.5%</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1ED60DEC"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32.6%</w:t>
            </w:r>
          </w:p>
        </w:tc>
        <w:tc>
          <w:tcPr>
            <w:tcW w:w="893" w:type="dxa"/>
            <w:tcBorders>
              <w:top w:val="single" w:sz="4" w:space="0" w:color="auto"/>
              <w:left w:val="nil"/>
              <w:bottom w:val="single" w:sz="4" w:space="0" w:color="auto"/>
              <w:right w:val="single" w:sz="4" w:space="0" w:color="auto"/>
            </w:tcBorders>
            <w:shd w:val="clear" w:color="auto" w:fill="auto"/>
            <w:vAlign w:val="center"/>
            <w:hideMark/>
          </w:tcPr>
          <w:p w14:paraId="14E0E915"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27.5%</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135A9603"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30.8%</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15399A3A"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29.8%</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5DDE7231"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30%</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39CFBAD0"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32.6%</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13E7E73"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27.5%</w:t>
            </w:r>
          </w:p>
        </w:tc>
      </w:tr>
      <w:tr w:rsidR="00D25E24" w:rsidRPr="008C72D8" w14:paraId="0184F2E0" w14:textId="77777777" w:rsidTr="0024082E">
        <w:trPr>
          <w:trHeight w:val="393"/>
          <w:jc w:val="center"/>
        </w:trPr>
        <w:tc>
          <w:tcPr>
            <w:tcW w:w="13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01BA3A" w14:textId="77777777" w:rsidR="00D25E24" w:rsidRPr="008C72D8" w:rsidRDefault="00D25E24"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Perspectiva internacional</w:t>
            </w:r>
            <w:r w:rsidRPr="008C72D8">
              <w:rPr>
                <w:rFonts w:ascii="Calibri" w:eastAsia="Times New Roman" w:hAnsi="Calibri" w:cs="Calibri"/>
                <w:color w:val="000000"/>
                <w:sz w:val="18"/>
                <w:szCs w:val="18"/>
                <w:lang w:eastAsia="es-MX"/>
              </w:rPr>
              <w:t xml:space="preserve"> </w:t>
            </w:r>
          </w:p>
        </w:tc>
        <w:tc>
          <w:tcPr>
            <w:tcW w:w="104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65234F6"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7.5%</w:t>
            </w:r>
          </w:p>
        </w:tc>
        <w:tc>
          <w:tcPr>
            <w:tcW w:w="105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C69ECD"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7.5%</w:t>
            </w:r>
          </w:p>
        </w:tc>
        <w:tc>
          <w:tcPr>
            <w:tcW w:w="89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0C70BB9"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7.5%</w:t>
            </w:r>
          </w:p>
        </w:tc>
        <w:tc>
          <w:tcPr>
            <w:tcW w:w="89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F19653D"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7.5%</w:t>
            </w:r>
          </w:p>
        </w:tc>
        <w:tc>
          <w:tcPr>
            <w:tcW w:w="89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C4DB55E"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7.5%</w:t>
            </w:r>
          </w:p>
        </w:tc>
        <w:tc>
          <w:tcPr>
            <w:tcW w:w="8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C33B9AE"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7.5%</w:t>
            </w:r>
          </w:p>
        </w:tc>
        <w:tc>
          <w:tcPr>
            <w:tcW w:w="89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7671C94"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9%</w:t>
            </w:r>
          </w:p>
        </w:tc>
        <w:tc>
          <w:tcPr>
            <w:tcW w:w="89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C047D6"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7.5%</w:t>
            </w:r>
          </w:p>
        </w:tc>
        <w:tc>
          <w:tcPr>
            <w:tcW w:w="89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090B010"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7.5%</w:t>
            </w:r>
          </w:p>
        </w:tc>
        <w:tc>
          <w:tcPr>
            <w:tcW w:w="89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9BF2F0E"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9%</w:t>
            </w:r>
          </w:p>
        </w:tc>
        <w:tc>
          <w:tcPr>
            <w:tcW w:w="9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67CEC61"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7.5%</w:t>
            </w:r>
          </w:p>
        </w:tc>
      </w:tr>
      <w:tr w:rsidR="00D25E24" w:rsidRPr="008C72D8" w14:paraId="594C4A28" w14:textId="77777777" w:rsidTr="0024082E">
        <w:trPr>
          <w:trHeight w:val="393"/>
          <w:jc w:val="center"/>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6203D" w14:textId="77777777" w:rsidR="00D25E24" w:rsidRPr="008C72D8" w:rsidRDefault="00D25E24"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Financiamiento de la industria</w:t>
            </w:r>
            <w:r w:rsidRPr="008C72D8">
              <w:rPr>
                <w:rFonts w:ascii="Calibri" w:eastAsia="Times New Roman" w:hAnsi="Calibri" w:cs="Calibri"/>
                <w:color w:val="000000"/>
                <w:sz w:val="18"/>
                <w:szCs w:val="18"/>
                <w:lang w:eastAsia="es-MX"/>
              </w:rPr>
              <w:t xml:space="preserve"> </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3CEFAC16"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2.5%</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14:paraId="51A9AAD2"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5%</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750B2A87"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2.5%</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486B80FE"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2.5%</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5F40652A"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2.5%</w:t>
            </w:r>
          </w:p>
        </w:tc>
        <w:tc>
          <w:tcPr>
            <w:tcW w:w="893" w:type="dxa"/>
            <w:tcBorders>
              <w:top w:val="single" w:sz="4" w:space="0" w:color="auto"/>
              <w:left w:val="nil"/>
              <w:bottom w:val="single" w:sz="4" w:space="0" w:color="auto"/>
              <w:right w:val="single" w:sz="4" w:space="0" w:color="auto"/>
            </w:tcBorders>
            <w:shd w:val="clear" w:color="auto" w:fill="auto"/>
            <w:vAlign w:val="center"/>
            <w:hideMark/>
          </w:tcPr>
          <w:p w14:paraId="4475F4BE"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2.5%</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7C3AF9DB"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2.5%</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7D9048C8"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2.5%</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2345152C"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5%</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2C49FDD8"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2.5%</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D9C1E89" w14:textId="77777777" w:rsidR="00D25E24" w:rsidRPr="008C72D8" w:rsidRDefault="00D25E24" w:rsidP="0078703F">
            <w:pPr>
              <w:spacing w:line="240" w:lineRule="auto"/>
              <w:jc w:val="center"/>
              <w:rPr>
                <w:rFonts w:ascii="Calibri" w:eastAsia="Times New Roman" w:hAnsi="Calibri" w:cs="Calibri"/>
                <w:color w:val="000000"/>
                <w:sz w:val="18"/>
                <w:szCs w:val="18"/>
                <w:lang w:eastAsia="es-MX"/>
              </w:rPr>
            </w:pPr>
            <w:r w:rsidRPr="008C72D8">
              <w:rPr>
                <w:rFonts w:ascii="Calibri" w:eastAsia="Times New Roman" w:hAnsi="Calibri" w:cs="Calibri"/>
                <w:color w:val="000000"/>
                <w:sz w:val="18"/>
                <w:szCs w:val="18"/>
                <w:lang w:eastAsia="es-MX"/>
              </w:rPr>
              <w:t>2.5%</w:t>
            </w:r>
          </w:p>
        </w:tc>
      </w:tr>
    </w:tbl>
    <w:p w14:paraId="5D84C90F" w14:textId="77777777" w:rsidR="00D25E24" w:rsidRPr="008C72D8" w:rsidRDefault="00D25E24" w:rsidP="0078703F">
      <w:pPr>
        <w:pStyle w:val="Prrafodelista"/>
        <w:spacing w:line="240" w:lineRule="auto"/>
        <w:jc w:val="both"/>
        <w:rPr>
          <w:sz w:val="24"/>
        </w:rPr>
      </w:pPr>
    </w:p>
    <w:p w14:paraId="01248E7F" w14:textId="1AEBD862" w:rsidR="00236AB1" w:rsidRPr="008C72D8" w:rsidRDefault="00236AB1" w:rsidP="0078703F">
      <w:pPr>
        <w:pStyle w:val="Prrafodelista"/>
        <w:spacing w:line="240" w:lineRule="auto"/>
        <w:jc w:val="both"/>
        <w:rPr>
          <w:sz w:val="24"/>
        </w:rPr>
      </w:pPr>
      <w:r w:rsidRPr="008C72D8">
        <w:rPr>
          <w:sz w:val="24"/>
        </w:rPr>
        <w:lastRenderedPageBreak/>
        <w:t>Todos los puntajes del ranking se encuentran normalizados al 100% con respecto a las universidades con mejor desempeño en cada indicador.</w:t>
      </w:r>
    </w:p>
    <w:p w14:paraId="73724C67" w14:textId="77777777" w:rsidR="00922309" w:rsidRPr="008C72D8" w:rsidRDefault="00922309" w:rsidP="0078703F">
      <w:pPr>
        <w:spacing w:line="240" w:lineRule="auto"/>
        <w:rPr>
          <w:b/>
          <w:sz w:val="24"/>
        </w:rPr>
      </w:pPr>
    </w:p>
    <w:p w14:paraId="5BC37BB3" w14:textId="77777777" w:rsidR="00A91F3D" w:rsidRPr="008C72D8" w:rsidRDefault="00A91F3D" w:rsidP="0078703F">
      <w:pPr>
        <w:pStyle w:val="Prrafodelista"/>
        <w:spacing w:line="240" w:lineRule="auto"/>
        <w:jc w:val="both"/>
        <w:rPr>
          <w:sz w:val="24"/>
        </w:rPr>
      </w:pPr>
      <w:r w:rsidRPr="008C72D8">
        <w:rPr>
          <w:b/>
          <w:sz w:val="24"/>
        </w:rPr>
        <w:t>Resultados por áreas de conocimiento</w:t>
      </w:r>
    </w:p>
    <w:p w14:paraId="6B6E64C8" w14:textId="6B51B118" w:rsidR="003857A7" w:rsidRPr="008C72D8" w:rsidRDefault="003857A7" w:rsidP="0078703F">
      <w:pPr>
        <w:pStyle w:val="Prrafodelista"/>
        <w:numPr>
          <w:ilvl w:val="0"/>
          <w:numId w:val="1"/>
        </w:numPr>
        <w:spacing w:line="240" w:lineRule="auto"/>
        <w:jc w:val="both"/>
        <w:rPr>
          <w:sz w:val="24"/>
        </w:rPr>
      </w:pPr>
      <w:r w:rsidRPr="008C72D8">
        <w:rPr>
          <w:sz w:val="24"/>
        </w:rPr>
        <w:t>En el THE por áreas del conocimiento 20</w:t>
      </w:r>
      <w:r w:rsidR="008C72D8">
        <w:rPr>
          <w:sz w:val="24"/>
        </w:rPr>
        <w:t>20</w:t>
      </w:r>
      <w:r w:rsidRPr="008C72D8">
        <w:rPr>
          <w:sz w:val="24"/>
        </w:rPr>
        <w:t>, fueron clasificadas un total de</w:t>
      </w:r>
      <w:r w:rsidR="00671354">
        <w:rPr>
          <w:sz w:val="24"/>
        </w:rPr>
        <w:t xml:space="preserve"> </w:t>
      </w:r>
      <w:r w:rsidRPr="008C72D8">
        <w:rPr>
          <w:sz w:val="24"/>
        </w:rPr>
        <w:t xml:space="preserve">clasificaron a </w:t>
      </w:r>
      <w:r w:rsidR="004711CF" w:rsidRPr="008C72D8">
        <w:rPr>
          <w:sz w:val="24"/>
        </w:rPr>
        <w:t>146</w:t>
      </w:r>
      <w:r w:rsidRPr="008C72D8">
        <w:rPr>
          <w:sz w:val="24"/>
        </w:rPr>
        <w:t xml:space="preserve"> universidades iberoamericanas de </w:t>
      </w:r>
      <w:r w:rsidR="004711CF" w:rsidRPr="008C72D8">
        <w:rPr>
          <w:sz w:val="24"/>
        </w:rPr>
        <w:t xml:space="preserve">once </w:t>
      </w:r>
      <w:r w:rsidRPr="008C72D8">
        <w:rPr>
          <w:sz w:val="24"/>
        </w:rPr>
        <w:t xml:space="preserve">países, a continuación se presentan los datos del número de universidades por país clasificadas en </w:t>
      </w:r>
      <w:r w:rsidR="004660D3" w:rsidRPr="008C72D8">
        <w:rPr>
          <w:sz w:val="24"/>
        </w:rPr>
        <w:t xml:space="preserve">al menos un </w:t>
      </w:r>
      <w:r w:rsidRPr="008C72D8">
        <w:rPr>
          <w:sz w:val="24"/>
        </w:rPr>
        <w:t xml:space="preserve">área del conocimiento, así como el puntaje obtenido por las universidades </w:t>
      </w:r>
      <w:r w:rsidR="00681D20" w:rsidRPr="008C72D8">
        <w:rPr>
          <w:sz w:val="24"/>
        </w:rPr>
        <w:t xml:space="preserve">en el TOP 10 </w:t>
      </w:r>
      <w:r w:rsidRPr="008C72D8">
        <w:rPr>
          <w:sz w:val="24"/>
        </w:rPr>
        <w:t>en los diferentes indicadores.</w:t>
      </w:r>
    </w:p>
    <w:p w14:paraId="4B16BAF5" w14:textId="77777777" w:rsidR="002A1E33" w:rsidRPr="008C72D8" w:rsidRDefault="002A1E33" w:rsidP="0078703F">
      <w:pPr>
        <w:spacing w:line="240" w:lineRule="auto"/>
        <w:jc w:val="both"/>
        <w:rPr>
          <w:sz w:val="24"/>
        </w:rPr>
      </w:pPr>
    </w:p>
    <w:tbl>
      <w:tblPr>
        <w:tblStyle w:val="Tablaconcuadrcula"/>
        <w:tblW w:w="103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23"/>
      </w:tblGrid>
      <w:tr w:rsidR="001216D6" w:rsidRPr="008C72D8" w14:paraId="69861584" w14:textId="77777777" w:rsidTr="0072387E">
        <w:trPr>
          <w:trHeight w:val="240"/>
          <w:jc w:val="center"/>
        </w:trPr>
        <w:tc>
          <w:tcPr>
            <w:tcW w:w="10323" w:type="dxa"/>
          </w:tcPr>
          <w:p w14:paraId="2B97618D" w14:textId="6D42E00B" w:rsidR="001216D6" w:rsidRPr="008C72D8" w:rsidRDefault="00B528BF" w:rsidP="0078703F">
            <w:pPr>
              <w:jc w:val="center"/>
              <w:rPr>
                <w:b/>
                <w:sz w:val="20"/>
              </w:rPr>
            </w:pPr>
            <w:r w:rsidRPr="008C72D8">
              <w:rPr>
                <w:b/>
                <w:sz w:val="20"/>
              </w:rPr>
              <w:t xml:space="preserve">Gráfico </w:t>
            </w:r>
            <w:r w:rsidR="0024082E" w:rsidRPr="008C72D8">
              <w:rPr>
                <w:b/>
                <w:sz w:val="20"/>
              </w:rPr>
              <w:t>1</w:t>
            </w:r>
            <w:r w:rsidRPr="008C72D8">
              <w:rPr>
                <w:b/>
                <w:sz w:val="20"/>
              </w:rPr>
              <w:t xml:space="preserve">. </w:t>
            </w:r>
            <w:r w:rsidR="004660D3" w:rsidRPr="008C72D8">
              <w:rPr>
                <w:b/>
                <w:sz w:val="20"/>
              </w:rPr>
              <w:t>Número de universidades clasificadas en el ranking THE</w:t>
            </w:r>
            <w:r w:rsidR="00C70E4F" w:rsidRPr="008C72D8">
              <w:rPr>
                <w:b/>
                <w:sz w:val="20"/>
              </w:rPr>
              <w:t>,</w:t>
            </w:r>
            <w:r w:rsidR="004660D3" w:rsidRPr="008C72D8">
              <w:rPr>
                <w:b/>
                <w:sz w:val="20"/>
              </w:rPr>
              <w:t xml:space="preserve"> en al menos un área del conocimiento</w:t>
            </w:r>
            <w:r w:rsidR="004711CF" w:rsidRPr="008C72D8">
              <w:rPr>
                <w:b/>
                <w:sz w:val="20"/>
              </w:rPr>
              <w:t>, 2020</w:t>
            </w:r>
            <w:r w:rsidRPr="008C72D8">
              <w:rPr>
                <w:b/>
                <w:sz w:val="20"/>
              </w:rPr>
              <w:t>.</w:t>
            </w:r>
          </w:p>
        </w:tc>
      </w:tr>
      <w:tr w:rsidR="001216D6" w:rsidRPr="008C72D8" w14:paraId="465C6670" w14:textId="77777777" w:rsidTr="0072387E">
        <w:tblPrEx>
          <w:tblCellMar>
            <w:left w:w="70" w:type="dxa"/>
            <w:right w:w="70" w:type="dxa"/>
          </w:tblCellMar>
        </w:tblPrEx>
        <w:trPr>
          <w:trHeight w:val="2863"/>
          <w:jc w:val="center"/>
        </w:trPr>
        <w:tc>
          <w:tcPr>
            <w:tcW w:w="10323" w:type="dxa"/>
          </w:tcPr>
          <w:p w14:paraId="56BDB1D7" w14:textId="1E4FE792" w:rsidR="001216D6" w:rsidRPr="008C72D8" w:rsidRDefault="004711CF" w:rsidP="0078703F">
            <w:pPr>
              <w:pStyle w:val="Prrafodelista"/>
              <w:ind w:left="0"/>
              <w:jc w:val="both"/>
              <w:rPr>
                <w:sz w:val="24"/>
              </w:rPr>
            </w:pPr>
            <w:r w:rsidRPr="008C72D8">
              <w:rPr>
                <w:noProof/>
                <w:lang w:eastAsia="es-MX"/>
              </w:rPr>
              <w:drawing>
                <wp:inline distT="0" distB="0" distL="0" distR="0" wp14:anchorId="7A739457" wp14:editId="4A997CBE">
                  <wp:extent cx="6488264" cy="2687541"/>
                  <wp:effectExtent l="0" t="0" r="825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5BED944C" w14:textId="77777777" w:rsidR="003857A7" w:rsidRPr="008C72D8" w:rsidRDefault="003857A7" w:rsidP="0078703F">
      <w:pPr>
        <w:spacing w:line="240" w:lineRule="auto"/>
        <w:jc w:val="both"/>
        <w:rPr>
          <w:sz w:val="24"/>
        </w:rPr>
      </w:pPr>
    </w:p>
    <w:tbl>
      <w:tblPr>
        <w:tblW w:w="11321" w:type="dxa"/>
        <w:jc w:val="center"/>
        <w:tblCellMar>
          <w:left w:w="70" w:type="dxa"/>
          <w:right w:w="70" w:type="dxa"/>
        </w:tblCellMar>
        <w:tblLook w:val="04A0" w:firstRow="1" w:lastRow="0" w:firstColumn="1" w:lastColumn="0" w:noHBand="0" w:noVBand="1"/>
      </w:tblPr>
      <w:tblGrid>
        <w:gridCol w:w="801"/>
        <w:gridCol w:w="3357"/>
        <w:gridCol w:w="834"/>
        <w:gridCol w:w="1044"/>
        <w:gridCol w:w="841"/>
        <w:gridCol w:w="1126"/>
        <w:gridCol w:w="850"/>
        <w:gridCol w:w="1295"/>
        <w:gridCol w:w="1173"/>
      </w:tblGrid>
      <w:tr w:rsidR="00810B7C" w:rsidRPr="008C72D8" w14:paraId="59F1DA51" w14:textId="77777777" w:rsidTr="0024082E">
        <w:trPr>
          <w:trHeight w:val="298"/>
          <w:tblHeader/>
          <w:jc w:val="center"/>
        </w:trPr>
        <w:tc>
          <w:tcPr>
            <w:tcW w:w="11321" w:type="dxa"/>
            <w:gridSpan w:val="9"/>
            <w:tcBorders>
              <w:top w:val="nil"/>
              <w:left w:val="nil"/>
              <w:bottom w:val="single" w:sz="4" w:space="0" w:color="auto"/>
              <w:right w:val="nil"/>
            </w:tcBorders>
            <w:shd w:val="clear" w:color="auto" w:fill="auto"/>
            <w:vAlign w:val="center"/>
            <w:hideMark/>
          </w:tcPr>
          <w:p w14:paraId="3E262F50" w14:textId="7BFE0242" w:rsidR="00810B7C" w:rsidRPr="008C72D8" w:rsidRDefault="00810B7C" w:rsidP="0078703F">
            <w:pPr>
              <w:spacing w:line="240" w:lineRule="auto"/>
              <w:jc w:val="center"/>
              <w:rPr>
                <w:rFonts w:ascii="Calibri" w:eastAsia="Times New Roman" w:hAnsi="Calibri" w:cs="Calibri"/>
                <w:b/>
                <w:bCs/>
                <w:color w:val="000000"/>
                <w:sz w:val="20"/>
                <w:szCs w:val="20"/>
                <w:lang w:eastAsia="es-MX"/>
              </w:rPr>
            </w:pPr>
            <w:r w:rsidRPr="008C72D8">
              <w:rPr>
                <w:rFonts w:ascii="Calibri" w:eastAsia="Times New Roman" w:hAnsi="Calibri" w:cs="Calibri"/>
                <w:b/>
                <w:bCs/>
                <w:color w:val="000000"/>
                <w:sz w:val="20"/>
                <w:szCs w:val="20"/>
                <w:lang w:eastAsia="es-MX"/>
              </w:rPr>
              <w:t xml:space="preserve">Tabla </w:t>
            </w:r>
            <w:r w:rsidR="0024082E" w:rsidRPr="008C72D8">
              <w:rPr>
                <w:rFonts w:ascii="Calibri" w:eastAsia="Times New Roman" w:hAnsi="Calibri" w:cs="Calibri"/>
                <w:b/>
                <w:bCs/>
                <w:color w:val="000000"/>
                <w:sz w:val="20"/>
                <w:szCs w:val="20"/>
                <w:lang w:eastAsia="es-MX"/>
              </w:rPr>
              <w:t>2</w:t>
            </w:r>
            <w:r w:rsidRPr="008C72D8">
              <w:rPr>
                <w:rFonts w:ascii="Calibri" w:eastAsia="Times New Roman" w:hAnsi="Calibri" w:cs="Calibri"/>
                <w:b/>
                <w:bCs/>
                <w:color w:val="000000"/>
                <w:sz w:val="20"/>
                <w:szCs w:val="20"/>
                <w:lang w:eastAsia="es-MX"/>
              </w:rPr>
              <w:t xml:space="preserve">. Posición de las universidades iberoamericanas </w:t>
            </w:r>
            <w:r w:rsidR="0072387E">
              <w:rPr>
                <w:rFonts w:ascii="Calibri" w:eastAsia="Times New Roman" w:hAnsi="Calibri" w:cs="Calibri"/>
                <w:b/>
                <w:bCs/>
                <w:color w:val="000000"/>
                <w:sz w:val="20"/>
                <w:szCs w:val="20"/>
                <w:lang w:eastAsia="es-MX"/>
              </w:rPr>
              <w:t xml:space="preserve">en el TOP 10 </w:t>
            </w:r>
            <w:r w:rsidRPr="008C72D8">
              <w:rPr>
                <w:rFonts w:ascii="Calibri" w:eastAsia="Times New Roman" w:hAnsi="Calibri" w:cs="Calibri"/>
                <w:b/>
                <w:bCs/>
                <w:color w:val="000000"/>
                <w:sz w:val="20"/>
                <w:szCs w:val="20"/>
                <w:lang w:eastAsia="es-MX"/>
              </w:rPr>
              <w:t xml:space="preserve">del ranking </w:t>
            </w:r>
            <w:r w:rsidR="0081233E" w:rsidRPr="008C72D8">
              <w:rPr>
                <w:rFonts w:ascii="Calibri" w:eastAsia="Times New Roman" w:hAnsi="Calibri" w:cs="Calibri"/>
                <w:b/>
                <w:bCs/>
                <w:color w:val="000000"/>
                <w:sz w:val="20"/>
                <w:szCs w:val="20"/>
                <w:lang w:eastAsia="es-MX"/>
              </w:rPr>
              <w:t xml:space="preserve">THE en el área de </w:t>
            </w:r>
            <w:r w:rsidRPr="008C72D8">
              <w:rPr>
                <w:rFonts w:ascii="Calibri" w:eastAsia="Times New Roman" w:hAnsi="Calibri" w:cs="Calibri"/>
                <w:b/>
                <w:bCs/>
                <w:color w:val="000000"/>
                <w:sz w:val="20"/>
                <w:szCs w:val="20"/>
                <w:lang w:eastAsia="es-MX"/>
              </w:rPr>
              <w:t>Artes y Humanidades, 2020.</w:t>
            </w:r>
          </w:p>
        </w:tc>
      </w:tr>
      <w:tr w:rsidR="00810B7C" w:rsidRPr="008C72D8" w14:paraId="0A522E4F" w14:textId="77777777" w:rsidTr="0024082E">
        <w:trPr>
          <w:trHeight w:val="477"/>
          <w:tblHeader/>
          <w:jc w:val="center"/>
        </w:trPr>
        <w:tc>
          <w:tcPr>
            <w:tcW w:w="801" w:type="dxa"/>
            <w:tcBorders>
              <w:top w:val="nil"/>
              <w:left w:val="single" w:sz="4" w:space="0" w:color="auto"/>
              <w:bottom w:val="single" w:sz="4" w:space="0" w:color="auto"/>
              <w:right w:val="single" w:sz="4" w:space="0" w:color="auto"/>
            </w:tcBorders>
            <w:shd w:val="clear" w:color="000000" w:fill="BDD6EE"/>
            <w:vAlign w:val="center"/>
            <w:hideMark/>
          </w:tcPr>
          <w:p w14:paraId="2E512F7E"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Posición</w:t>
            </w:r>
          </w:p>
        </w:tc>
        <w:tc>
          <w:tcPr>
            <w:tcW w:w="3357" w:type="dxa"/>
            <w:tcBorders>
              <w:top w:val="nil"/>
              <w:left w:val="nil"/>
              <w:bottom w:val="single" w:sz="4" w:space="0" w:color="auto"/>
              <w:right w:val="single" w:sz="4" w:space="0" w:color="auto"/>
            </w:tcBorders>
            <w:shd w:val="clear" w:color="auto" w:fill="BDD6EE" w:themeFill="accent1" w:themeFillTint="66"/>
            <w:vAlign w:val="center"/>
            <w:hideMark/>
          </w:tcPr>
          <w:p w14:paraId="7B97B4FC"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Institución</w:t>
            </w:r>
          </w:p>
        </w:tc>
        <w:tc>
          <w:tcPr>
            <w:tcW w:w="834" w:type="dxa"/>
            <w:tcBorders>
              <w:top w:val="nil"/>
              <w:left w:val="nil"/>
              <w:bottom w:val="single" w:sz="4" w:space="0" w:color="auto"/>
              <w:right w:val="single" w:sz="4" w:space="0" w:color="auto"/>
            </w:tcBorders>
            <w:shd w:val="clear" w:color="000000" w:fill="BDD6EE"/>
            <w:vAlign w:val="center"/>
            <w:hideMark/>
          </w:tcPr>
          <w:p w14:paraId="06071AF1"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País</w:t>
            </w:r>
          </w:p>
        </w:tc>
        <w:tc>
          <w:tcPr>
            <w:tcW w:w="1044" w:type="dxa"/>
            <w:tcBorders>
              <w:top w:val="nil"/>
              <w:left w:val="nil"/>
              <w:bottom w:val="single" w:sz="4" w:space="0" w:color="auto"/>
              <w:right w:val="single" w:sz="4" w:space="0" w:color="auto"/>
            </w:tcBorders>
            <w:shd w:val="clear" w:color="000000" w:fill="BDD6EE"/>
            <w:vAlign w:val="center"/>
            <w:hideMark/>
          </w:tcPr>
          <w:p w14:paraId="59A13889"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Puntaje General</w:t>
            </w:r>
          </w:p>
        </w:tc>
        <w:tc>
          <w:tcPr>
            <w:tcW w:w="841" w:type="dxa"/>
            <w:tcBorders>
              <w:top w:val="nil"/>
              <w:left w:val="nil"/>
              <w:bottom w:val="single" w:sz="4" w:space="0" w:color="auto"/>
              <w:right w:val="single" w:sz="4" w:space="0" w:color="auto"/>
            </w:tcBorders>
            <w:shd w:val="clear" w:color="000000" w:fill="BDD6EE"/>
            <w:vAlign w:val="center"/>
            <w:hideMark/>
          </w:tcPr>
          <w:p w14:paraId="1902C753"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 xml:space="preserve">Docencia </w:t>
            </w:r>
          </w:p>
        </w:tc>
        <w:tc>
          <w:tcPr>
            <w:tcW w:w="1126" w:type="dxa"/>
            <w:tcBorders>
              <w:top w:val="nil"/>
              <w:left w:val="nil"/>
              <w:bottom w:val="single" w:sz="4" w:space="0" w:color="auto"/>
              <w:right w:val="single" w:sz="4" w:space="0" w:color="auto"/>
            </w:tcBorders>
            <w:shd w:val="clear" w:color="000000" w:fill="BDD6EE"/>
            <w:vAlign w:val="center"/>
            <w:hideMark/>
          </w:tcPr>
          <w:p w14:paraId="1AA56FAE"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Investigación</w:t>
            </w:r>
          </w:p>
        </w:tc>
        <w:tc>
          <w:tcPr>
            <w:tcW w:w="850" w:type="dxa"/>
            <w:tcBorders>
              <w:top w:val="nil"/>
              <w:left w:val="nil"/>
              <w:bottom w:val="single" w:sz="4" w:space="0" w:color="auto"/>
              <w:right w:val="single" w:sz="4" w:space="0" w:color="auto"/>
            </w:tcBorders>
            <w:shd w:val="clear" w:color="000000" w:fill="BDD6EE"/>
            <w:vAlign w:val="center"/>
            <w:hideMark/>
          </w:tcPr>
          <w:p w14:paraId="57BA2659"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Citas</w:t>
            </w:r>
          </w:p>
        </w:tc>
        <w:tc>
          <w:tcPr>
            <w:tcW w:w="1295" w:type="dxa"/>
            <w:tcBorders>
              <w:top w:val="nil"/>
              <w:left w:val="nil"/>
              <w:bottom w:val="single" w:sz="4" w:space="0" w:color="auto"/>
              <w:right w:val="single" w:sz="4" w:space="0" w:color="auto"/>
            </w:tcBorders>
            <w:shd w:val="clear" w:color="000000" w:fill="BDD6EE"/>
            <w:vAlign w:val="center"/>
            <w:hideMark/>
          </w:tcPr>
          <w:p w14:paraId="1B5E10C1"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 xml:space="preserve">Financiamiento de la industria </w:t>
            </w:r>
          </w:p>
        </w:tc>
        <w:tc>
          <w:tcPr>
            <w:tcW w:w="1173" w:type="dxa"/>
            <w:tcBorders>
              <w:top w:val="nil"/>
              <w:left w:val="nil"/>
              <w:bottom w:val="single" w:sz="4" w:space="0" w:color="auto"/>
              <w:right w:val="single" w:sz="4" w:space="0" w:color="auto"/>
            </w:tcBorders>
            <w:shd w:val="clear" w:color="000000" w:fill="BDD6EE"/>
            <w:vAlign w:val="center"/>
            <w:hideMark/>
          </w:tcPr>
          <w:p w14:paraId="02B58F96"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Perspectiva internacional</w:t>
            </w:r>
          </w:p>
        </w:tc>
      </w:tr>
      <w:tr w:rsidR="0072387E" w:rsidRPr="008C72D8" w14:paraId="5C8329ED"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DC744C0" w14:textId="19DDFFC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101–125</w:t>
            </w:r>
          </w:p>
        </w:tc>
        <w:tc>
          <w:tcPr>
            <w:tcW w:w="3357" w:type="dxa"/>
            <w:tcBorders>
              <w:top w:val="nil"/>
              <w:left w:val="nil"/>
              <w:bottom w:val="single" w:sz="4" w:space="0" w:color="auto"/>
              <w:right w:val="single" w:sz="4" w:space="0" w:color="auto"/>
            </w:tcBorders>
            <w:shd w:val="clear" w:color="auto" w:fill="auto"/>
            <w:noWrap/>
            <w:vAlign w:val="center"/>
          </w:tcPr>
          <w:p w14:paraId="30A53F20" w14:textId="74AB0A60"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Autónoma de Barcelona</w:t>
            </w:r>
          </w:p>
        </w:tc>
        <w:tc>
          <w:tcPr>
            <w:tcW w:w="834" w:type="dxa"/>
            <w:tcBorders>
              <w:top w:val="nil"/>
              <w:left w:val="nil"/>
              <w:bottom w:val="single" w:sz="4" w:space="0" w:color="auto"/>
              <w:right w:val="single" w:sz="4" w:space="0" w:color="auto"/>
            </w:tcBorders>
            <w:shd w:val="clear" w:color="auto" w:fill="auto"/>
            <w:vAlign w:val="center"/>
          </w:tcPr>
          <w:p w14:paraId="4E7380DC" w14:textId="60B9F9D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40234C07" w14:textId="59B2756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40.4–45.1</w:t>
            </w:r>
          </w:p>
        </w:tc>
        <w:tc>
          <w:tcPr>
            <w:tcW w:w="841" w:type="dxa"/>
            <w:tcBorders>
              <w:top w:val="nil"/>
              <w:left w:val="nil"/>
              <w:bottom w:val="single" w:sz="4" w:space="0" w:color="auto"/>
              <w:right w:val="single" w:sz="4" w:space="0" w:color="auto"/>
            </w:tcBorders>
            <w:shd w:val="clear" w:color="auto" w:fill="auto"/>
            <w:noWrap/>
            <w:vAlign w:val="center"/>
          </w:tcPr>
          <w:p w14:paraId="25289172" w14:textId="2E4F21D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40.5</w:t>
            </w:r>
          </w:p>
        </w:tc>
        <w:tc>
          <w:tcPr>
            <w:tcW w:w="1126" w:type="dxa"/>
            <w:tcBorders>
              <w:top w:val="nil"/>
              <w:left w:val="nil"/>
              <w:bottom w:val="single" w:sz="4" w:space="0" w:color="auto"/>
              <w:right w:val="single" w:sz="4" w:space="0" w:color="auto"/>
            </w:tcBorders>
            <w:shd w:val="clear" w:color="auto" w:fill="auto"/>
            <w:noWrap/>
            <w:vAlign w:val="center"/>
          </w:tcPr>
          <w:p w14:paraId="20608148" w14:textId="2CD2607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37</w:t>
            </w:r>
          </w:p>
        </w:tc>
        <w:tc>
          <w:tcPr>
            <w:tcW w:w="850" w:type="dxa"/>
            <w:tcBorders>
              <w:top w:val="nil"/>
              <w:left w:val="nil"/>
              <w:bottom w:val="single" w:sz="4" w:space="0" w:color="auto"/>
              <w:right w:val="single" w:sz="4" w:space="0" w:color="auto"/>
            </w:tcBorders>
            <w:shd w:val="clear" w:color="auto" w:fill="auto"/>
            <w:vAlign w:val="center"/>
          </w:tcPr>
          <w:p w14:paraId="314C69D8" w14:textId="1DCB9EE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54.3</w:t>
            </w:r>
          </w:p>
        </w:tc>
        <w:tc>
          <w:tcPr>
            <w:tcW w:w="1295" w:type="dxa"/>
            <w:tcBorders>
              <w:top w:val="nil"/>
              <w:left w:val="nil"/>
              <w:bottom w:val="single" w:sz="4" w:space="0" w:color="auto"/>
              <w:right w:val="single" w:sz="4" w:space="0" w:color="auto"/>
            </w:tcBorders>
            <w:shd w:val="clear" w:color="auto" w:fill="auto"/>
            <w:noWrap/>
            <w:vAlign w:val="center"/>
          </w:tcPr>
          <w:p w14:paraId="5B855045" w14:textId="279AFBE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37</w:t>
            </w:r>
          </w:p>
        </w:tc>
        <w:tc>
          <w:tcPr>
            <w:tcW w:w="1173" w:type="dxa"/>
            <w:tcBorders>
              <w:top w:val="nil"/>
              <w:left w:val="nil"/>
              <w:bottom w:val="single" w:sz="4" w:space="0" w:color="auto"/>
              <w:right w:val="single" w:sz="4" w:space="0" w:color="auto"/>
            </w:tcBorders>
            <w:shd w:val="clear" w:color="auto" w:fill="auto"/>
            <w:noWrap/>
            <w:vAlign w:val="center"/>
          </w:tcPr>
          <w:p w14:paraId="246547E0" w14:textId="7FBF72E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62.8</w:t>
            </w:r>
          </w:p>
        </w:tc>
      </w:tr>
      <w:tr w:rsidR="0072387E" w:rsidRPr="008C72D8" w14:paraId="3FADB763"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2EEC42DD" w14:textId="6EA931B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101–125</w:t>
            </w:r>
          </w:p>
        </w:tc>
        <w:tc>
          <w:tcPr>
            <w:tcW w:w="3357" w:type="dxa"/>
            <w:tcBorders>
              <w:top w:val="nil"/>
              <w:left w:val="nil"/>
              <w:bottom w:val="single" w:sz="4" w:space="0" w:color="auto"/>
              <w:right w:val="single" w:sz="4" w:space="0" w:color="auto"/>
            </w:tcBorders>
            <w:shd w:val="clear" w:color="000000" w:fill="E7E6E6"/>
            <w:noWrap/>
            <w:vAlign w:val="center"/>
          </w:tcPr>
          <w:p w14:paraId="38CDE2FD" w14:textId="6BE5DD53"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Complutense de Madrid</w:t>
            </w:r>
          </w:p>
        </w:tc>
        <w:tc>
          <w:tcPr>
            <w:tcW w:w="834" w:type="dxa"/>
            <w:tcBorders>
              <w:top w:val="nil"/>
              <w:left w:val="nil"/>
              <w:bottom w:val="single" w:sz="4" w:space="0" w:color="auto"/>
              <w:right w:val="single" w:sz="4" w:space="0" w:color="auto"/>
            </w:tcBorders>
            <w:shd w:val="clear" w:color="000000" w:fill="E7E6E6"/>
            <w:vAlign w:val="center"/>
          </w:tcPr>
          <w:p w14:paraId="4D89E16C" w14:textId="6C68A5D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3D99BA16" w14:textId="05B04B6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40.4–45.1</w:t>
            </w:r>
          </w:p>
        </w:tc>
        <w:tc>
          <w:tcPr>
            <w:tcW w:w="841" w:type="dxa"/>
            <w:tcBorders>
              <w:top w:val="nil"/>
              <w:left w:val="nil"/>
              <w:bottom w:val="single" w:sz="4" w:space="0" w:color="auto"/>
              <w:right w:val="single" w:sz="4" w:space="0" w:color="auto"/>
            </w:tcBorders>
            <w:shd w:val="clear" w:color="000000" w:fill="E7E6E6"/>
            <w:noWrap/>
            <w:vAlign w:val="center"/>
          </w:tcPr>
          <w:p w14:paraId="4D84AD44" w14:textId="574A98B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49</w:t>
            </w:r>
          </w:p>
        </w:tc>
        <w:tc>
          <w:tcPr>
            <w:tcW w:w="1126" w:type="dxa"/>
            <w:tcBorders>
              <w:top w:val="nil"/>
              <w:left w:val="nil"/>
              <w:bottom w:val="single" w:sz="4" w:space="0" w:color="auto"/>
              <w:right w:val="single" w:sz="4" w:space="0" w:color="auto"/>
            </w:tcBorders>
            <w:shd w:val="clear" w:color="000000" w:fill="E7E6E6"/>
            <w:noWrap/>
            <w:vAlign w:val="center"/>
          </w:tcPr>
          <w:p w14:paraId="75F7EA48" w14:textId="63D0C76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38.1</w:t>
            </w:r>
          </w:p>
        </w:tc>
        <w:tc>
          <w:tcPr>
            <w:tcW w:w="850" w:type="dxa"/>
            <w:tcBorders>
              <w:top w:val="nil"/>
              <w:left w:val="nil"/>
              <w:bottom w:val="single" w:sz="4" w:space="0" w:color="auto"/>
              <w:right w:val="single" w:sz="4" w:space="0" w:color="auto"/>
            </w:tcBorders>
            <w:shd w:val="clear" w:color="000000" w:fill="E7E6E6"/>
            <w:vAlign w:val="center"/>
          </w:tcPr>
          <w:p w14:paraId="42E3D187" w14:textId="5B7F3D2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31.8</w:t>
            </w:r>
          </w:p>
        </w:tc>
        <w:tc>
          <w:tcPr>
            <w:tcW w:w="1295" w:type="dxa"/>
            <w:tcBorders>
              <w:top w:val="nil"/>
              <w:left w:val="nil"/>
              <w:bottom w:val="single" w:sz="4" w:space="0" w:color="auto"/>
              <w:right w:val="single" w:sz="4" w:space="0" w:color="auto"/>
            </w:tcBorders>
            <w:shd w:val="clear" w:color="000000" w:fill="E7E6E6"/>
            <w:noWrap/>
            <w:vAlign w:val="center"/>
          </w:tcPr>
          <w:p w14:paraId="38EA0E2C" w14:textId="3B59962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35.1</w:t>
            </w:r>
          </w:p>
        </w:tc>
        <w:tc>
          <w:tcPr>
            <w:tcW w:w="1173" w:type="dxa"/>
            <w:tcBorders>
              <w:top w:val="nil"/>
              <w:left w:val="nil"/>
              <w:bottom w:val="single" w:sz="4" w:space="0" w:color="auto"/>
              <w:right w:val="single" w:sz="4" w:space="0" w:color="auto"/>
            </w:tcBorders>
            <w:shd w:val="clear" w:color="000000" w:fill="E7E6E6"/>
            <w:noWrap/>
            <w:vAlign w:val="center"/>
          </w:tcPr>
          <w:p w14:paraId="062E7791" w14:textId="76E2043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28.3</w:t>
            </w:r>
          </w:p>
        </w:tc>
      </w:tr>
      <w:tr w:rsidR="0072387E" w:rsidRPr="008C72D8" w14:paraId="031802E9"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6613646" w14:textId="57C9D9E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101–125</w:t>
            </w:r>
          </w:p>
        </w:tc>
        <w:tc>
          <w:tcPr>
            <w:tcW w:w="3357" w:type="dxa"/>
            <w:tcBorders>
              <w:top w:val="nil"/>
              <w:left w:val="nil"/>
              <w:bottom w:val="single" w:sz="4" w:space="0" w:color="auto"/>
              <w:right w:val="single" w:sz="4" w:space="0" w:color="auto"/>
            </w:tcBorders>
            <w:shd w:val="clear" w:color="auto" w:fill="auto"/>
            <w:noWrap/>
            <w:vAlign w:val="center"/>
          </w:tcPr>
          <w:p w14:paraId="5A6BBEB8" w14:textId="75BA2872"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Barcelona</w:t>
            </w:r>
          </w:p>
        </w:tc>
        <w:tc>
          <w:tcPr>
            <w:tcW w:w="834" w:type="dxa"/>
            <w:tcBorders>
              <w:top w:val="nil"/>
              <w:left w:val="nil"/>
              <w:bottom w:val="single" w:sz="4" w:space="0" w:color="auto"/>
              <w:right w:val="single" w:sz="4" w:space="0" w:color="auto"/>
            </w:tcBorders>
            <w:shd w:val="clear" w:color="auto" w:fill="auto"/>
            <w:vAlign w:val="center"/>
          </w:tcPr>
          <w:p w14:paraId="728087E2" w14:textId="01AE84F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47E9F0A6" w14:textId="1F2FD2C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40.4–45.1</w:t>
            </w:r>
          </w:p>
        </w:tc>
        <w:tc>
          <w:tcPr>
            <w:tcW w:w="841" w:type="dxa"/>
            <w:tcBorders>
              <w:top w:val="nil"/>
              <w:left w:val="nil"/>
              <w:bottom w:val="single" w:sz="4" w:space="0" w:color="auto"/>
              <w:right w:val="single" w:sz="4" w:space="0" w:color="auto"/>
            </w:tcBorders>
            <w:shd w:val="clear" w:color="auto" w:fill="auto"/>
            <w:noWrap/>
            <w:vAlign w:val="center"/>
          </w:tcPr>
          <w:p w14:paraId="74C1DA68" w14:textId="08B59DA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42.3</w:t>
            </w:r>
          </w:p>
        </w:tc>
        <w:tc>
          <w:tcPr>
            <w:tcW w:w="1126" w:type="dxa"/>
            <w:tcBorders>
              <w:top w:val="nil"/>
              <w:left w:val="nil"/>
              <w:bottom w:val="single" w:sz="4" w:space="0" w:color="auto"/>
              <w:right w:val="single" w:sz="4" w:space="0" w:color="auto"/>
            </w:tcBorders>
            <w:shd w:val="clear" w:color="auto" w:fill="auto"/>
            <w:noWrap/>
            <w:vAlign w:val="center"/>
          </w:tcPr>
          <w:p w14:paraId="4BE4BA45" w14:textId="3A6D97C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40</w:t>
            </w:r>
          </w:p>
        </w:tc>
        <w:tc>
          <w:tcPr>
            <w:tcW w:w="850" w:type="dxa"/>
            <w:tcBorders>
              <w:top w:val="nil"/>
              <w:left w:val="nil"/>
              <w:bottom w:val="single" w:sz="4" w:space="0" w:color="auto"/>
              <w:right w:val="single" w:sz="4" w:space="0" w:color="auto"/>
            </w:tcBorders>
            <w:shd w:val="clear" w:color="auto" w:fill="auto"/>
            <w:vAlign w:val="center"/>
          </w:tcPr>
          <w:p w14:paraId="20CAD7E3" w14:textId="1963DEF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48.4</w:t>
            </w:r>
          </w:p>
        </w:tc>
        <w:tc>
          <w:tcPr>
            <w:tcW w:w="1295" w:type="dxa"/>
            <w:tcBorders>
              <w:top w:val="nil"/>
              <w:left w:val="nil"/>
              <w:bottom w:val="single" w:sz="4" w:space="0" w:color="auto"/>
              <w:right w:val="single" w:sz="4" w:space="0" w:color="auto"/>
            </w:tcBorders>
            <w:shd w:val="clear" w:color="auto" w:fill="auto"/>
            <w:noWrap/>
            <w:vAlign w:val="center"/>
          </w:tcPr>
          <w:p w14:paraId="20C8EBBE" w14:textId="276E973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37.5</w:t>
            </w:r>
          </w:p>
        </w:tc>
        <w:tc>
          <w:tcPr>
            <w:tcW w:w="1173" w:type="dxa"/>
            <w:tcBorders>
              <w:top w:val="nil"/>
              <w:left w:val="nil"/>
              <w:bottom w:val="single" w:sz="4" w:space="0" w:color="auto"/>
              <w:right w:val="single" w:sz="4" w:space="0" w:color="auto"/>
            </w:tcBorders>
            <w:shd w:val="clear" w:color="auto" w:fill="auto"/>
            <w:noWrap/>
            <w:vAlign w:val="center"/>
          </w:tcPr>
          <w:p w14:paraId="5708AE6A" w14:textId="58AC8DE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42.5</w:t>
            </w:r>
          </w:p>
        </w:tc>
      </w:tr>
      <w:tr w:rsidR="0072387E" w:rsidRPr="008C72D8" w14:paraId="3B78623E"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4B34556C" w14:textId="6ECD684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101–125</w:t>
            </w:r>
          </w:p>
        </w:tc>
        <w:tc>
          <w:tcPr>
            <w:tcW w:w="3357" w:type="dxa"/>
            <w:tcBorders>
              <w:top w:val="nil"/>
              <w:left w:val="nil"/>
              <w:bottom w:val="single" w:sz="4" w:space="0" w:color="auto"/>
              <w:right w:val="single" w:sz="4" w:space="0" w:color="auto"/>
            </w:tcBorders>
            <w:shd w:val="clear" w:color="000000" w:fill="E7E6E6"/>
            <w:noWrap/>
            <w:vAlign w:val="center"/>
          </w:tcPr>
          <w:p w14:paraId="31BDF398" w14:textId="5925776E"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Nacional Autónoma de México</w:t>
            </w:r>
          </w:p>
        </w:tc>
        <w:tc>
          <w:tcPr>
            <w:tcW w:w="834" w:type="dxa"/>
            <w:tcBorders>
              <w:top w:val="nil"/>
              <w:left w:val="nil"/>
              <w:bottom w:val="single" w:sz="4" w:space="0" w:color="auto"/>
              <w:right w:val="single" w:sz="4" w:space="0" w:color="auto"/>
            </w:tcBorders>
            <w:shd w:val="clear" w:color="000000" w:fill="E7E6E6"/>
            <w:vAlign w:val="center"/>
          </w:tcPr>
          <w:p w14:paraId="5F36D327" w14:textId="0D638D8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México</w:t>
            </w:r>
          </w:p>
        </w:tc>
        <w:tc>
          <w:tcPr>
            <w:tcW w:w="1044" w:type="dxa"/>
            <w:tcBorders>
              <w:top w:val="nil"/>
              <w:left w:val="nil"/>
              <w:bottom w:val="single" w:sz="4" w:space="0" w:color="auto"/>
              <w:right w:val="single" w:sz="4" w:space="0" w:color="auto"/>
            </w:tcBorders>
            <w:shd w:val="clear" w:color="000000" w:fill="E7E6E6"/>
            <w:noWrap/>
            <w:vAlign w:val="center"/>
          </w:tcPr>
          <w:p w14:paraId="554F5D34" w14:textId="3F385FD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40.4–45.1</w:t>
            </w:r>
          </w:p>
        </w:tc>
        <w:tc>
          <w:tcPr>
            <w:tcW w:w="841" w:type="dxa"/>
            <w:tcBorders>
              <w:top w:val="nil"/>
              <w:left w:val="nil"/>
              <w:bottom w:val="single" w:sz="4" w:space="0" w:color="auto"/>
              <w:right w:val="single" w:sz="4" w:space="0" w:color="auto"/>
            </w:tcBorders>
            <w:shd w:val="clear" w:color="000000" w:fill="E7E6E6"/>
            <w:noWrap/>
            <w:vAlign w:val="center"/>
          </w:tcPr>
          <w:p w14:paraId="60B76C28" w14:textId="70C163A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44.2</w:t>
            </w:r>
          </w:p>
        </w:tc>
        <w:tc>
          <w:tcPr>
            <w:tcW w:w="1126" w:type="dxa"/>
            <w:tcBorders>
              <w:top w:val="nil"/>
              <w:left w:val="nil"/>
              <w:bottom w:val="single" w:sz="4" w:space="0" w:color="auto"/>
              <w:right w:val="single" w:sz="4" w:space="0" w:color="auto"/>
            </w:tcBorders>
            <w:shd w:val="clear" w:color="000000" w:fill="E7E6E6"/>
            <w:noWrap/>
            <w:vAlign w:val="center"/>
          </w:tcPr>
          <w:p w14:paraId="77BD1351" w14:textId="46186EA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38.8</w:t>
            </w:r>
          </w:p>
        </w:tc>
        <w:tc>
          <w:tcPr>
            <w:tcW w:w="850" w:type="dxa"/>
            <w:tcBorders>
              <w:top w:val="nil"/>
              <w:left w:val="nil"/>
              <w:bottom w:val="single" w:sz="4" w:space="0" w:color="auto"/>
              <w:right w:val="single" w:sz="4" w:space="0" w:color="auto"/>
            </w:tcBorders>
            <w:shd w:val="clear" w:color="000000" w:fill="E7E6E6"/>
            <w:vAlign w:val="center"/>
          </w:tcPr>
          <w:p w14:paraId="2B9B13FF" w14:textId="325AFCD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31.1</w:t>
            </w:r>
          </w:p>
        </w:tc>
        <w:tc>
          <w:tcPr>
            <w:tcW w:w="1295" w:type="dxa"/>
            <w:tcBorders>
              <w:top w:val="nil"/>
              <w:left w:val="nil"/>
              <w:bottom w:val="single" w:sz="4" w:space="0" w:color="auto"/>
              <w:right w:val="single" w:sz="4" w:space="0" w:color="auto"/>
            </w:tcBorders>
            <w:shd w:val="clear" w:color="000000" w:fill="E7E6E6"/>
            <w:noWrap/>
            <w:vAlign w:val="center"/>
          </w:tcPr>
          <w:p w14:paraId="775AE3FE" w14:textId="67A20EE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98.9</w:t>
            </w:r>
          </w:p>
        </w:tc>
        <w:tc>
          <w:tcPr>
            <w:tcW w:w="1173" w:type="dxa"/>
            <w:tcBorders>
              <w:top w:val="nil"/>
              <w:left w:val="nil"/>
              <w:bottom w:val="single" w:sz="4" w:space="0" w:color="auto"/>
              <w:right w:val="single" w:sz="4" w:space="0" w:color="auto"/>
            </w:tcBorders>
            <w:shd w:val="clear" w:color="000000" w:fill="E7E6E6"/>
            <w:noWrap/>
            <w:vAlign w:val="center"/>
          </w:tcPr>
          <w:p w14:paraId="74E9769D" w14:textId="4F22B57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44.4</w:t>
            </w:r>
          </w:p>
        </w:tc>
      </w:tr>
      <w:tr w:rsidR="0072387E" w:rsidRPr="008C72D8" w14:paraId="442B9C29"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45DAC15" w14:textId="0198989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126–150</w:t>
            </w:r>
          </w:p>
        </w:tc>
        <w:tc>
          <w:tcPr>
            <w:tcW w:w="3357" w:type="dxa"/>
            <w:tcBorders>
              <w:top w:val="nil"/>
              <w:left w:val="nil"/>
              <w:bottom w:val="single" w:sz="4" w:space="0" w:color="auto"/>
              <w:right w:val="single" w:sz="4" w:space="0" w:color="auto"/>
            </w:tcBorders>
            <w:shd w:val="clear" w:color="auto" w:fill="auto"/>
            <w:noWrap/>
            <w:vAlign w:val="center"/>
          </w:tcPr>
          <w:p w14:paraId="689F6703" w14:textId="56234E3F"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Pompeu Fabra</w:t>
            </w:r>
          </w:p>
        </w:tc>
        <w:tc>
          <w:tcPr>
            <w:tcW w:w="834" w:type="dxa"/>
            <w:tcBorders>
              <w:top w:val="nil"/>
              <w:left w:val="nil"/>
              <w:bottom w:val="single" w:sz="4" w:space="0" w:color="auto"/>
              <w:right w:val="single" w:sz="4" w:space="0" w:color="auto"/>
            </w:tcBorders>
            <w:shd w:val="clear" w:color="auto" w:fill="auto"/>
            <w:vAlign w:val="center"/>
          </w:tcPr>
          <w:p w14:paraId="463FBF92" w14:textId="237D9BD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16A529F2" w14:textId="24D1051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36.9–40.3</w:t>
            </w:r>
          </w:p>
        </w:tc>
        <w:tc>
          <w:tcPr>
            <w:tcW w:w="841" w:type="dxa"/>
            <w:tcBorders>
              <w:top w:val="nil"/>
              <w:left w:val="nil"/>
              <w:bottom w:val="single" w:sz="4" w:space="0" w:color="auto"/>
              <w:right w:val="single" w:sz="4" w:space="0" w:color="auto"/>
            </w:tcBorders>
            <w:shd w:val="clear" w:color="auto" w:fill="auto"/>
            <w:noWrap/>
            <w:vAlign w:val="center"/>
          </w:tcPr>
          <w:p w14:paraId="5946DD96" w14:textId="01BDFA3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27.4</w:t>
            </w:r>
          </w:p>
        </w:tc>
        <w:tc>
          <w:tcPr>
            <w:tcW w:w="1126" w:type="dxa"/>
            <w:tcBorders>
              <w:top w:val="nil"/>
              <w:left w:val="nil"/>
              <w:bottom w:val="single" w:sz="4" w:space="0" w:color="auto"/>
              <w:right w:val="single" w:sz="4" w:space="0" w:color="auto"/>
            </w:tcBorders>
            <w:shd w:val="clear" w:color="auto" w:fill="auto"/>
            <w:noWrap/>
            <w:vAlign w:val="center"/>
          </w:tcPr>
          <w:p w14:paraId="0EAFB7EF" w14:textId="70359B5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32.5</w:t>
            </w:r>
          </w:p>
        </w:tc>
        <w:tc>
          <w:tcPr>
            <w:tcW w:w="850" w:type="dxa"/>
            <w:tcBorders>
              <w:top w:val="nil"/>
              <w:left w:val="nil"/>
              <w:bottom w:val="single" w:sz="4" w:space="0" w:color="auto"/>
              <w:right w:val="single" w:sz="4" w:space="0" w:color="auto"/>
            </w:tcBorders>
            <w:shd w:val="clear" w:color="auto" w:fill="auto"/>
            <w:vAlign w:val="center"/>
          </w:tcPr>
          <w:p w14:paraId="063009A5" w14:textId="53949C9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61.9</w:t>
            </w:r>
          </w:p>
        </w:tc>
        <w:tc>
          <w:tcPr>
            <w:tcW w:w="1295" w:type="dxa"/>
            <w:tcBorders>
              <w:top w:val="nil"/>
              <w:left w:val="nil"/>
              <w:bottom w:val="single" w:sz="4" w:space="0" w:color="auto"/>
              <w:right w:val="single" w:sz="4" w:space="0" w:color="auto"/>
            </w:tcBorders>
            <w:shd w:val="clear" w:color="auto" w:fill="auto"/>
            <w:noWrap/>
            <w:vAlign w:val="center"/>
          </w:tcPr>
          <w:p w14:paraId="7BEEACCB" w14:textId="07482AB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38.1</w:t>
            </w:r>
          </w:p>
        </w:tc>
        <w:tc>
          <w:tcPr>
            <w:tcW w:w="1173" w:type="dxa"/>
            <w:tcBorders>
              <w:top w:val="nil"/>
              <w:left w:val="nil"/>
              <w:bottom w:val="single" w:sz="4" w:space="0" w:color="auto"/>
              <w:right w:val="single" w:sz="4" w:space="0" w:color="auto"/>
            </w:tcBorders>
            <w:shd w:val="clear" w:color="auto" w:fill="auto"/>
            <w:noWrap/>
            <w:vAlign w:val="center"/>
          </w:tcPr>
          <w:p w14:paraId="0E67EE3F" w14:textId="769C855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55.3</w:t>
            </w:r>
          </w:p>
        </w:tc>
      </w:tr>
      <w:tr w:rsidR="0072387E" w:rsidRPr="008C72D8" w14:paraId="05145123"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5812B05A" w14:textId="6DB4AEB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151–175</w:t>
            </w:r>
          </w:p>
        </w:tc>
        <w:tc>
          <w:tcPr>
            <w:tcW w:w="3357" w:type="dxa"/>
            <w:tcBorders>
              <w:top w:val="nil"/>
              <w:left w:val="nil"/>
              <w:bottom w:val="single" w:sz="4" w:space="0" w:color="auto"/>
              <w:right w:val="single" w:sz="4" w:space="0" w:color="auto"/>
            </w:tcBorders>
            <w:shd w:val="clear" w:color="000000" w:fill="E7E6E6"/>
            <w:noWrap/>
            <w:vAlign w:val="center"/>
          </w:tcPr>
          <w:p w14:paraId="60045645" w14:textId="479FF81A"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Sao Paulo</w:t>
            </w:r>
          </w:p>
        </w:tc>
        <w:tc>
          <w:tcPr>
            <w:tcW w:w="834" w:type="dxa"/>
            <w:tcBorders>
              <w:top w:val="nil"/>
              <w:left w:val="nil"/>
              <w:bottom w:val="single" w:sz="4" w:space="0" w:color="auto"/>
              <w:right w:val="single" w:sz="4" w:space="0" w:color="auto"/>
            </w:tcBorders>
            <w:shd w:val="clear" w:color="000000" w:fill="E7E6E6"/>
            <w:vAlign w:val="center"/>
          </w:tcPr>
          <w:p w14:paraId="216E6C49" w14:textId="5EFDD1E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Brasil</w:t>
            </w:r>
          </w:p>
        </w:tc>
        <w:tc>
          <w:tcPr>
            <w:tcW w:w="1044" w:type="dxa"/>
            <w:tcBorders>
              <w:top w:val="nil"/>
              <w:left w:val="nil"/>
              <w:bottom w:val="single" w:sz="4" w:space="0" w:color="auto"/>
              <w:right w:val="single" w:sz="4" w:space="0" w:color="auto"/>
            </w:tcBorders>
            <w:shd w:val="clear" w:color="000000" w:fill="E7E6E6"/>
            <w:noWrap/>
            <w:vAlign w:val="center"/>
          </w:tcPr>
          <w:p w14:paraId="243CF07B" w14:textId="4A69E68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34.4–36.8</w:t>
            </w:r>
          </w:p>
        </w:tc>
        <w:tc>
          <w:tcPr>
            <w:tcW w:w="841" w:type="dxa"/>
            <w:tcBorders>
              <w:top w:val="nil"/>
              <w:left w:val="nil"/>
              <w:bottom w:val="single" w:sz="4" w:space="0" w:color="auto"/>
              <w:right w:val="single" w:sz="4" w:space="0" w:color="auto"/>
            </w:tcBorders>
            <w:shd w:val="clear" w:color="000000" w:fill="E7E6E6"/>
            <w:noWrap/>
            <w:vAlign w:val="center"/>
          </w:tcPr>
          <w:p w14:paraId="50E26EDB" w14:textId="5BBCB21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36.1</w:t>
            </w:r>
          </w:p>
        </w:tc>
        <w:tc>
          <w:tcPr>
            <w:tcW w:w="1126" w:type="dxa"/>
            <w:tcBorders>
              <w:top w:val="nil"/>
              <w:left w:val="nil"/>
              <w:bottom w:val="single" w:sz="4" w:space="0" w:color="auto"/>
              <w:right w:val="single" w:sz="4" w:space="0" w:color="auto"/>
            </w:tcBorders>
            <w:shd w:val="clear" w:color="000000" w:fill="E7E6E6"/>
            <w:noWrap/>
            <w:vAlign w:val="center"/>
          </w:tcPr>
          <w:p w14:paraId="19C3AF0A" w14:textId="7107E96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31.8</w:t>
            </w:r>
          </w:p>
        </w:tc>
        <w:tc>
          <w:tcPr>
            <w:tcW w:w="850" w:type="dxa"/>
            <w:tcBorders>
              <w:top w:val="nil"/>
              <w:left w:val="nil"/>
              <w:bottom w:val="single" w:sz="4" w:space="0" w:color="auto"/>
              <w:right w:val="single" w:sz="4" w:space="0" w:color="auto"/>
            </w:tcBorders>
            <w:shd w:val="clear" w:color="000000" w:fill="E7E6E6"/>
            <w:vAlign w:val="center"/>
          </w:tcPr>
          <w:p w14:paraId="031EC031" w14:textId="5792DDB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38.9</w:t>
            </w:r>
          </w:p>
        </w:tc>
        <w:tc>
          <w:tcPr>
            <w:tcW w:w="1295" w:type="dxa"/>
            <w:tcBorders>
              <w:top w:val="nil"/>
              <w:left w:val="nil"/>
              <w:bottom w:val="single" w:sz="4" w:space="0" w:color="auto"/>
              <w:right w:val="single" w:sz="4" w:space="0" w:color="auto"/>
            </w:tcBorders>
            <w:shd w:val="clear" w:color="000000" w:fill="E7E6E6"/>
            <w:noWrap/>
            <w:vAlign w:val="center"/>
          </w:tcPr>
          <w:p w14:paraId="4DBFDC0F" w14:textId="38510E6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47.8</w:t>
            </w:r>
          </w:p>
        </w:tc>
        <w:tc>
          <w:tcPr>
            <w:tcW w:w="1173" w:type="dxa"/>
            <w:tcBorders>
              <w:top w:val="nil"/>
              <w:left w:val="nil"/>
              <w:bottom w:val="single" w:sz="4" w:space="0" w:color="auto"/>
              <w:right w:val="single" w:sz="4" w:space="0" w:color="auto"/>
            </w:tcBorders>
            <w:shd w:val="clear" w:color="000000" w:fill="E7E6E6"/>
            <w:noWrap/>
            <w:vAlign w:val="center"/>
          </w:tcPr>
          <w:p w14:paraId="546A177F" w14:textId="18A2332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28.6</w:t>
            </w:r>
          </w:p>
        </w:tc>
      </w:tr>
      <w:tr w:rsidR="0072387E" w:rsidRPr="008C72D8" w14:paraId="5FF9331D"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77951B3" w14:textId="219024D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201–250</w:t>
            </w:r>
          </w:p>
        </w:tc>
        <w:tc>
          <w:tcPr>
            <w:tcW w:w="3357" w:type="dxa"/>
            <w:tcBorders>
              <w:top w:val="nil"/>
              <w:left w:val="nil"/>
              <w:bottom w:val="single" w:sz="4" w:space="0" w:color="auto"/>
              <w:right w:val="single" w:sz="4" w:space="0" w:color="auto"/>
            </w:tcBorders>
            <w:shd w:val="clear" w:color="auto" w:fill="auto"/>
            <w:noWrap/>
            <w:vAlign w:val="center"/>
          </w:tcPr>
          <w:p w14:paraId="044043C1" w14:textId="31E17018"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Autónoma de Madrid</w:t>
            </w:r>
          </w:p>
        </w:tc>
        <w:tc>
          <w:tcPr>
            <w:tcW w:w="834" w:type="dxa"/>
            <w:tcBorders>
              <w:top w:val="nil"/>
              <w:left w:val="nil"/>
              <w:bottom w:val="single" w:sz="4" w:space="0" w:color="auto"/>
              <w:right w:val="single" w:sz="4" w:space="0" w:color="auto"/>
            </w:tcBorders>
            <w:shd w:val="clear" w:color="auto" w:fill="auto"/>
            <w:vAlign w:val="center"/>
          </w:tcPr>
          <w:p w14:paraId="3074032E" w14:textId="3096207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6DAABACC" w14:textId="0A681D3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29.0–32.2</w:t>
            </w:r>
          </w:p>
        </w:tc>
        <w:tc>
          <w:tcPr>
            <w:tcW w:w="841" w:type="dxa"/>
            <w:tcBorders>
              <w:top w:val="nil"/>
              <w:left w:val="nil"/>
              <w:bottom w:val="single" w:sz="4" w:space="0" w:color="auto"/>
              <w:right w:val="single" w:sz="4" w:space="0" w:color="auto"/>
            </w:tcBorders>
            <w:shd w:val="clear" w:color="auto" w:fill="auto"/>
            <w:noWrap/>
            <w:vAlign w:val="center"/>
          </w:tcPr>
          <w:p w14:paraId="49CD2210" w14:textId="5736AD3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35.4</w:t>
            </w:r>
          </w:p>
        </w:tc>
        <w:tc>
          <w:tcPr>
            <w:tcW w:w="1126" w:type="dxa"/>
            <w:tcBorders>
              <w:top w:val="nil"/>
              <w:left w:val="nil"/>
              <w:bottom w:val="single" w:sz="4" w:space="0" w:color="auto"/>
              <w:right w:val="single" w:sz="4" w:space="0" w:color="auto"/>
            </w:tcBorders>
            <w:shd w:val="clear" w:color="auto" w:fill="auto"/>
            <w:noWrap/>
            <w:vAlign w:val="center"/>
          </w:tcPr>
          <w:p w14:paraId="5DA0A6B0" w14:textId="679FDAB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23.1</w:t>
            </w:r>
          </w:p>
        </w:tc>
        <w:tc>
          <w:tcPr>
            <w:tcW w:w="850" w:type="dxa"/>
            <w:tcBorders>
              <w:top w:val="nil"/>
              <w:left w:val="nil"/>
              <w:bottom w:val="single" w:sz="4" w:space="0" w:color="auto"/>
              <w:right w:val="single" w:sz="4" w:space="0" w:color="auto"/>
            </w:tcBorders>
            <w:shd w:val="clear" w:color="auto" w:fill="auto"/>
            <w:vAlign w:val="center"/>
          </w:tcPr>
          <w:p w14:paraId="772796D6" w14:textId="7A96801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37.2</w:t>
            </w:r>
          </w:p>
        </w:tc>
        <w:tc>
          <w:tcPr>
            <w:tcW w:w="1295" w:type="dxa"/>
            <w:tcBorders>
              <w:top w:val="nil"/>
              <w:left w:val="nil"/>
              <w:bottom w:val="single" w:sz="4" w:space="0" w:color="auto"/>
              <w:right w:val="single" w:sz="4" w:space="0" w:color="auto"/>
            </w:tcBorders>
            <w:shd w:val="clear" w:color="auto" w:fill="auto"/>
            <w:noWrap/>
            <w:vAlign w:val="center"/>
          </w:tcPr>
          <w:p w14:paraId="44D274F8" w14:textId="7ABDA60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42.3</w:t>
            </w:r>
          </w:p>
        </w:tc>
        <w:tc>
          <w:tcPr>
            <w:tcW w:w="1173" w:type="dxa"/>
            <w:tcBorders>
              <w:top w:val="nil"/>
              <w:left w:val="nil"/>
              <w:bottom w:val="single" w:sz="4" w:space="0" w:color="auto"/>
              <w:right w:val="single" w:sz="4" w:space="0" w:color="auto"/>
            </w:tcBorders>
            <w:shd w:val="clear" w:color="auto" w:fill="auto"/>
            <w:noWrap/>
            <w:vAlign w:val="center"/>
          </w:tcPr>
          <w:p w14:paraId="58DE3738" w14:textId="5896940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41.4</w:t>
            </w:r>
          </w:p>
        </w:tc>
      </w:tr>
      <w:tr w:rsidR="0072387E" w:rsidRPr="008C72D8" w14:paraId="70CC3E3A"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762ABC38" w14:textId="23B9FA1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201–250</w:t>
            </w:r>
          </w:p>
        </w:tc>
        <w:tc>
          <w:tcPr>
            <w:tcW w:w="3357" w:type="dxa"/>
            <w:tcBorders>
              <w:top w:val="nil"/>
              <w:left w:val="nil"/>
              <w:bottom w:val="single" w:sz="4" w:space="0" w:color="auto"/>
              <w:right w:val="single" w:sz="4" w:space="0" w:color="auto"/>
            </w:tcBorders>
            <w:shd w:val="clear" w:color="000000" w:fill="E7E6E6"/>
            <w:noWrap/>
            <w:vAlign w:val="center"/>
          </w:tcPr>
          <w:p w14:paraId="6083A4A1" w14:textId="30BCB9AC"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Campinas</w:t>
            </w:r>
          </w:p>
        </w:tc>
        <w:tc>
          <w:tcPr>
            <w:tcW w:w="834" w:type="dxa"/>
            <w:tcBorders>
              <w:top w:val="nil"/>
              <w:left w:val="nil"/>
              <w:bottom w:val="single" w:sz="4" w:space="0" w:color="auto"/>
              <w:right w:val="single" w:sz="4" w:space="0" w:color="auto"/>
            </w:tcBorders>
            <w:shd w:val="clear" w:color="000000" w:fill="E7E6E6"/>
            <w:vAlign w:val="center"/>
          </w:tcPr>
          <w:p w14:paraId="354FB118" w14:textId="532BC97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Brasil</w:t>
            </w:r>
          </w:p>
        </w:tc>
        <w:tc>
          <w:tcPr>
            <w:tcW w:w="1044" w:type="dxa"/>
            <w:tcBorders>
              <w:top w:val="nil"/>
              <w:left w:val="nil"/>
              <w:bottom w:val="single" w:sz="4" w:space="0" w:color="auto"/>
              <w:right w:val="single" w:sz="4" w:space="0" w:color="auto"/>
            </w:tcBorders>
            <w:shd w:val="clear" w:color="000000" w:fill="E7E6E6"/>
            <w:noWrap/>
            <w:vAlign w:val="center"/>
          </w:tcPr>
          <w:p w14:paraId="4D49C22E" w14:textId="51DD774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29.0–32.2</w:t>
            </w:r>
          </w:p>
        </w:tc>
        <w:tc>
          <w:tcPr>
            <w:tcW w:w="841" w:type="dxa"/>
            <w:tcBorders>
              <w:top w:val="nil"/>
              <w:left w:val="nil"/>
              <w:bottom w:val="single" w:sz="4" w:space="0" w:color="auto"/>
              <w:right w:val="single" w:sz="4" w:space="0" w:color="auto"/>
            </w:tcBorders>
            <w:shd w:val="clear" w:color="000000" w:fill="E7E6E6"/>
            <w:noWrap/>
            <w:vAlign w:val="center"/>
          </w:tcPr>
          <w:p w14:paraId="21AB3E19" w14:textId="3834F75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32.1</w:t>
            </w:r>
          </w:p>
        </w:tc>
        <w:tc>
          <w:tcPr>
            <w:tcW w:w="1126" w:type="dxa"/>
            <w:tcBorders>
              <w:top w:val="nil"/>
              <w:left w:val="nil"/>
              <w:bottom w:val="single" w:sz="4" w:space="0" w:color="auto"/>
              <w:right w:val="single" w:sz="4" w:space="0" w:color="auto"/>
            </w:tcBorders>
            <w:shd w:val="clear" w:color="000000" w:fill="E7E6E6"/>
            <w:noWrap/>
            <w:vAlign w:val="center"/>
          </w:tcPr>
          <w:p w14:paraId="417A0153" w14:textId="6300BE2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27.2</w:t>
            </w:r>
          </w:p>
        </w:tc>
        <w:tc>
          <w:tcPr>
            <w:tcW w:w="850" w:type="dxa"/>
            <w:tcBorders>
              <w:top w:val="nil"/>
              <w:left w:val="nil"/>
              <w:bottom w:val="single" w:sz="4" w:space="0" w:color="auto"/>
              <w:right w:val="single" w:sz="4" w:space="0" w:color="auto"/>
            </w:tcBorders>
            <w:shd w:val="clear" w:color="000000" w:fill="E7E6E6"/>
            <w:vAlign w:val="center"/>
          </w:tcPr>
          <w:p w14:paraId="0091A87E" w14:textId="2E8CF02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28.9</w:t>
            </w:r>
          </w:p>
        </w:tc>
        <w:tc>
          <w:tcPr>
            <w:tcW w:w="1295" w:type="dxa"/>
            <w:tcBorders>
              <w:top w:val="nil"/>
              <w:left w:val="nil"/>
              <w:bottom w:val="single" w:sz="4" w:space="0" w:color="auto"/>
              <w:right w:val="single" w:sz="4" w:space="0" w:color="auto"/>
            </w:tcBorders>
            <w:shd w:val="clear" w:color="000000" w:fill="E7E6E6"/>
            <w:noWrap/>
            <w:vAlign w:val="center"/>
          </w:tcPr>
          <w:p w14:paraId="6EF9AD5B" w14:textId="6FE61BA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34.7</w:t>
            </w:r>
          </w:p>
        </w:tc>
        <w:tc>
          <w:tcPr>
            <w:tcW w:w="1173" w:type="dxa"/>
            <w:tcBorders>
              <w:top w:val="nil"/>
              <w:left w:val="nil"/>
              <w:bottom w:val="single" w:sz="4" w:space="0" w:color="auto"/>
              <w:right w:val="single" w:sz="4" w:space="0" w:color="auto"/>
            </w:tcBorders>
            <w:shd w:val="clear" w:color="000000" w:fill="E7E6E6"/>
            <w:noWrap/>
            <w:vAlign w:val="center"/>
          </w:tcPr>
          <w:p w14:paraId="7B7C761D" w14:textId="69BEB4F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24.5</w:t>
            </w:r>
          </w:p>
        </w:tc>
      </w:tr>
      <w:tr w:rsidR="0072387E" w:rsidRPr="008C72D8" w14:paraId="1FDA9C3F"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67C3579" w14:textId="5430907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201–250</w:t>
            </w:r>
          </w:p>
        </w:tc>
        <w:tc>
          <w:tcPr>
            <w:tcW w:w="3357" w:type="dxa"/>
            <w:tcBorders>
              <w:top w:val="nil"/>
              <w:left w:val="nil"/>
              <w:bottom w:val="single" w:sz="4" w:space="0" w:color="auto"/>
              <w:right w:val="single" w:sz="4" w:space="0" w:color="auto"/>
            </w:tcBorders>
            <w:shd w:val="clear" w:color="auto" w:fill="auto"/>
            <w:noWrap/>
            <w:vAlign w:val="center"/>
          </w:tcPr>
          <w:p w14:paraId="461C4D48" w14:textId="6622016F"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Navarra</w:t>
            </w:r>
          </w:p>
        </w:tc>
        <w:tc>
          <w:tcPr>
            <w:tcW w:w="834" w:type="dxa"/>
            <w:tcBorders>
              <w:top w:val="nil"/>
              <w:left w:val="nil"/>
              <w:bottom w:val="single" w:sz="4" w:space="0" w:color="auto"/>
              <w:right w:val="single" w:sz="4" w:space="0" w:color="auto"/>
            </w:tcBorders>
            <w:shd w:val="clear" w:color="auto" w:fill="auto"/>
            <w:vAlign w:val="center"/>
          </w:tcPr>
          <w:p w14:paraId="46CD9354" w14:textId="419DFCF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5799E4FE" w14:textId="64FEF41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29.0–32.2</w:t>
            </w:r>
          </w:p>
        </w:tc>
        <w:tc>
          <w:tcPr>
            <w:tcW w:w="841" w:type="dxa"/>
            <w:tcBorders>
              <w:top w:val="nil"/>
              <w:left w:val="nil"/>
              <w:bottom w:val="single" w:sz="4" w:space="0" w:color="auto"/>
              <w:right w:val="single" w:sz="4" w:space="0" w:color="auto"/>
            </w:tcBorders>
            <w:shd w:val="clear" w:color="auto" w:fill="auto"/>
            <w:noWrap/>
            <w:vAlign w:val="center"/>
          </w:tcPr>
          <w:p w14:paraId="45F2B831" w14:textId="23E7C89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33.2</w:t>
            </w:r>
          </w:p>
        </w:tc>
        <w:tc>
          <w:tcPr>
            <w:tcW w:w="1126" w:type="dxa"/>
            <w:tcBorders>
              <w:top w:val="nil"/>
              <w:left w:val="nil"/>
              <w:bottom w:val="single" w:sz="4" w:space="0" w:color="auto"/>
              <w:right w:val="single" w:sz="4" w:space="0" w:color="auto"/>
            </w:tcBorders>
            <w:shd w:val="clear" w:color="auto" w:fill="auto"/>
            <w:noWrap/>
            <w:vAlign w:val="center"/>
          </w:tcPr>
          <w:p w14:paraId="0B911A6D" w14:textId="0E070A5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19.3</w:t>
            </w:r>
          </w:p>
        </w:tc>
        <w:tc>
          <w:tcPr>
            <w:tcW w:w="850" w:type="dxa"/>
            <w:tcBorders>
              <w:top w:val="nil"/>
              <w:left w:val="nil"/>
              <w:bottom w:val="single" w:sz="4" w:space="0" w:color="auto"/>
              <w:right w:val="single" w:sz="4" w:space="0" w:color="auto"/>
            </w:tcBorders>
            <w:shd w:val="clear" w:color="auto" w:fill="auto"/>
            <w:vAlign w:val="center"/>
          </w:tcPr>
          <w:p w14:paraId="58AF8D48" w14:textId="3F24A25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w:t>
            </w:r>
          </w:p>
        </w:tc>
        <w:tc>
          <w:tcPr>
            <w:tcW w:w="1295" w:type="dxa"/>
            <w:tcBorders>
              <w:top w:val="nil"/>
              <w:left w:val="nil"/>
              <w:bottom w:val="single" w:sz="4" w:space="0" w:color="auto"/>
              <w:right w:val="single" w:sz="4" w:space="0" w:color="auto"/>
            </w:tcBorders>
            <w:shd w:val="clear" w:color="auto" w:fill="auto"/>
            <w:noWrap/>
            <w:vAlign w:val="center"/>
          </w:tcPr>
          <w:p w14:paraId="61CBDA25" w14:textId="7B75C62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36.3</w:t>
            </w:r>
          </w:p>
        </w:tc>
        <w:tc>
          <w:tcPr>
            <w:tcW w:w="1173" w:type="dxa"/>
            <w:tcBorders>
              <w:top w:val="nil"/>
              <w:left w:val="nil"/>
              <w:bottom w:val="single" w:sz="4" w:space="0" w:color="auto"/>
              <w:right w:val="single" w:sz="4" w:space="0" w:color="auto"/>
            </w:tcBorders>
            <w:shd w:val="clear" w:color="auto" w:fill="auto"/>
            <w:noWrap/>
            <w:vAlign w:val="center"/>
          </w:tcPr>
          <w:p w14:paraId="647CB939" w14:textId="7040272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41.2</w:t>
            </w:r>
          </w:p>
        </w:tc>
      </w:tr>
      <w:tr w:rsidR="0072387E" w:rsidRPr="008C72D8" w14:paraId="32B0FDAF"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20A8DCE1" w14:textId="682BD52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201–250</w:t>
            </w:r>
          </w:p>
        </w:tc>
        <w:tc>
          <w:tcPr>
            <w:tcW w:w="3357" w:type="dxa"/>
            <w:tcBorders>
              <w:top w:val="nil"/>
              <w:left w:val="nil"/>
              <w:bottom w:val="single" w:sz="4" w:space="0" w:color="auto"/>
              <w:right w:val="single" w:sz="4" w:space="0" w:color="auto"/>
            </w:tcBorders>
            <w:shd w:val="clear" w:color="000000" w:fill="E7E6E6"/>
            <w:noWrap/>
            <w:vAlign w:val="center"/>
          </w:tcPr>
          <w:p w14:paraId="092E5BDD" w14:textId="749DBB25"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Nueva de Lisboa</w:t>
            </w:r>
          </w:p>
        </w:tc>
        <w:tc>
          <w:tcPr>
            <w:tcW w:w="834" w:type="dxa"/>
            <w:tcBorders>
              <w:top w:val="nil"/>
              <w:left w:val="nil"/>
              <w:bottom w:val="single" w:sz="4" w:space="0" w:color="auto"/>
              <w:right w:val="single" w:sz="4" w:space="0" w:color="auto"/>
            </w:tcBorders>
            <w:shd w:val="clear" w:color="000000" w:fill="E7E6E6"/>
            <w:vAlign w:val="center"/>
          </w:tcPr>
          <w:p w14:paraId="5286E2A2" w14:textId="6221633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Portugal</w:t>
            </w:r>
          </w:p>
        </w:tc>
        <w:tc>
          <w:tcPr>
            <w:tcW w:w="1044" w:type="dxa"/>
            <w:tcBorders>
              <w:top w:val="nil"/>
              <w:left w:val="nil"/>
              <w:bottom w:val="single" w:sz="4" w:space="0" w:color="auto"/>
              <w:right w:val="single" w:sz="4" w:space="0" w:color="auto"/>
            </w:tcBorders>
            <w:shd w:val="clear" w:color="000000" w:fill="E7E6E6"/>
            <w:noWrap/>
            <w:vAlign w:val="center"/>
          </w:tcPr>
          <w:p w14:paraId="1BB14748" w14:textId="35E7263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29.0–32.2</w:t>
            </w:r>
          </w:p>
        </w:tc>
        <w:tc>
          <w:tcPr>
            <w:tcW w:w="841" w:type="dxa"/>
            <w:tcBorders>
              <w:top w:val="nil"/>
              <w:left w:val="nil"/>
              <w:bottom w:val="single" w:sz="4" w:space="0" w:color="auto"/>
              <w:right w:val="single" w:sz="4" w:space="0" w:color="auto"/>
            </w:tcBorders>
            <w:shd w:val="clear" w:color="000000" w:fill="E7E6E6"/>
            <w:noWrap/>
            <w:vAlign w:val="center"/>
          </w:tcPr>
          <w:p w14:paraId="7B08543E" w14:textId="7FB2F16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28.7</w:t>
            </w:r>
          </w:p>
        </w:tc>
        <w:tc>
          <w:tcPr>
            <w:tcW w:w="1126" w:type="dxa"/>
            <w:tcBorders>
              <w:top w:val="nil"/>
              <w:left w:val="nil"/>
              <w:bottom w:val="single" w:sz="4" w:space="0" w:color="auto"/>
              <w:right w:val="single" w:sz="4" w:space="0" w:color="auto"/>
            </w:tcBorders>
            <w:shd w:val="clear" w:color="000000" w:fill="E7E6E6"/>
            <w:noWrap/>
            <w:vAlign w:val="center"/>
          </w:tcPr>
          <w:p w14:paraId="0994CC7B" w14:textId="0EE34D2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17.9</w:t>
            </w:r>
          </w:p>
        </w:tc>
        <w:tc>
          <w:tcPr>
            <w:tcW w:w="850" w:type="dxa"/>
            <w:tcBorders>
              <w:top w:val="nil"/>
              <w:left w:val="nil"/>
              <w:bottom w:val="single" w:sz="4" w:space="0" w:color="auto"/>
              <w:right w:val="single" w:sz="4" w:space="0" w:color="auto"/>
            </w:tcBorders>
            <w:shd w:val="clear" w:color="000000" w:fill="E7E6E6"/>
            <w:vAlign w:val="center"/>
          </w:tcPr>
          <w:p w14:paraId="2C754B33" w14:textId="4113206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43.9</w:t>
            </w:r>
          </w:p>
        </w:tc>
        <w:tc>
          <w:tcPr>
            <w:tcW w:w="1295" w:type="dxa"/>
            <w:tcBorders>
              <w:top w:val="nil"/>
              <w:left w:val="nil"/>
              <w:bottom w:val="single" w:sz="4" w:space="0" w:color="auto"/>
              <w:right w:val="single" w:sz="4" w:space="0" w:color="auto"/>
            </w:tcBorders>
            <w:shd w:val="clear" w:color="000000" w:fill="E7E6E6"/>
            <w:noWrap/>
            <w:vAlign w:val="center"/>
          </w:tcPr>
          <w:p w14:paraId="2AD2A611" w14:textId="15CE6CA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45.7</w:t>
            </w:r>
          </w:p>
        </w:tc>
        <w:tc>
          <w:tcPr>
            <w:tcW w:w="1173" w:type="dxa"/>
            <w:tcBorders>
              <w:top w:val="nil"/>
              <w:left w:val="nil"/>
              <w:bottom w:val="single" w:sz="4" w:space="0" w:color="auto"/>
              <w:right w:val="single" w:sz="4" w:space="0" w:color="auto"/>
            </w:tcBorders>
            <w:shd w:val="clear" w:color="000000" w:fill="E7E6E6"/>
            <w:noWrap/>
            <w:vAlign w:val="center"/>
          </w:tcPr>
          <w:p w14:paraId="6E39990A" w14:textId="2B2B11B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51.2</w:t>
            </w:r>
          </w:p>
        </w:tc>
      </w:tr>
    </w:tbl>
    <w:p w14:paraId="656F668C" w14:textId="77777777" w:rsidR="0081233E" w:rsidRPr="008C72D8" w:rsidRDefault="0081233E" w:rsidP="0078703F">
      <w:pPr>
        <w:spacing w:line="240" w:lineRule="auto"/>
      </w:pPr>
    </w:p>
    <w:tbl>
      <w:tblPr>
        <w:tblW w:w="11321" w:type="dxa"/>
        <w:jc w:val="center"/>
        <w:tblCellMar>
          <w:left w:w="70" w:type="dxa"/>
          <w:right w:w="70" w:type="dxa"/>
        </w:tblCellMar>
        <w:tblLook w:val="04A0" w:firstRow="1" w:lastRow="0" w:firstColumn="1" w:lastColumn="0" w:noHBand="0" w:noVBand="1"/>
      </w:tblPr>
      <w:tblGrid>
        <w:gridCol w:w="801"/>
        <w:gridCol w:w="3357"/>
        <w:gridCol w:w="834"/>
        <w:gridCol w:w="1044"/>
        <w:gridCol w:w="841"/>
        <w:gridCol w:w="1126"/>
        <w:gridCol w:w="850"/>
        <w:gridCol w:w="1295"/>
        <w:gridCol w:w="1173"/>
      </w:tblGrid>
      <w:tr w:rsidR="00810B7C" w:rsidRPr="008C72D8" w14:paraId="132E12CF" w14:textId="77777777" w:rsidTr="0024082E">
        <w:trPr>
          <w:trHeight w:val="298"/>
          <w:tblHeader/>
          <w:jc w:val="center"/>
        </w:trPr>
        <w:tc>
          <w:tcPr>
            <w:tcW w:w="11321" w:type="dxa"/>
            <w:gridSpan w:val="9"/>
            <w:tcBorders>
              <w:top w:val="nil"/>
              <w:left w:val="nil"/>
              <w:bottom w:val="single" w:sz="4" w:space="0" w:color="auto"/>
              <w:right w:val="nil"/>
            </w:tcBorders>
            <w:shd w:val="clear" w:color="auto" w:fill="auto"/>
            <w:vAlign w:val="center"/>
            <w:hideMark/>
          </w:tcPr>
          <w:p w14:paraId="2FC4278D" w14:textId="49E42317" w:rsidR="00810B7C" w:rsidRPr="008C72D8" w:rsidRDefault="00810B7C" w:rsidP="0078703F">
            <w:pPr>
              <w:spacing w:line="240" w:lineRule="auto"/>
              <w:jc w:val="center"/>
              <w:rPr>
                <w:rFonts w:ascii="Calibri" w:eastAsia="Times New Roman" w:hAnsi="Calibri" w:cs="Calibri"/>
                <w:b/>
                <w:bCs/>
                <w:color w:val="000000"/>
                <w:sz w:val="20"/>
                <w:szCs w:val="20"/>
                <w:lang w:eastAsia="es-MX"/>
              </w:rPr>
            </w:pPr>
            <w:r w:rsidRPr="008C72D8">
              <w:rPr>
                <w:rFonts w:ascii="Calibri" w:eastAsia="Times New Roman" w:hAnsi="Calibri" w:cs="Calibri"/>
                <w:b/>
                <w:bCs/>
                <w:color w:val="000000"/>
                <w:sz w:val="20"/>
                <w:szCs w:val="20"/>
                <w:lang w:eastAsia="es-MX"/>
              </w:rPr>
              <w:lastRenderedPageBreak/>
              <w:t xml:space="preserve">Tabla </w:t>
            </w:r>
            <w:r w:rsidR="0024082E" w:rsidRPr="008C72D8">
              <w:rPr>
                <w:rFonts w:ascii="Calibri" w:eastAsia="Times New Roman" w:hAnsi="Calibri" w:cs="Calibri"/>
                <w:b/>
                <w:bCs/>
                <w:color w:val="000000"/>
                <w:sz w:val="20"/>
                <w:szCs w:val="20"/>
                <w:lang w:eastAsia="es-MX"/>
              </w:rPr>
              <w:t>3</w:t>
            </w:r>
            <w:r w:rsidRPr="008C72D8">
              <w:rPr>
                <w:rFonts w:ascii="Calibri" w:eastAsia="Times New Roman" w:hAnsi="Calibri" w:cs="Calibri"/>
                <w:b/>
                <w:bCs/>
                <w:color w:val="000000"/>
                <w:sz w:val="20"/>
                <w:szCs w:val="20"/>
                <w:lang w:eastAsia="es-MX"/>
              </w:rPr>
              <w:t xml:space="preserve">. Posición de las universidades iberoamericanas </w:t>
            </w:r>
            <w:r w:rsidR="0072387E">
              <w:rPr>
                <w:rFonts w:ascii="Calibri" w:eastAsia="Times New Roman" w:hAnsi="Calibri" w:cs="Calibri"/>
                <w:b/>
                <w:bCs/>
                <w:color w:val="000000"/>
                <w:sz w:val="20"/>
                <w:szCs w:val="20"/>
                <w:lang w:eastAsia="es-MX"/>
              </w:rPr>
              <w:t xml:space="preserve">en el TOP 10 </w:t>
            </w:r>
            <w:r w:rsidRPr="008C72D8">
              <w:rPr>
                <w:rFonts w:ascii="Calibri" w:eastAsia="Times New Roman" w:hAnsi="Calibri" w:cs="Calibri"/>
                <w:b/>
                <w:bCs/>
                <w:color w:val="000000"/>
                <w:sz w:val="20"/>
                <w:szCs w:val="20"/>
                <w:lang w:eastAsia="es-MX"/>
              </w:rPr>
              <w:t xml:space="preserve">del ranking </w:t>
            </w:r>
            <w:r w:rsidR="0081233E" w:rsidRPr="008C72D8">
              <w:rPr>
                <w:rFonts w:ascii="Calibri" w:eastAsia="Times New Roman" w:hAnsi="Calibri" w:cs="Calibri"/>
                <w:b/>
                <w:bCs/>
                <w:color w:val="000000"/>
                <w:sz w:val="20"/>
                <w:szCs w:val="20"/>
                <w:lang w:eastAsia="es-MX"/>
              </w:rPr>
              <w:t xml:space="preserve">THE en el área de </w:t>
            </w:r>
            <w:r w:rsidRPr="008C72D8">
              <w:rPr>
                <w:rFonts w:ascii="Calibri" w:eastAsia="Times New Roman" w:hAnsi="Calibri" w:cs="Calibri"/>
                <w:b/>
                <w:bCs/>
                <w:color w:val="000000"/>
                <w:sz w:val="20"/>
                <w:szCs w:val="20"/>
                <w:lang w:eastAsia="es-MX"/>
              </w:rPr>
              <w:t>Derecho, 2020.</w:t>
            </w:r>
          </w:p>
        </w:tc>
      </w:tr>
      <w:tr w:rsidR="00810B7C" w:rsidRPr="008C72D8" w14:paraId="1C8BDF5E" w14:textId="77777777" w:rsidTr="0024082E">
        <w:trPr>
          <w:trHeight w:val="611"/>
          <w:tblHeader/>
          <w:jc w:val="center"/>
        </w:trPr>
        <w:tc>
          <w:tcPr>
            <w:tcW w:w="801" w:type="dxa"/>
            <w:tcBorders>
              <w:top w:val="nil"/>
              <w:left w:val="single" w:sz="4" w:space="0" w:color="auto"/>
              <w:bottom w:val="single" w:sz="4" w:space="0" w:color="auto"/>
              <w:right w:val="single" w:sz="4" w:space="0" w:color="auto"/>
            </w:tcBorders>
            <w:shd w:val="clear" w:color="000000" w:fill="BDD6EE"/>
            <w:vAlign w:val="center"/>
            <w:hideMark/>
          </w:tcPr>
          <w:p w14:paraId="699446B8"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Posición</w:t>
            </w:r>
          </w:p>
        </w:tc>
        <w:tc>
          <w:tcPr>
            <w:tcW w:w="3357" w:type="dxa"/>
            <w:tcBorders>
              <w:top w:val="nil"/>
              <w:left w:val="nil"/>
              <w:bottom w:val="single" w:sz="4" w:space="0" w:color="auto"/>
              <w:right w:val="single" w:sz="4" w:space="0" w:color="auto"/>
            </w:tcBorders>
            <w:shd w:val="clear" w:color="000000" w:fill="BDD6EE"/>
            <w:vAlign w:val="center"/>
            <w:hideMark/>
          </w:tcPr>
          <w:p w14:paraId="7869F188"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Institución</w:t>
            </w:r>
          </w:p>
        </w:tc>
        <w:tc>
          <w:tcPr>
            <w:tcW w:w="834" w:type="dxa"/>
            <w:tcBorders>
              <w:top w:val="nil"/>
              <w:left w:val="nil"/>
              <w:bottom w:val="single" w:sz="4" w:space="0" w:color="auto"/>
              <w:right w:val="single" w:sz="4" w:space="0" w:color="auto"/>
            </w:tcBorders>
            <w:shd w:val="clear" w:color="000000" w:fill="BDD6EE"/>
            <w:vAlign w:val="center"/>
            <w:hideMark/>
          </w:tcPr>
          <w:p w14:paraId="1363F5CE"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País</w:t>
            </w:r>
          </w:p>
        </w:tc>
        <w:tc>
          <w:tcPr>
            <w:tcW w:w="1044" w:type="dxa"/>
            <w:tcBorders>
              <w:top w:val="nil"/>
              <w:left w:val="nil"/>
              <w:bottom w:val="single" w:sz="4" w:space="0" w:color="auto"/>
              <w:right w:val="single" w:sz="4" w:space="0" w:color="auto"/>
            </w:tcBorders>
            <w:shd w:val="clear" w:color="000000" w:fill="BDD6EE"/>
            <w:vAlign w:val="center"/>
            <w:hideMark/>
          </w:tcPr>
          <w:p w14:paraId="7CD99C00"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Puntaje General</w:t>
            </w:r>
          </w:p>
        </w:tc>
        <w:tc>
          <w:tcPr>
            <w:tcW w:w="841" w:type="dxa"/>
            <w:tcBorders>
              <w:top w:val="nil"/>
              <w:left w:val="nil"/>
              <w:bottom w:val="single" w:sz="4" w:space="0" w:color="auto"/>
              <w:right w:val="single" w:sz="4" w:space="0" w:color="auto"/>
            </w:tcBorders>
            <w:shd w:val="clear" w:color="000000" w:fill="BDD6EE"/>
            <w:vAlign w:val="center"/>
            <w:hideMark/>
          </w:tcPr>
          <w:p w14:paraId="4342A6BC"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 xml:space="preserve">Docencia </w:t>
            </w:r>
          </w:p>
        </w:tc>
        <w:tc>
          <w:tcPr>
            <w:tcW w:w="1126" w:type="dxa"/>
            <w:tcBorders>
              <w:top w:val="nil"/>
              <w:left w:val="nil"/>
              <w:bottom w:val="single" w:sz="4" w:space="0" w:color="auto"/>
              <w:right w:val="single" w:sz="4" w:space="0" w:color="auto"/>
            </w:tcBorders>
            <w:shd w:val="clear" w:color="000000" w:fill="BDD6EE"/>
            <w:vAlign w:val="center"/>
            <w:hideMark/>
          </w:tcPr>
          <w:p w14:paraId="6F034227"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Investigación</w:t>
            </w:r>
          </w:p>
        </w:tc>
        <w:tc>
          <w:tcPr>
            <w:tcW w:w="850" w:type="dxa"/>
            <w:tcBorders>
              <w:top w:val="nil"/>
              <w:left w:val="nil"/>
              <w:bottom w:val="single" w:sz="4" w:space="0" w:color="auto"/>
              <w:right w:val="single" w:sz="4" w:space="0" w:color="auto"/>
            </w:tcBorders>
            <w:shd w:val="clear" w:color="000000" w:fill="BDD6EE"/>
            <w:vAlign w:val="center"/>
            <w:hideMark/>
          </w:tcPr>
          <w:p w14:paraId="6B0DB36C"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Citas</w:t>
            </w:r>
          </w:p>
        </w:tc>
        <w:tc>
          <w:tcPr>
            <w:tcW w:w="1295" w:type="dxa"/>
            <w:tcBorders>
              <w:top w:val="nil"/>
              <w:left w:val="nil"/>
              <w:bottom w:val="single" w:sz="4" w:space="0" w:color="auto"/>
              <w:right w:val="single" w:sz="4" w:space="0" w:color="auto"/>
            </w:tcBorders>
            <w:shd w:val="clear" w:color="000000" w:fill="BDD6EE"/>
            <w:vAlign w:val="center"/>
            <w:hideMark/>
          </w:tcPr>
          <w:p w14:paraId="07A92DC0"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 xml:space="preserve">Financiamiento de la industria </w:t>
            </w:r>
          </w:p>
        </w:tc>
        <w:tc>
          <w:tcPr>
            <w:tcW w:w="1173" w:type="dxa"/>
            <w:tcBorders>
              <w:top w:val="nil"/>
              <w:left w:val="nil"/>
              <w:bottom w:val="single" w:sz="4" w:space="0" w:color="auto"/>
              <w:right w:val="single" w:sz="4" w:space="0" w:color="auto"/>
            </w:tcBorders>
            <w:shd w:val="clear" w:color="000000" w:fill="BDD6EE"/>
            <w:vAlign w:val="center"/>
            <w:hideMark/>
          </w:tcPr>
          <w:p w14:paraId="004CC771"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Perspectiva internacional</w:t>
            </w:r>
          </w:p>
        </w:tc>
      </w:tr>
      <w:tr w:rsidR="0072387E" w:rsidRPr="008C72D8" w14:paraId="3D7F3F63"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D04DE29" w14:textId="371D920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73</w:t>
            </w:r>
          </w:p>
        </w:tc>
        <w:tc>
          <w:tcPr>
            <w:tcW w:w="3357" w:type="dxa"/>
            <w:tcBorders>
              <w:top w:val="nil"/>
              <w:left w:val="nil"/>
              <w:bottom w:val="single" w:sz="4" w:space="0" w:color="auto"/>
              <w:right w:val="single" w:sz="4" w:space="0" w:color="auto"/>
            </w:tcBorders>
            <w:shd w:val="clear" w:color="auto" w:fill="auto"/>
            <w:noWrap/>
            <w:vAlign w:val="center"/>
          </w:tcPr>
          <w:p w14:paraId="7ECB97EB" w14:textId="0477C0F5"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Sao Paulo</w:t>
            </w:r>
          </w:p>
        </w:tc>
        <w:tc>
          <w:tcPr>
            <w:tcW w:w="834" w:type="dxa"/>
            <w:tcBorders>
              <w:top w:val="nil"/>
              <w:left w:val="nil"/>
              <w:bottom w:val="single" w:sz="4" w:space="0" w:color="auto"/>
              <w:right w:val="single" w:sz="4" w:space="0" w:color="auto"/>
            </w:tcBorders>
            <w:shd w:val="clear" w:color="auto" w:fill="auto"/>
            <w:vAlign w:val="center"/>
          </w:tcPr>
          <w:p w14:paraId="63900815" w14:textId="0132232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Brasil</w:t>
            </w:r>
          </w:p>
        </w:tc>
        <w:tc>
          <w:tcPr>
            <w:tcW w:w="1044" w:type="dxa"/>
            <w:tcBorders>
              <w:top w:val="nil"/>
              <w:left w:val="nil"/>
              <w:bottom w:val="single" w:sz="4" w:space="0" w:color="auto"/>
              <w:right w:val="single" w:sz="4" w:space="0" w:color="auto"/>
            </w:tcBorders>
            <w:shd w:val="clear" w:color="auto" w:fill="auto"/>
            <w:noWrap/>
            <w:vAlign w:val="center"/>
          </w:tcPr>
          <w:p w14:paraId="2792F542" w14:textId="7B7ACF0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45</w:t>
            </w:r>
          </w:p>
        </w:tc>
        <w:tc>
          <w:tcPr>
            <w:tcW w:w="841" w:type="dxa"/>
            <w:tcBorders>
              <w:top w:val="nil"/>
              <w:left w:val="nil"/>
              <w:bottom w:val="single" w:sz="4" w:space="0" w:color="auto"/>
              <w:right w:val="single" w:sz="4" w:space="0" w:color="auto"/>
            </w:tcBorders>
            <w:shd w:val="clear" w:color="auto" w:fill="auto"/>
            <w:noWrap/>
            <w:vAlign w:val="center"/>
          </w:tcPr>
          <w:p w14:paraId="4BD7A078" w14:textId="31652D2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30.8</w:t>
            </w:r>
          </w:p>
        </w:tc>
        <w:tc>
          <w:tcPr>
            <w:tcW w:w="1126" w:type="dxa"/>
            <w:tcBorders>
              <w:top w:val="nil"/>
              <w:left w:val="nil"/>
              <w:bottom w:val="single" w:sz="4" w:space="0" w:color="auto"/>
              <w:right w:val="single" w:sz="4" w:space="0" w:color="auto"/>
            </w:tcBorders>
            <w:shd w:val="clear" w:color="auto" w:fill="auto"/>
            <w:noWrap/>
            <w:vAlign w:val="center"/>
          </w:tcPr>
          <w:p w14:paraId="2A33FDFA" w14:textId="11827FC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43.9</w:t>
            </w:r>
          </w:p>
        </w:tc>
        <w:tc>
          <w:tcPr>
            <w:tcW w:w="850" w:type="dxa"/>
            <w:tcBorders>
              <w:top w:val="nil"/>
              <w:left w:val="nil"/>
              <w:bottom w:val="single" w:sz="4" w:space="0" w:color="auto"/>
              <w:right w:val="single" w:sz="4" w:space="0" w:color="auto"/>
            </w:tcBorders>
            <w:shd w:val="clear" w:color="auto" w:fill="auto"/>
            <w:vAlign w:val="center"/>
          </w:tcPr>
          <w:p w14:paraId="27A32641" w14:textId="566B93E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59</w:t>
            </w:r>
          </w:p>
        </w:tc>
        <w:tc>
          <w:tcPr>
            <w:tcW w:w="1295" w:type="dxa"/>
            <w:tcBorders>
              <w:top w:val="nil"/>
              <w:left w:val="nil"/>
              <w:bottom w:val="single" w:sz="4" w:space="0" w:color="auto"/>
              <w:right w:val="single" w:sz="4" w:space="0" w:color="auto"/>
            </w:tcBorders>
            <w:shd w:val="clear" w:color="auto" w:fill="auto"/>
            <w:noWrap/>
            <w:vAlign w:val="center"/>
          </w:tcPr>
          <w:p w14:paraId="38FF5B90" w14:textId="78161D1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42.1</w:t>
            </w:r>
          </w:p>
        </w:tc>
        <w:tc>
          <w:tcPr>
            <w:tcW w:w="1173" w:type="dxa"/>
            <w:tcBorders>
              <w:top w:val="nil"/>
              <w:left w:val="nil"/>
              <w:bottom w:val="single" w:sz="4" w:space="0" w:color="auto"/>
              <w:right w:val="single" w:sz="4" w:space="0" w:color="auto"/>
            </w:tcBorders>
            <w:shd w:val="clear" w:color="auto" w:fill="auto"/>
            <w:noWrap/>
            <w:vAlign w:val="center"/>
          </w:tcPr>
          <w:p w14:paraId="376875E2" w14:textId="03671E8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35.4</w:t>
            </w:r>
          </w:p>
        </w:tc>
      </w:tr>
      <w:tr w:rsidR="0072387E" w:rsidRPr="008C72D8" w14:paraId="1D885F29"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55AF7C19" w14:textId="260BD26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87</w:t>
            </w:r>
          </w:p>
        </w:tc>
        <w:tc>
          <w:tcPr>
            <w:tcW w:w="3357" w:type="dxa"/>
            <w:tcBorders>
              <w:top w:val="nil"/>
              <w:left w:val="nil"/>
              <w:bottom w:val="single" w:sz="4" w:space="0" w:color="auto"/>
              <w:right w:val="single" w:sz="4" w:space="0" w:color="auto"/>
            </w:tcBorders>
            <w:shd w:val="clear" w:color="000000" w:fill="E7E6E6"/>
            <w:noWrap/>
            <w:vAlign w:val="center"/>
          </w:tcPr>
          <w:p w14:paraId="4838C1B1" w14:textId="2E928DD5"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Complutense de Madrid</w:t>
            </w:r>
          </w:p>
        </w:tc>
        <w:tc>
          <w:tcPr>
            <w:tcW w:w="834" w:type="dxa"/>
            <w:tcBorders>
              <w:top w:val="nil"/>
              <w:left w:val="nil"/>
              <w:bottom w:val="single" w:sz="4" w:space="0" w:color="auto"/>
              <w:right w:val="single" w:sz="4" w:space="0" w:color="auto"/>
            </w:tcBorders>
            <w:shd w:val="clear" w:color="000000" w:fill="E7E6E6"/>
            <w:vAlign w:val="center"/>
          </w:tcPr>
          <w:p w14:paraId="446B91BF" w14:textId="4757FFD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6DC31C2F" w14:textId="15FFB92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43</w:t>
            </w:r>
          </w:p>
        </w:tc>
        <w:tc>
          <w:tcPr>
            <w:tcW w:w="841" w:type="dxa"/>
            <w:tcBorders>
              <w:top w:val="nil"/>
              <w:left w:val="nil"/>
              <w:bottom w:val="single" w:sz="4" w:space="0" w:color="auto"/>
              <w:right w:val="single" w:sz="4" w:space="0" w:color="auto"/>
            </w:tcBorders>
            <w:shd w:val="clear" w:color="000000" w:fill="E7E6E6"/>
            <w:noWrap/>
            <w:vAlign w:val="center"/>
          </w:tcPr>
          <w:p w14:paraId="711D2212" w14:textId="0E6F987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30.1</w:t>
            </w:r>
          </w:p>
        </w:tc>
        <w:tc>
          <w:tcPr>
            <w:tcW w:w="1126" w:type="dxa"/>
            <w:tcBorders>
              <w:top w:val="nil"/>
              <w:left w:val="nil"/>
              <w:bottom w:val="single" w:sz="4" w:space="0" w:color="auto"/>
              <w:right w:val="single" w:sz="4" w:space="0" w:color="auto"/>
            </w:tcBorders>
            <w:shd w:val="clear" w:color="000000" w:fill="E7E6E6"/>
            <w:noWrap/>
            <w:vAlign w:val="center"/>
          </w:tcPr>
          <w:p w14:paraId="05B0F511" w14:textId="6A37D72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43</w:t>
            </w:r>
          </w:p>
        </w:tc>
        <w:tc>
          <w:tcPr>
            <w:tcW w:w="850" w:type="dxa"/>
            <w:tcBorders>
              <w:top w:val="nil"/>
              <w:left w:val="nil"/>
              <w:bottom w:val="single" w:sz="4" w:space="0" w:color="auto"/>
              <w:right w:val="single" w:sz="4" w:space="0" w:color="auto"/>
            </w:tcBorders>
            <w:shd w:val="clear" w:color="000000" w:fill="E7E6E6"/>
            <w:vAlign w:val="center"/>
          </w:tcPr>
          <w:p w14:paraId="70B64FA2" w14:textId="7B45E48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48.8</w:t>
            </w:r>
          </w:p>
        </w:tc>
        <w:tc>
          <w:tcPr>
            <w:tcW w:w="1295" w:type="dxa"/>
            <w:tcBorders>
              <w:top w:val="nil"/>
              <w:left w:val="nil"/>
              <w:bottom w:val="single" w:sz="4" w:space="0" w:color="auto"/>
              <w:right w:val="single" w:sz="4" w:space="0" w:color="auto"/>
            </w:tcBorders>
            <w:shd w:val="clear" w:color="000000" w:fill="E7E6E6"/>
            <w:noWrap/>
            <w:vAlign w:val="center"/>
          </w:tcPr>
          <w:p w14:paraId="1D19FE7A" w14:textId="435D2EC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57.5</w:t>
            </w:r>
          </w:p>
        </w:tc>
        <w:tc>
          <w:tcPr>
            <w:tcW w:w="1173" w:type="dxa"/>
            <w:tcBorders>
              <w:top w:val="nil"/>
              <w:left w:val="nil"/>
              <w:bottom w:val="single" w:sz="4" w:space="0" w:color="auto"/>
              <w:right w:val="single" w:sz="4" w:space="0" w:color="auto"/>
            </w:tcBorders>
            <w:shd w:val="clear" w:color="000000" w:fill="E7E6E6"/>
            <w:noWrap/>
            <w:vAlign w:val="center"/>
          </w:tcPr>
          <w:p w14:paraId="09445548" w14:textId="68D8DF1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22.1</w:t>
            </w:r>
          </w:p>
        </w:tc>
      </w:tr>
      <w:tr w:rsidR="0072387E" w:rsidRPr="008C72D8" w14:paraId="7712107A"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3B75D9F" w14:textId="62F42C4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101–125</w:t>
            </w:r>
          </w:p>
        </w:tc>
        <w:tc>
          <w:tcPr>
            <w:tcW w:w="3357" w:type="dxa"/>
            <w:tcBorders>
              <w:top w:val="nil"/>
              <w:left w:val="nil"/>
              <w:bottom w:val="single" w:sz="4" w:space="0" w:color="auto"/>
              <w:right w:val="single" w:sz="4" w:space="0" w:color="auto"/>
            </w:tcBorders>
            <w:shd w:val="clear" w:color="auto" w:fill="auto"/>
            <w:noWrap/>
            <w:vAlign w:val="center"/>
          </w:tcPr>
          <w:p w14:paraId="7C8F594D" w14:textId="4C54A532"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Valencia</w:t>
            </w:r>
          </w:p>
        </w:tc>
        <w:tc>
          <w:tcPr>
            <w:tcW w:w="834" w:type="dxa"/>
            <w:tcBorders>
              <w:top w:val="nil"/>
              <w:left w:val="nil"/>
              <w:bottom w:val="single" w:sz="4" w:space="0" w:color="auto"/>
              <w:right w:val="single" w:sz="4" w:space="0" w:color="auto"/>
            </w:tcBorders>
            <w:shd w:val="clear" w:color="auto" w:fill="auto"/>
            <w:vAlign w:val="center"/>
          </w:tcPr>
          <w:p w14:paraId="2261D630" w14:textId="6652487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1E62A29E" w14:textId="7DB35DF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34.8–39.2</w:t>
            </w:r>
          </w:p>
        </w:tc>
        <w:tc>
          <w:tcPr>
            <w:tcW w:w="841" w:type="dxa"/>
            <w:tcBorders>
              <w:top w:val="nil"/>
              <w:left w:val="nil"/>
              <w:bottom w:val="single" w:sz="4" w:space="0" w:color="auto"/>
              <w:right w:val="single" w:sz="4" w:space="0" w:color="auto"/>
            </w:tcBorders>
            <w:shd w:val="clear" w:color="auto" w:fill="auto"/>
            <w:noWrap/>
            <w:vAlign w:val="center"/>
          </w:tcPr>
          <w:p w14:paraId="49053D32" w14:textId="6527B66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20.3</w:t>
            </w:r>
          </w:p>
        </w:tc>
        <w:tc>
          <w:tcPr>
            <w:tcW w:w="1126" w:type="dxa"/>
            <w:tcBorders>
              <w:top w:val="nil"/>
              <w:left w:val="nil"/>
              <w:bottom w:val="single" w:sz="4" w:space="0" w:color="auto"/>
              <w:right w:val="single" w:sz="4" w:space="0" w:color="auto"/>
            </w:tcBorders>
            <w:shd w:val="clear" w:color="auto" w:fill="auto"/>
            <w:noWrap/>
            <w:vAlign w:val="center"/>
          </w:tcPr>
          <w:p w14:paraId="69099109" w14:textId="3F8E3F5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40.6</w:t>
            </w:r>
          </w:p>
        </w:tc>
        <w:tc>
          <w:tcPr>
            <w:tcW w:w="850" w:type="dxa"/>
            <w:tcBorders>
              <w:top w:val="nil"/>
              <w:left w:val="nil"/>
              <w:bottom w:val="single" w:sz="4" w:space="0" w:color="auto"/>
              <w:right w:val="single" w:sz="4" w:space="0" w:color="auto"/>
            </w:tcBorders>
            <w:shd w:val="clear" w:color="auto" w:fill="auto"/>
            <w:vAlign w:val="center"/>
          </w:tcPr>
          <w:p w14:paraId="2F0DF95C" w14:textId="4F212BA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36.5</w:t>
            </w:r>
          </w:p>
        </w:tc>
        <w:tc>
          <w:tcPr>
            <w:tcW w:w="1295" w:type="dxa"/>
            <w:tcBorders>
              <w:top w:val="nil"/>
              <w:left w:val="nil"/>
              <w:bottom w:val="single" w:sz="4" w:space="0" w:color="auto"/>
              <w:right w:val="single" w:sz="4" w:space="0" w:color="auto"/>
            </w:tcBorders>
            <w:shd w:val="clear" w:color="auto" w:fill="auto"/>
            <w:noWrap/>
            <w:vAlign w:val="center"/>
          </w:tcPr>
          <w:p w14:paraId="46241843" w14:textId="4695465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38.3</w:t>
            </w:r>
          </w:p>
        </w:tc>
        <w:tc>
          <w:tcPr>
            <w:tcW w:w="1173" w:type="dxa"/>
            <w:tcBorders>
              <w:top w:val="nil"/>
              <w:left w:val="nil"/>
              <w:bottom w:val="single" w:sz="4" w:space="0" w:color="auto"/>
              <w:right w:val="single" w:sz="4" w:space="0" w:color="auto"/>
            </w:tcBorders>
            <w:shd w:val="clear" w:color="auto" w:fill="auto"/>
            <w:noWrap/>
            <w:vAlign w:val="center"/>
          </w:tcPr>
          <w:p w14:paraId="71C39402" w14:textId="67B958A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33.6</w:t>
            </w:r>
          </w:p>
        </w:tc>
      </w:tr>
      <w:tr w:rsidR="0072387E" w:rsidRPr="008C72D8" w14:paraId="5972C2D7"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0B0F0CFD" w14:textId="4C8B6DC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101–125</w:t>
            </w:r>
          </w:p>
        </w:tc>
        <w:tc>
          <w:tcPr>
            <w:tcW w:w="3357" w:type="dxa"/>
            <w:tcBorders>
              <w:top w:val="nil"/>
              <w:left w:val="nil"/>
              <w:bottom w:val="single" w:sz="4" w:space="0" w:color="auto"/>
              <w:right w:val="single" w:sz="4" w:space="0" w:color="auto"/>
            </w:tcBorders>
            <w:shd w:val="clear" w:color="000000" w:fill="E7E6E6"/>
            <w:noWrap/>
            <w:vAlign w:val="center"/>
          </w:tcPr>
          <w:p w14:paraId="5B71F257" w14:textId="1BFEC349"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Nacional Autónoma de México</w:t>
            </w:r>
          </w:p>
        </w:tc>
        <w:tc>
          <w:tcPr>
            <w:tcW w:w="834" w:type="dxa"/>
            <w:tcBorders>
              <w:top w:val="nil"/>
              <w:left w:val="nil"/>
              <w:bottom w:val="single" w:sz="4" w:space="0" w:color="auto"/>
              <w:right w:val="single" w:sz="4" w:space="0" w:color="auto"/>
            </w:tcBorders>
            <w:shd w:val="clear" w:color="000000" w:fill="E7E6E6"/>
            <w:vAlign w:val="center"/>
          </w:tcPr>
          <w:p w14:paraId="3D6AE8CB" w14:textId="17967B2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México</w:t>
            </w:r>
          </w:p>
        </w:tc>
        <w:tc>
          <w:tcPr>
            <w:tcW w:w="1044" w:type="dxa"/>
            <w:tcBorders>
              <w:top w:val="nil"/>
              <w:left w:val="nil"/>
              <w:bottom w:val="single" w:sz="4" w:space="0" w:color="auto"/>
              <w:right w:val="single" w:sz="4" w:space="0" w:color="auto"/>
            </w:tcBorders>
            <w:shd w:val="clear" w:color="000000" w:fill="E7E6E6"/>
            <w:noWrap/>
            <w:vAlign w:val="center"/>
          </w:tcPr>
          <w:p w14:paraId="497190E2" w14:textId="02FF1A0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34.8–39.2</w:t>
            </w:r>
          </w:p>
        </w:tc>
        <w:tc>
          <w:tcPr>
            <w:tcW w:w="841" w:type="dxa"/>
            <w:tcBorders>
              <w:top w:val="nil"/>
              <w:left w:val="nil"/>
              <w:bottom w:val="single" w:sz="4" w:space="0" w:color="auto"/>
              <w:right w:val="single" w:sz="4" w:space="0" w:color="auto"/>
            </w:tcBorders>
            <w:shd w:val="clear" w:color="000000" w:fill="E7E6E6"/>
            <w:noWrap/>
            <w:vAlign w:val="center"/>
          </w:tcPr>
          <w:p w14:paraId="24CFFF7A" w14:textId="0F9735E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27.9</w:t>
            </w:r>
          </w:p>
        </w:tc>
        <w:tc>
          <w:tcPr>
            <w:tcW w:w="1126" w:type="dxa"/>
            <w:tcBorders>
              <w:top w:val="nil"/>
              <w:left w:val="nil"/>
              <w:bottom w:val="single" w:sz="4" w:space="0" w:color="auto"/>
              <w:right w:val="single" w:sz="4" w:space="0" w:color="auto"/>
            </w:tcBorders>
            <w:shd w:val="clear" w:color="000000" w:fill="E7E6E6"/>
            <w:noWrap/>
            <w:vAlign w:val="center"/>
          </w:tcPr>
          <w:p w14:paraId="5A88A8D6" w14:textId="36FA7AF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75.7</w:t>
            </w:r>
          </w:p>
        </w:tc>
        <w:tc>
          <w:tcPr>
            <w:tcW w:w="850" w:type="dxa"/>
            <w:tcBorders>
              <w:top w:val="nil"/>
              <w:left w:val="nil"/>
              <w:bottom w:val="single" w:sz="4" w:space="0" w:color="auto"/>
              <w:right w:val="single" w:sz="4" w:space="0" w:color="auto"/>
            </w:tcBorders>
            <w:shd w:val="clear" w:color="000000" w:fill="E7E6E6"/>
            <w:vAlign w:val="center"/>
          </w:tcPr>
          <w:p w14:paraId="47C1F874" w14:textId="424D179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43.1</w:t>
            </w:r>
          </w:p>
        </w:tc>
        <w:tc>
          <w:tcPr>
            <w:tcW w:w="1295" w:type="dxa"/>
            <w:tcBorders>
              <w:top w:val="nil"/>
              <w:left w:val="nil"/>
              <w:bottom w:val="single" w:sz="4" w:space="0" w:color="auto"/>
              <w:right w:val="single" w:sz="4" w:space="0" w:color="auto"/>
            </w:tcBorders>
            <w:shd w:val="clear" w:color="000000" w:fill="E7E6E6"/>
            <w:noWrap/>
            <w:vAlign w:val="center"/>
          </w:tcPr>
          <w:p w14:paraId="77654464" w14:textId="2290153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49.2</w:t>
            </w:r>
          </w:p>
        </w:tc>
        <w:tc>
          <w:tcPr>
            <w:tcW w:w="1173" w:type="dxa"/>
            <w:tcBorders>
              <w:top w:val="nil"/>
              <w:left w:val="nil"/>
              <w:bottom w:val="single" w:sz="4" w:space="0" w:color="auto"/>
              <w:right w:val="single" w:sz="4" w:space="0" w:color="auto"/>
            </w:tcBorders>
            <w:shd w:val="clear" w:color="000000" w:fill="E7E6E6"/>
            <w:noWrap/>
            <w:vAlign w:val="center"/>
          </w:tcPr>
          <w:p w14:paraId="02FDB0C2" w14:textId="0C89B7E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17.6</w:t>
            </w:r>
          </w:p>
        </w:tc>
      </w:tr>
      <w:tr w:rsidR="0072387E" w:rsidRPr="008C72D8" w14:paraId="722DE8E7"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2A98D13" w14:textId="1A607D6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126–150</w:t>
            </w:r>
          </w:p>
        </w:tc>
        <w:tc>
          <w:tcPr>
            <w:tcW w:w="3357" w:type="dxa"/>
            <w:tcBorders>
              <w:top w:val="nil"/>
              <w:left w:val="nil"/>
              <w:bottom w:val="single" w:sz="4" w:space="0" w:color="auto"/>
              <w:right w:val="single" w:sz="4" w:space="0" w:color="auto"/>
            </w:tcBorders>
            <w:shd w:val="clear" w:color="auto" w:fill="auto"/>
            <w:noWrap/>
            <w:vAlign w:val="center"/>
          </w:tcPr>
          <w:p w14:paraId="5D95C9A6" w14:textId="02B858AD"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Barcelona</w:t>
            </w:r>
          </w:p>
        </w:tc>
        <w:tc>
          <w:tcPr>
            <w:tcW w:w="834" w:type="dxa"/>
            <w:tcBorders>
              <w:top w:val="nil"/>
              <w:left w:val="nil"/>
              <w:bottom w:val="single" w:sz="4" w:space="0" w:color="auto"/>
              <w:right w:val="single" w:sz="4" w:space="0" w:color="auto"/>
            </w:tcBorders>
            <w:shd w:val="clear" w:color="auto" w:fill="auto"/>
            <w:vAlign w:val="center"/>
          </w:tcPr>
          <w:p w14:paraId="5665C48A" w14:textId="752EA06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1931B6CE" w14:textId="18CCEBD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30.0–34.6</w:t>
            </w:r>
          </w:p>
        </w:tc>
        <w:tc>
          <w:tcPr>
            <w:tcW w:w="841" w:type="dxa"/>
            <w:tcBorders>
              <w:top w:val="nil"/>
              <w:left w:val="nil"/>
              <w:bottom w:val="single" w:sz="4" w:space="0" w:color="auto"/>
              <w:right w:val="single" w:sz="4" w:space="0" w:color="auto"/>
            </w:tcBorders>
            <w:shd w:val="clear" w:color="auto" w:fill="auto"/>
            <w:noWrap/>
            <w:vAlign w:val="center"/>
          </w:tcPr>
          <w:p w14:paraId="233EBA0E" w14:textId="0881305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30.1</w:t>
            </w:r>
          </w:p>
        </w:tc>
        <w:tc>
          <w:tcPr>
            <w:tcW w:w="1126" w:type="dxa"/>
            <w:tcBorders>
              <w:top w:val="nil"/>
              <w:left w:val="nil"/>
              <w:bottom w:val="single" w:sz="4" w:space="0" w:color="auto"/>
              <w:right w:val="single" w:sz="4" w:space="0" w:color="auto"/>
            </w:tcBorders>
            <w:shd w:val="clear" w:color="auto" w:fill="auto"/>
            <w:noWrap/>
            <w:vAlign w:val="center"/>
          </w:tcPr>
          <w:p w14:paraId="38746DEC" w14:textId="5F273B4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43.2</w:t>
            </w:r>
          </w:p>
        </w:tc>
        <w:tc>
          <w:tcPr>
            <w:tcW w:w="850" w:type="dxa"/>
            <w:tcBorders>
              <w:top w:val="nil"/>
              <w:left w:val="nil"/>
              <w:bottom w:val="single" w:sz="4" w:space="0" w:color="auto"/>
              <w:right w:val="single" w:sz="4" w:space="0" w:color="auto"/>
            </w:tcBorders>
            <w:shd w:val="clear" w:color="auto" w:fill="auto"/>
            <w:vAlign w:val="center"/>
          </w:tcPr>
          <w:p w14:paraId="65A9D178" w14:textId="7F1A51A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37</w:t>
            </w:r>
          </w:p>
        </w:tc>
        <w:tc>
          <w:tcPr>
            <w:tcW w:w="1295" w:type="dxa"/>
            <w:tcBorders>
              <w:top w:val="nil"/>
              <w:left w:val="nil"/>
              <w:bottom w:val="single" w:sz="4" w:space="0" w:color="auto"/>
              <w:right w:val="single" w:sz="4" w:space="0" w:color="auto"/>
            </w:tcBorders>
            <w:shd w:val="clear" w:color="auto" w:fill="auto"/>
            <w:noWrap/>
            <w:vAlign w:val="center"/>
          </w:tcPr>
          <w:p w14:paraId="3ED5E786" w14:textId="2FBAA63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28.6</w:t>
            </w:r>
          </w:p>
        </w:tc>
        <w:tc>
          <w:tcPr>
            <w:tcW w:w="1173" w:type="dxa"/>
            <w:tcBorders>
              <w:top w:val="nil"/>
              <w:left w:val="nil"/>
              <w:bottom w:val="single" w:sz="4" w:space="0" w:color="auto"/>
              <w:right w:val="single" w:sz="4" w:space="0" w:color="auto"/>
            </w:tcBorders>
            <w:shd w:val="clear" w:color="auto" w:fill="auto"/>
            <w:noWrap/>
            <w:vAlign w:val="center"/>
          </w:tcPr>
          <w:p w14:paraId="2F1FCDFB" w14:textId="268686D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32.1</w:t>
            </w:r>
          </w:p>
        </w:tc>
      </w:tr>
      <w:tr w:rsidR="0072387E" w:rsidRPr="008C72D8" w14:paraId="02BC214C"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664CD423" w14:textId="11EF7BD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126–150</w:t>
            </w:r>
          </w:p>
        </w:tc>
        <w:tc>
          <w:tcPr>
            <w:tcW w:w="3357" w:type="dxa"/>
            <w:tcBorders>
              <w:top w:val="nil"/>
              <w:left w:val="nil"/>
              <w:bottom w:val="single" w:sz="4" w:space="0" w:color="auto"/>
              <w:right w:val="single" w:sz="4" w:space="0" w:color="auto"/>
            </w:tcBorders>
            <w:shd w:val="clear" w:color="000000" w:fill="E7E6E6"/>
            <w:noWrap/>
            <w:vAlign w:val="center"/>
          </w:tcPr>
          <w:p w14:paraId="2C73240C" w14:textId="2B6E8E25"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Lisboa</w:t>
            </w:r>
          </w:p>
        </w:tc>
        <w:tc>
          <w:tcPr>
            <w:tcW w:w="834" w:type="dxa"/>
            <w:tcBorders>
              <w:top w:val="nil"/>
              <w:left w:val="nil"/>
              <w:bottom w:val="single" w:sz="4" w:space="0" w:color="auto"/>
              <w:right w:val="single" w:sz="4" w:space="0" w:color="auto"/>
            </w:tcBorders>
            <w:shd w:val="clear" w:color="000000" w:fill="E7E6E6"/>
            <w:vAlign w:val="center"/>
          </w:tcPr>
          <w:p w14:paraId="583AB853" w14:textId="4B4FED4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Portugal</w:t>
            </w:r>
          </w:p>
        </w:tc>
        <w:tc>
          <w:tcPr>
            <w:tcW w:w="1044" w:type="dxa"/>
            <w:tcBorders>
              <w:top w:val="nil"/>
              <w:left w:val="nil"/>
              <w:bottom w:val="single" w:sz="4" w:space="0" w:color="auto"/>
              <w:right w:val="single" w:sz="4" w:space="0" w:color="auto"/>
            </w:tcBorders>
            <w:shd w:val="clear" w:color="000000" w:fill="E7E6E6"/>
            <w:noWrap/>
            <w:vAlign w:val="center"/>
          </w:tcPr>
          <w:p w14:paraId="5FBE2B6E" w14:textId="544E430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30.0–34.6</w:t>
            </w:r>
          </w:p>
        </w:tc>
        <w:tc>
          <w:tcPr>
            <w:tcW w:w="841" w:type="dxa"/>
            <w:tcBorders>
              <w:top w:val="nil"/>
              <w:left w:val="nil"/>
              <w:bottom w:val="single" w:sz="4" w:space="0" w:color="auto"/>
              <w:right w:val="single" w:sz="4" w:space="0" w:color="auto"/>
            </w:tcBorders>
            <w:shd w:val="clear" w:color="000000" w:fill="E7E6E6"/>
            <w:noWrap/>
            <w:vAlign w:val="center"/>
          </w:tcPr>
          <w:p w14:paraId="1D950EA7" w14:textId="596DA6D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54.8</w:t>
            </w:r>
          </w:p>
        </w:tc>
        <w:tc>
          <w:tcPr>
            <w:tcW w:w="1126" w:type="dxa"/>
            <w:tcBorders>
              <w:top w:val="nil"/>
              <w:left w:val="nil"/>
              <w:bottom w:val="single" w:sz="4" w:space="0" w:color="auto"/>
              <w:right w:val="single" w:sz="4" w:space="0" w:color="auto"/>
            </w:tcBorders>
            <w:shd w:val="clear" w:color="000000" w:fill="E7E6E6"/>
            <w:noWrap/>
            <w:vAlign w:val="center"/>
          </w:tcPr>
          <w:p w14:paraId="7A5FE186" w14:textId="5EA6CE1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39.3</w:t>
            </w:r>
          </w:p>
        </w:tc>
        <w:tc>
          <w:tcPr>
            <w:tcW w:w="850" w:type="dxa"/>
            <w:tcBorders>
              <w:top w:val="nil"/>
              <w:left w:val="nil"/>
              <w:bottom w:val="single" w:sz="4" w:space="0" w:color="auto"/>
              <w:right w:val="single" w:sz="4" w:space="0" w:color="auto"/>
            </w:tcBorders>
            <w:shd w:val="clear" w:color="000000" w:fill="E7E6E6"/>
            <w:vAlign w:val="center"/>
          </w:tcPr>
          <w:p w14:paraId="4B5BCF1C" w14:textId="403D1A7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22.5</w:t>
            </w:r>
          </w:p>
        </w:tc>
        <w:tc>
          <w:tcPr>
            <w:tcW w:w="1295" w:type="dxa"/>
            <w:tcBorders>
              <w:top w:val="nil"/>
              <w:left w:val="nil"/>
              <w:bottom w:val="single" w:sz="4" w:space="0" w:color="auto"/>
              <w:right w:val="single" w:sz="4" w:space="0" w:color="auto"/>
            </w:tcBorders>
            <w:shd w:val="clear" w:color="000000" w:fill="E7E6E6"/>
            <w:noWrap/>
            <w:vAlign w:val="center"/>
          </w:tcPr>
          <w:p w14:paraId="1C2541B6" w14:textId="032D972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7.6</w:t>
            </w:r>
          </w:p>
        </w:tc>
        <w:tc>
          <w:tcPr>
            <w:tcW w:w="1173" w:type="dxa"/>
            <w:tcBorders>
              <w:top w:val="nil"/>
              <w:left w:val="nil"/>
              <w:bottom w:val="single" w:sz="4" w:space="0" w:color="auto"/>
              <w:right w:val="single" w:sz="4" w:space="0" w:color="auto"/>
            </w:tcBorders>
            <w:shd w:val="clear" w:color="000000" w:fill="E7E6E6"/>
            <w:noWrap/>
            <w:vAlign w:val="center"/>
          </w:tcPr>
          <w:p w14:paraId="5C56A31B" w14:textId="070CB56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57.4</w:t>
            </w:r>
          </w:p>
        </w:tc>
      </w:tr>
      <w:tr w:rsidR="0072387E" w:rsidRPr="008C72D8" w14:paraId="516F5533"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65615F6" w14:textId="0D97B1B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151+</w:t>
            </w:r>
          </w:p>
        </w:tc>
        <w:tc>
          <w:tcPr>
            <w:tcW w:w="3357" w:type="dxa"/>
            <w:tcBorders>
              <w:top w:val="nil"/>
              <w:left w:val="nil"/>
              <w:bottom w:val="single" w:sz="4" w:space="0" w:color="auto"/>
              <w:right w:val="single" w:sz="4" w:space="0" w:color="auto"/>
            </w:tcBorders>
            <w:shd w:val="clear" w:color="auto" w:fill="auto"/>
            <w:noWrap/>
            <w:vAlign w:val="center"/>
          </w:tcPr>
          <w:p w14:paraId="2F953E6F" w14:textId="0F88C782"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Pontificia Universidad Católica de Chile</w:t>
            </w:r>
          </w:p>
        </w:tc>
        <w:tc>
          <w:tcPr>
            <w:tcW w:w="834" w:type="dxa"/>
            <w:tcBorders>
              <w:top w:val="nil"/>
              <w:left w:val="nil"/>
              <w:bottom w:val="single" w:sz="4" w:space="0" w:color="auto"/>
              <w:right w:val="single" w:sz="4" w:space="0" w:color="auto"/>
            </w:tcBorders>
            <w:shd w:val="clear" w:color="auto" w:fill="auto"/>
            <w:vAlign w:val="center"/>
          </w:tcPr>
          <w:p w14:paraId="0B88FE69" w14:textId="0D5A864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Chile</w:t>
            </w:r>
          </w:p>
        </w:tc>
        <w:tc>
          <w:tcPr>
            <w:tcW w:w="1044" w:type="dxa"/>
            <w:tcBorders>
              <w:top w:val="nil"/>
              <w:left w:val="nil"/>
              <w:bottom w:val="single" w:sz="4" w:space="0" w:color="auto"/>
              <w:right w:val="single" w:sz="4" w:space="0" w:color="auto"/>
            </w:tcBorders>
            <w:shd w:val="clear" w:color="auto" w:fill="auto"/>
            <w:noWrap/>
            <w:vAlign w:val="center"/>
          </w:tcPr>
          <w:p w14:paraId="2194C16C" w14:textId="64DD3A6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13.5–29.7</w:t>
            </w:r>
          </w:p>
        </w:tc>
        <w:tc>
          <w:tcPr>
            <w:tcW w:w="841" w:type="dxa"/>
            <w:tcBorders>
              <w:top w:val="nil"/>
              <w:left w:val="nil"/>
              <w:bottom w:val="single" w:sz="4" w:space="0" w:color="auto"/>
              <w:right w:val="single" w:sz="4" w:space="0" w:color="auto"/>
            </w:tcBorders>
            <w:shd w:val="clear" w:color="auto" w:fill="auto"/>
            <w:noWrap/>
            <w:vAlign w:val="center"/>
          </w:tcPr>
          <w:p w14:paraId="62CD2210" w14:textId="161647E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31.6</w:t>
            </w:r>
          </w:p>
        </w:tc>
        <w:tc>
          <w:tcPr>
            <w:tcW w:w="1126" w:type="dxa"/>
            <w:tcBorders>
              <w:top w:val="nil"/>
              <w:left w:val="nil"/>
              <w:bottom w:val="single" w:sz="4" w:space="0" w:color="auto"/>
              <w:right w:val="single" w:sz="4" w:space="0" w:color="auto"/>
            </w:tcBorders>
            <w:shd w:val="clear" w:color="auto" w:fill="auto"/>
            <w:noWrap/>
            <w:vAlign w:val="center"/>
          </w:tcPr>
          <w:p w14:paraId="72A0AF7E" w14:textId="6FD0B61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39.3</w:t>
            </w:r>
          </w:p>
        </w:tc>
        <w:tc>
          <w:tcPr>
            <w:tcW w:w="850" w:type="dxa"/>
            <w:tcBorders>
              <w:top w:val="nil"/>
              <w:left w:val="nil"/>
              <w:bottom w:val="single" w:sz="4" w:space="0" w:color="auto"/>
              <w:right w:val="single" w:sz="4" w:space="0" w:color="auto"/>
            </w:tcBorders>
            <w:shd w:val="clear" w:color="auto" w:fill="auto"/>
            <w:vAlign w:val="center"/>
          </w:tcPr>
          <w:p w14:paraId="197957AE" w14:textId="34E770E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29.5</w:t>
            </w:r>
          </w:p>
        </w:tc>
        <w:tc>
          <w:tcPr>
            <w:tcW w:w="1295" w:type="dxa"/>
            <w:tcBorders>
              <w:top w:val="nil"/>
              <w:left w:val="nil"/>
              <w:bottom w:val="single" w:sz="4" w:space="0" w:color="auto"/>
              <w:right w:val="single" w:sz="4" w:space="0" w:color="auto"/>
            </w:tcBorders>
            <w:shd w:val="clear" w:color="auto" w:fill="auto"/>
            <w:noWrap/>
            <w:vAlign w:val="center"/>
          </w:tcPr>
          <w:p w14:paraId="5F257F0F" w14:textId="2DE2CC7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18.7</w:t>
            </w:r>
          </w:p>
        </w:tc>
        <w:tc>
          <w:tcPr>
            <w:tcW w:w="1173" w:type="dxa"/>
            <w:tcBorders>
              <w:top w:val="nil"/>
              <w:left w:val="nil"/>
              <w:bottom w:val="single" w:sz="4" w:space="0" w:color="auto"/>
              <w:right w:val="single" w:sz="4" w:space="0" w:color="auto"/>
            </w:tcBorders>
            <w:shd w:val="clear" w:color="auto" w:fill="auto"/>
            <w:noWrap/>
            <w:vAlign w:val="center"/>
          </w:tcPr>
          <w:p w14:paraId="3C883BEA" w14:textId="70CBECA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30.3</w:t>
            </w:r>
          </w:p>
        </w:tc>
      </w:tr>
      <w:tr w:rsidR="0072387E" w:rsidRPr="008C72D8" w14:paraId="6F009175"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37247386" w14:textId="5A432F5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151+</w:t>
            </w:r>
          </w:p>
        </w:tc>
        <w:tc>
          <w:tcPr>
            <w:tcW w:w="3357" w:type="dxa"/>
            <w:tcBorders>
              <w:top w:val="nil"/>
              <w:left w:val="nil"/>
              <w:bottom w:val="single" w:sz="4" w:space="0" w:color="auto"/>
              <w:right w:val="single" w:sz="4" w:space="0" w:color="auto"/>
            </w:tcBorders>
            <w:shd w:val="clear" w:color="000000" w:fill="E7E6E6"/>
            <w:noWrap/>
            <w:vAlign w:val="center"/>
          </w:tcPr>
          <w:p w14:paraId="0C70A809" w14:textId="5E7CFB7E"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Autónoma de Madrid</w:t>
            </w:r>
          </w:p>
        </w:tc>
        <w:tc>
          <w:tcPr>
            <w:tcW w:w="834" w:type="dxa"/>
            <w:tcBorders>
              <w:top w:val="nil"/>
              <w:left w:val="nil"/>
              <w:bottom w:val="single" w:sz="4" w:space="0" w:color="auto"/>
              <w:right w:val="single" w:sz="4" w:space="0" w:color="auto"/>
            </w:tcBorders>
            <w:shd w:val="clear" w:color="000000" w:fill="E7E6E6"/>
            <w:vAlign w:val="center"/>
          </w:tcPr>
          <w:p w14:paraId="58EB1844" w14:textId="7BC9028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4E0ECEFB" w14:textId="6972517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13.5–29.7</w:t>
            </w:r>
          </w:p>
        </w:tc>
        <w:tc>
          <w:tcPr>
            <w:tcW w:w="841" w:type="dxa"/>
            <w:tcBorders>
              <w:top w:val="nil"/>
              <w:left w:val="nil"/>
              <w:bottom w:val="single" w:sz="4" w:space="0" w:color="auto"/>
              <w:right w:val="single" w:sz="4" w:space="0" w:color="auto"/>
            </w:tcBorders>
            <w:shd w:val="clear" w:color="000000" w:fill="E7E6E6"/>
            <w:noWrap/>
            <w:vAlign w:val="center"/>
          </w:tcPr>
          <w:p w14:paraId="29274AB4" w14:textId="61AB9E5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26.5</w:t>
            </w:r>
          </w:p>
        </w:tc>
        <w:tc>
          <w:tcPr>
            <w:tcW w:w="1126" w:type="dxa"/>
            <w:tcBorders>
              <w:top w:val="nil"/>
              <w:left w:val="nil"/>
              <w:bottom w:val="single" w:sz="4" w:space="0" w:color="auto"/>
              <w:right w:val="single" w:sz="4" w:space="0" w:color="auto"/>
            </w:tcBorders>
            <w:shd w:val="clear" w:color="000000" w:fill="E7E6E6"/>
            <w:noWrap/>
            <w:vAlign w:val="center"/>
          </w:tcPr>
          <w:p w14:paraId="636994DC" w14:textId="0FE6493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53</w:t>
            </w:r>
          </w:p>
        </w:tc>
        <w:tc>
          <w:tcPr>
            <w:tcW w:w="850" w:type="dxa"/>
            <w:tcBorders>
              <w:top w:val="nil"/>
              <w:left w:val="nil"/>
              <w:bottom w:val="single" w:sz="4" w:space="0" w:color="auto"/>
              <w:right w:val="single" w:sz="4" w:space="0" w:color="auto"/>
            </w:tcBorders>
            <w:shd w:val="clear" w:color="000000" w:fill="E7E6E6"/>
            <w:vAlign w:val="center"/>
          </w:tcPr>
          <w:p w14:paraId="6480A1F9" w14:textId="1093CC7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25.1</w:t>
            </w:r>
          </w:p>
        </w:tc>
        <w:tc>
          <w:tcPr>
            <w:tcW w:w="1295" w:type="dxa"/>
            <w:tcBorders>
              <w:top w:val="nil"/>
              <w:left w:val="nil"/>
              <w:bottom w:val="single" w:sz="4" w:space="0" w:color="auto"/>
              <w:right w:val="single" w:sz="4" w:space="0" w:color="auto"/>
            </w:tcBorders>
            <w:shd w:val="clear" w:color="000000" w:fill="E7E6E6"/>
            <w:noWrap/>
            <w:vAlign w:val="center"/>
          </w:tcPr>
          <w:p w14:paraId="35D2B66F" w14:textId="111823B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18.2</w:t>
            </w:r>
          </w:p>
        </w:tc>
        <w:tc>
          <w:tcPr>
            <w:tcW w:w="1173" w:type="dxa"/>
            <w:tcBorders>
              <w:top w:val="nil"/>
              <w:left w:val="nil"/>
              <w:bottom w:val="single" w:sz="4" w:space="0" w:color="auto"/>
              <w:right w:val="single" w:sz="4" w:space="0" w:color="auto"/>
            </w:tcBorders>
            <w:shd w:val="clear" w:color="000000" w:fill="E7E6E6"/>
            <w:noWrap/>
            <w:vAlign w:val="center"/>
          </w:tcPr>
          <w:p w14:paraId="6FAD8628" w14:textId="661ECA3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25.7</w:t>
            </w:r>
          </w:p>
        </w:tc>
      </w:tr>
      <w:tr w:rsidR="0072387E" w:rsidRPr="008C72D8" w14:paraId="431CFEE4"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3D9291F" w14:textId="46409CA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151+</w:t>
            </w:r>
          </w:p>
        </w:tc>
        <w:tc>
          <w:tcPr>
            <w:tcW w:w="3357" w:type="dxa"/>
            <w:tcBorders>
              <w:top w:val="nil"/>
              <w:left w:val="nil"/>
              <w:bottom w:val="single" w:sz="4" w:space="0" w:color="auto"/>
              <w:right w:val="single" w:sz="4" w:space="0" w:color="auto"/>
            </w:tcBorders>
            <w:shd w:val="clear" w:color="auto" w:fill="auto"/>
            <w:noWrap/>
            <w:vAlign w:val="center"/>
          </w:tcPr>
          <w:p w14:paraId="3D0B483A" w14:textId="37C6E2D3"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Carlos III de Madrid</w:t>
            </w:r>
          </w:p>
        </w:tc>
        <w:tc>
          <w:tcPr>
            <w:tcW w:w="834" w:type="dxa"/>
            <w:tcBorders>
              <w:top w:val="nil"/>
              <w:left w:val="nil"/>
              <w:bottom w:val="single" w:sz="4" w:space="0" w:color="auto"/>
              <w:right w:val="single" w:sz="4" w:space="0" w:color="auto"/>
            </w:tcBorders>
            <w:shd w:val="clear" w:color="auto" w:fill="auto"/>
            <w:vAlign w:val="center"/>
          </w:tcPr>
          <w:p w14:paraId="74DEBB39" w14:textId="63F893E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1FC177F7" w14:textId="524F5AF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13.5–29.7</w:t>
            </w:r>
          </w:p>
        </w:tc>
        <w:tc>
          <w:tcPr>
            <w:tcW w:w="841" w:type="dxa"/>
            <w:tcBorders>
              <w:top w:val="nil"/>
              <w:left w:val="nil"/>
              <w:bottom w:val="single" w:sz="4" w:space="0" w:color="auto"/>
              <w:right w:val="single" w:sz="4" w:space="0" w:color="auto"/>
            </w:tcBorders>
            <w:shd w:val="clear" w:color="auto" w:fill="auto"/>
            <w:noWrap/>
            <w:vAlign w:val="center"/>
          </w:tcPr>
          <w:p w14:paraId="5C23F4C1" w14:textId="496273B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38.8</w:t>
            </w:r>
          </w:p>
        </w:tc>
        <w:tc>
          <w:tcPr>
            <w:tcW w:w="1126" w:type="dxa"/>
            <w:tcBorders>
              <w:top w:val="nil"/>
              <w:left w:val="nil"/>
              <w:bottom w:val="single" w:sz="4" w:space="0" w:color="auto"/>
              <w:right w:val="single" w:sz="4" w:space="0" w:color="auto"/>
            </w:tcBorders>
            <w:shd w:val="clear" w:color="auto" w:fill="auto"/>
            <w:noWrap/>
            <w:vAlign w:val="center"/>
          </w:tcPr>
          <w:p w14:paraId="6A716887" w14:textId="60FE7BE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49.2</w:t>
            </w:r>
          </w:p>
        </w:tc>
        <w:tc>
          <w:tcPr>
            <w:tcW w:w="850" w:type="dxa"/>
            <w:tcBorders>
              <w:top w:val="nil"/>
              <w:left w:val="nil"/>
              <w:bottom w:val="single" w:sz="4" w:space="0" w:color="auto"/>
              <w:right w:val="single" w:sz="4" w:space="0" w:color="auto"/>
            </w:tcBorders>
            <w:shd w:val="clear" w:color="auto" w:fill="auto"/>
            <w:vAlign w:val="center"/>
          </w:tcPr>
          <w:p w14:paraId="1BC3E9C6" w14:textId="1DE4959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38.6</w:t>
            </w:r>
          </w:p>
        </w:tc>
        <w:tc>
          <w:tcPr>
            <w:tcW w:w="1295" w:type="dxa"/>
            <w:tcBorders>
              <w:top w:val="nil"/>
              <w:left w:val="nil"/>
              <w:bottom w:val="single" w:sz="4" w:space="0" w:color="auto"/>
              <w:right w:val="single" w:sz="4" w:space="0" w:color="auto"/>
            </w:tcBorders>
            <w:shd w:val="clear" w:color="auto" w:fill="auto"/>
            <w:noWrap/>
            <w:vAlign w:val="center"/>
          </w:tcPr>
          <w:p w14:paraId="45EC0588" w14:textId="654B12E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6.7</w:t>
            </w:r>
          </w:p>
        </w:tc>
        <w:tc>
          <w:tcPr>
            <w:tcW w:w="1173" w:type="dxa"/>
            <w:tcBorders>
              <w:top w:val="nil"/>
              <w:left w:val="nil"/>
              <w:bottom w:val="single" w:sz="4" w:space="0" w:color="auto"/>
              <w:right w:val="single" w:sz="4" w:space="0" w:color="auto"/>
            </w:tcBorders>
            <w:shd w:val="clear" w:color="auto" w:fill="auto"/>
            <w:noWrap/>
            <w:vAlign w:val="center"/>
          </w:tcPr>
          <w:p w14:paraId="0A9CF984" w14:textId="0C1FF97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31.1</w:t>
            </w:r>
          </w:p>
        </w:tc>
      </w:tr>
      <w:tr w:rsidR="0072387E" w:rsidRPr="008C72D8" w14:paraId="4CC06C23"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4A6B44AC" w14:textId="41B2E94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151+</w:t>
            </w:r>
          </w:p>
        </w:tc>
        <w:tc>
          <w:tcPr>
            <w:tcW w:w="3357" w:type="dxa"/>
            <w:tcBorders>
              <w:top w:val="nil"/>
              <w:left w:val="nil"/>
              <w:bottom w:val="single" w:sz="4" w:space="0" w:color="auto"/>
              <w:right w:val="single" w:sz="4" w:space="0" w:color="auto"/>
            </w:tcBorders>
            <w:shd w:val="clear" w:color="000000" w:fill="E7E6E6"/>
            <w:noWrap/>
            <w:vAlign w:val="center"/>
          </w:tcPr>
          <w:p w14:paraId="10365E24" w14:textId="07AC43D4"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Chile</w:t>
            </w:r>
          </w:p>
        </w:tc>
        <w:tc>
          <w:tcPr>
            <w:tcW w:w="834" w:type="dxa"/>
            <w:tcBorders>
              <w:top w:val="nil"/>
              <w:left w:val="nil"/>
              <w:bottom w:val="single" w:sz="4" w:space="0" w:color="auto"/>
              <w:right w:val="single" w:sz="4" w:space="0" w:color="auto"/>
            </w:tcBorders>
            <w:shd w:val="clear" w:color="000000" w:fill="E7E6E6"/>
            <w:vAlign w:val="center"/>
          </w:tcPr>
          <w:p w14:paraId="10C654E3" w14:textId="76B2D93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Chile</w:t>
            </w:r>
          </w:p>
        </w:tc>
        <w:tc>
          <w:tcPr>
            <w:tcW w:w="1044" w:type="dxa"/>
            <w:tcBorders>
              <w:top w:val="nil"/>
              <w:left w:val="nil"/>
              <w:bottom w:val="single" w:sz="4" w:space="0" w:color="auto"/>
              <w:right w:val="single" w:sz="4" w:space="0" w:color="auto"/>
            </w:tcBorders>
            <w:shd w:val="clear" w:color="000000" w:fill="E7E6E6"/>
            <w:noWrap/>
            <w:vAlign w:val="center"/>
          </w:tcPr>
          <w:p w14:paraId="23B338B9" w14:textId="464495A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13.5–29.7</w:t>
            </w:r>
          </w:p>
        </w:tc>
        <w:tc>
          <w:tcPr>
            <w:tcW w:w="841" w:type="dxa"/>
            <w:tcBorders>
              <w:top w:val="nil"/>
              <w:left w:val="nil"/>
              <w:bottom w:val="single" w:sz="4" w:space="0" w:color="auto"/>
              <w:right w:val="single" w:sz="4" w:space="0" w:color="auto"/>
            </w:tcBorders>
            <w:shd w:val="clear" w:color="000000" w:fill="E7E6E6"/>
            <w:noWrap/>
            <w:vAlign w:val="center"/>
          </w:tcPr>
          <w:p w14:paraId="2D93C3C9" w14:textId="502D429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18</w:t>
            </w:r>
          </w:p>
        </w:tc>
        <w:tc>
          <w:tcPr>
            <w:tcW w:w="1126" w:type="dxa"/>
            <w:tcBorders>
              <w:top w:val="nil"/>
              <w:left w:val="nil"/>
              <w:bottom w:val="single" w:sz="4" w:space="0" w:color="auto"/>
              <w:right w:val="single" w:sz="4" w:space="0" w:color="auto"/>
            </w:tcBorders>
            <w:shd w:val="clear" w:color="000000" w:fill="E7E6E6"/>
            <w:noWrap/>
            <w:vAlign w:val="center"/>
          </w:tcPr>
          <w:p w14:paraId="18CAC0CD" w14:textId="7360736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36.9</w:t>
            </w:r>
          </w:p>
        </w:tc>
        <w:tc>
          <w:tcPr>
            <w:tcW w:w="850" w:type="dxa"/>
            <w:tcBorders>
              <w:top w:val="nil"/>
              <w:left w:val="nil"/>
              <w:bottom w:val="single" w:sz="4" w:space="0" w:color="auto"/>
              <w:right w:val="single" w:sz="4" w:space="0" w:color="auto"/>
            </w:tcBorders>
            <w:shd w:val="clear" w:color="000000" w:fill="E7E6E6"/>
            <w:vAlign w:val="center"/>
          </w:tcPr>
          <w:p w14:paraId="35533697" w14:textId="5638C48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10.4</w:t>
            </w:r>
          </w:p>
        </w:tc>
        <w:tc>
          <w:tcPr>
            <w:tcW w:w="1295" w:type="dxa"/>
            <w:tcBorders>
              <w:top w:val="nil"/>
              <w:left w:val="nil"/>
              <w:bottom w:val="single" w:sz="4" w:space="0" w:color="auto"/>
              <w:right w:val="single" w:sz="4" w:space="0" w:color="auto"/>
            </w:tcBorders>
            <w:shd w:val="clear" w:color="000000" w:fill="E7E6E6"/>
            <w:noWrap/>
            <w:vAlign w:val="center"/>
          </w:tcPr>
          <w:p w14:paraId="54620896" w14:textId="5AD88E9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19.4</w:t>
            </w:r>
          </w:p>
        </w:tc>
        <w:tc>
          <w:tcPr>
            <w:tcW w:w="1173" w:type="dxa"/>
            <w:tcBorders>
              <w:top w:val="nil"/>
              <w:left w:val="nil"/>
              <w:bottom w:val="single" w:sz="4" w:space="0" w:color="auto"/>
              <w:right w:val="single" w:sz="4" w:space="0" w:color="auto"/>
            </w:tcBorders>
            <w:shd w:val="clear" w:color="000000" w:fill="E7E6E6"/>
            <w:noWrap/>
            <w:vAlign w:val="center"/>
          </w:tcPr>
          <w:p w14:paraId="4FF03224" w14:textId="40E21F8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18</w:t>
            </w:r>
          </w:p>
        </w:tc>
      </w:tr>
    </w:tbl>
    <w:p w14:paraId="7DBDE458" w14:textId="77777777" w:rsidR="0081233E" w:rsidRPr="008C72D8" w:rsidRDefault="0081233E" w:rsidP="0078703F">
      <w:pPr>
        <w:spacing w:line="240" w:lineRule="auto"/>
      </w:pPr>
    </w:p>
    <w:tbl>
      <w:tblPr>
        <w:tblW w:w="11321" w:type="dxa"/>
        <w:jc w:val="center"/>
        <w:tblCellMar>
          <w:left w:w="70" w:type="dxa"/>
          <w:right w:w="70" w:type="dxa"/>
        </w:tblCellMar>
        <w:tblLook w:val="04A0" w:firstRow="1" w:lastRow="0" w:firstColumn="1" w:lastColumn="0" w:noHBand="0" w:noVBand="1"/>
      </w:tblPr>
      <w:tblGrid>
        <w:gridCol w:w="801"/>
        <w:gridCol w:w="3357"/>
        <w:gridCol w:w="834"/>
        <w:gridCol w:w="1044"/>
        <w:gridCol w:w="841"/>
        <w:gridCol w:w="1126"/>
        <w:gridCol w:w="850"/>
        <w:gridCol w:w="1295"/>
        <w:gridCol w:w="1173"/>
      </w:tblGrid>
      <w:tr w:rsidR="00810B7C" w:rsidRPr="008C72D8" w14:paraId="417CF027" w14:textId="77777777" w:rsidTr="0081233E">
        <w:trPr>
          <w:trHeight w:val="298"/>
          <w:jc w:val="center"/>
        </w:trPr>
        <w:tc>
          <w:tcPr>
            <w:tcW w:w="11321" w:type="dxa"/>
            <w:gridSpan w:val="9"/>
            <w:tcBorders>
              <w:top w:val="nil"/>
              <w:left w:val="nil"/>
              <w:bottom w:val="single" w:sz="4" w:space="0" w:color="auto"/>
              <w:right w:val="nil"/>
            </w:tcBorders>
            <w:shd w:val="clear" w:color="auto" w:fill="auto"/>
            <w:vAlign w:val="center"/>
            <w:hideMark/>
          </w:tcPr>
          <w:p w14:paraId="4F887853" w14:textId="69D12BC0" w:rsidR="00810B7C" w:rsidRPr="008C72D8" w:rsidRDefault="0024082E" w:rsidP="0078703F">
            <w:pPr>
              <w:spacing w:line="240" w:lineRule="auto"/>
              <w:jc w:val="center"/>
              <w:rPr>
                <w:rFonts w:ascii="Calibri" w:eastAsia="Times New Roman" w:hAnsi="Calibri" w:cs="Calibri"/>
                <w:b/>
                <w:bCs/>
                <w:color w:val="000000"/>
                <w:sz w:val="20"/>
                <w:szCs w:val="20"/>
                <w:lang w:eastAsia="es-MX"/>
              </w:rPr>
            </w:pPr>
            <w:r w:rsidRPr="008C72D8">
              <w:rPr>
                <w:rFonts w:ascii="Calibri" w:eastAsia="Times New Roman" w:hAnsi="Calibri" w:cs="Calibri"/>
                <w:b/>
                <w:bCs/>
                <w:color w:val="000000"/>
                <w:sz w:val="20"/>
                <w:szCs w:val="20"/>
                <w:lang w:eastAsia="es-MX"/>
              </w:rPr>
              <w:t>Tabla 4</w:t>
            </w:r>
            <w:r w:rsidR="00810B7C" w:rsidRPr="008C72D8">
              <w:rPr>
                <w:rFonts w:ascii="Calibri" w:eastAsia="Times New Roman" w:hAnsi="Calibri" w:cs="Calibri"/>
                <w:b/>
                <w:bCs/>
                <w:color w:val="000000"/>
                <w:sz w:val="20"/>
                <w:szCs w:val="20"/>
                <w:lang w:eastAsia="es-MX"/>
              </w:rPr>
              <w:t xml:space="preserve">. Posición de las universidades iberoamericanas </w:t>
            </w:r>
            <w:r w:rsidR="0072387E">
              <w:rPr>
                <w:rFonts w:ascii="Calibri" w:eastAsia="Times New Roman" w:hAnsi="Calibri" w:cs="Calibri"/>
                <w:b/>
                <w:bCs/>
                <w:color w:val="000000"/>
                <w:sz w:val="20"/>
                <w:szCs w:val="20"/>
                <w:lang w:eastAsia="es-MX"/>
              </w:rPr>
              <w:t xml:space="preserve">en el TOP 10 </w:t>
            </w:r>
            <w:r w:rsidR="00810B7C" w:rsidRPr="008C72D8">
              <w:rPr>
                <w:rFonts w:ascii="Calibri" w:eastAsia="Times New Roman" w:hAnsi="Calibri" w:cs="Calibri"/>
                <w:b/>
                <w:bCs/>
                <w:color w:val="000000"/>
                <w:sz w:val="20"/>
                <w:szCs w:val="20"/>
                <w:lang w:eastAsia="es-MX"/>
              </w:rPr>
              <w:t xml:space="preserve">del ranking </w:t>
            </w:r>
            <w:r w:rsidR="0081233E" w:rsidRPr="008C72D8">
              <w:rPr>
                <w:rFonts w:ascii="Calibri" w:eastAsia="Times New Roman" w:hAnsi="Calibri" w:cs="Calibri"/>
                <w:b/>
                <w:bCs/>
                <w:color w:val="000000"/>
                <w:sz w:val="20"/>
                <w:szCs w:val="20"/>
                <w:lang w:eastAsia="es-MX"/>
              </w:rPr>
              <w:t xml:space="preserve">THE en el área de </w:t>
            </w:r>
            <w:r w:rsidR="00810B7C" w:rsidRPr="008C72D8">
              <w:rPr>
                <w:rFonts w:ascii="Calibri" w:eastAsia="Times New Roman" w:hAnsi="Calibri" w:cs="Calibri"/>
                <w:b/>
                <w:bCs/>
                <w:color w:val="000000"/>
                <w:sz w:val="20"/>
                <w:szCs w:val="20"/>
                <w:lang w:eastAsia="es-MX"/>
              </w:rPr>
              <w:t>Educación, 2020.</w:t>
            </w:r>
          </w:p>
        </w:tc>
      </w:tr>
      <w:tr w:rsidR="00810B7C" w:rsidRPr="008C72D8" w14:paraId="064FC60D" w14:textId="77777777" w:rsidTr="0081233E">
        <w:trPr>
          <w:trHeight w:val="477"/>
          <w:jc w:val="center"/>
        </w:trPr>
        <w:tc>
          <w:tcPr>
            <w:tcW w:w="801" w:type="dxa"/>
            <w:tcBorders>
              <w:top w:val="nil"/>
              <w:left w:val="single" w:sz="4" w:space="0" w:color="auto"/>
              <w:bottom w:val="single" w:sz="4" w:space="0" w:color="auto"/>
              <w:right w:val="single" w:sz="4" w:space="0" w:color="auto"/>
            </w:tcBorders>
            <w:shd w:val="clear" w:color="000000" w:fill="BDD6EE"/>
            <w:vAlign w:val="center"/>
            <w:hideMark/>
          </w:tcPr>
          <w:p w14:paraId="7115E680"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Posición</w:t>
            </w:r>
          </w:p>
        </w:tc>
        <w:tc>
          <w:tcPr>
            <w:tcW w:w="3357" w:type="dxa"/>
            <w:tcBorders>
              <w:top w:val="nil"/>
              <w:left w:val="nil"/>
              <w:bottom w:val="single" w:sz="4" w:space="0" w:color="auto"/>
              <w:right w:val="single" w:sz="4" w:space="0" w:color="auto"/>
            </w:tcBorders>
            <w:shd w:val="clear" w:color="000000" w:fill="BDD6EE"/>
            <w:vAlign w:val="center"/>
            <w:hideMark/>
          </w:tcPr>
          <w:p w14:paraId="7038B0A3"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Institución</w:t>
            </w:r>
          </w:p>
        </w:tc>
        <w:tc>
          <w:tcPr>
            <w:tcW w:w="834" w:type="dxa"/>
            <w:tcBorders>
              <w:top w:val="nil"/>
              <w:left w:val="nil"/>
              <w:bottom w:val="single" w:sz="4" w:space="0" w:color="auto"/>
              <w:right w:val="single" w:sz="4" w:space="0" w:color="auto"/>
            </w:tcBorders>
            <w:shd w:val="clear" w:color="000000" w:fill="BDD6EE"/>
            <w:vAlign w:val="center"/>
            <w:hideMark/>
          </w:tcPr>
          <w:p w14:paraId="49DD4C09"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País</w:t>
            </w:r>
          </w:p>
        </w:tc>
        <w:tc>
          <w:tcPr>
            <w:tcW w:w="1044" w:type="dxa"/>
            <w:tcBorders>
              <w:top w:val="nil"/>
              <w:left w:val="nil"/>
              <w:bottom w:val="single" w:sz="4" w:space="0" w:color="auto"/>
              <w:right w:val="single" w:sz="4" w:space="0" w:color="auto"/>
            </w:tcBorders>
            <w:shd w:val="clear" w:color="000000" w:fill="BDD6EE"/>
            <w:vAlign w:val="center"/>
            <w:hideMark/>
          </w:tcPr>
          <w:p w14:paraId="49BAC19F"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Puntaje General</w:t>
            </w:r>
          </w:p>
        </w:tc>
        <w:tc>
          <w:tcPr>
            <w:tcW w:w="841" w:type="dxa"/>
            <w:tcBorders>
              <w:top w:val="nil"/>
              <w:left w:val="nil"/>
              <w:bottom w:val="single" w:sz="4" w:space="0" w:color="auto"/>
              <w:right w:val="single" w:sz="4" w:space="0" w:color="auto"/>
            </w:tcBorders>
            <w:shd w:val="clear" w:color="000000" w:fill="BDD6EE"/>
            <w:vAlign w:val="center"/>
            <w:hideMark/>
          </w:tcPr>
          <w:p w14:paraId="1CA2CE20"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 xml:space="preserve">Docencia </w:t>
            </w:r>
          </w:p>
        </w:tc>
        <w:tc>
          <w:tcPr>
            <w:tcW w:w="1126" w:type="dxa"/>
            <w:tcBorders>
              <w:top w:val="nil"/>
              <w:left w:val="nil"/>
              <w:bottom w:val="single" w:sz="4" w:space="0" w:color="auto"/>
              <w:right w:val="single" w:sz="4" w:space="0" w:color="auto"/>
            </w:tcBorders>
            <w:shd w:val="clear" w:color="000000" w:fill="BDD6EE"/>
            <w:vAlign w:val="center"/>
            <w:hideMark/>
          </w:tcPr>
          <w:p w14:paraId="2CCA618A"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Investigación</w:t>
            </w:r>
          </w:p>
        </w:tc>
        <w:tc>
          <w:tcPr>
            <w:tcW w:w="850" w:type="dxa"/>
            <w:tcBorders>
              <w:top w:val="nil"/>
              <w:left w:val="nil"/>
              <w:bottom w:val="single" w:sz="4" w:space="0" w:color="auto"/>
              <w:right w:val="single" w:sz="4" w:space="0" w:color="auto"/>
            </w:tcBorders>
            <w:shd w:val="clear" w:color="000000" w:fill="BDD6EE"/>
            <w:vAlign w:val="center"/>
            <w:hideMark/>
          </w:tcPr>
          <w:p w14:paraId="6B0CC2A6"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Citas</w:t>
            </w:r>
          </w:p>
        </w:tc>
        <w:tc>
          <w:tcPr>
            <w:tcW w:w="1295" w:type="dxa"/>
            <w:tcBorders>
              <w:top w:val="nil"/>
              <w:left w:val="nil"/>
              <w:bottom w:val="single" w:sz="4" w:space="0" w:color="auto"/>
              <w:right w:val="single" w:sz="4" w:space="0" w:color="auto"/>
            </w:tcBorders>
            <w:shd w:val="clear" w:color="000000" w:fill="BDD6EE"/>
            <w:vAlign w:val="center"/>
            <w:hideMark/>
          </w:tcPr>
          <w:p w14:paraId="63943A23"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 xml:space="preserve">Financiamiento de la industria </w:t>
            </w:r>
          </w:p>
        </w:tc>
        <w:tc>
          <w:tcPr>
            <w:tcW w:w="1173" w:type="dxa"/>
            <w:tcBorders>
              <w:top w:val="nil"/>
              <w:left w:val="nil"/>
              <w:bottom w:val="single" w:sz="4" w:space="0" w:color="auto"/>
              <w:right w:val="single" w:sz="4" w:space="0" w:color="auto"/>
            </w:tcBorders>
            <w:shd w:val="clear" w:color="000000" w:fill="BDD6EE"/>
            <w:vAlign w:val="center"/>
            <w:hideMark/>
          </w:tcPr>
          <w:p w14:paraId="488736D8"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Perspectiva internacional</w:t>
            </w:r>
          </w:p>
        </w:tc>
      </w:tr>
      <w:tr w:rsidR="0072387E" w:rsidRPr="008C72D8" w14:paraId="3930BBE8"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D6DA26F" w14:textId="720EC79B"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101–125</w:t>
            </w:r>
          </w:p>
        </w:tc>
        <w:tc>
          <w:tcPr>
            <w:tcW w:w="3357" w:type="dxa"/>
            <w:tcBorders>
              <w:top w:val="nil"/>
              <w:left w:val="nil"/>
              <w:bottom w:val="single" w:sz="4" w:space="0" w:color="auto"/>
              <w:right w:val="single" w:sz="4" w:space="0" w:color="auto"/>
            </w:tcBorders>
            <w:shd w:val="clear" w:color="auto" w:fill="auto"/>
            <w:noWrap/>
            <w:vAlign w:val="center"/>
          </w:tcPr>
          <w:p w14:paraId="31FD61A1" w14:textId="3C0C684A" w:rsidR="0072387E" w:rsidRPr="0072387E" w:rsidRDefault="0072387E" w:rsidP="0078703F">
            <w:pPr>
              <w:spacing w:line="240" w:lineRule="auto"/>
              <w:rPr>
                <w:rFonts w:eastAsia="Times New Roman" w:cstheme="minorHAnsi"/>
                <w:color w:val="000000"/>
                <w:sz w:val="18"/>
                <w:szCs w:val="18"/>
                <w:lang w:eastAsia="es-MX"/>
              </w:rPr>
            </w:pPr>
            <w:r w:rsidRPr="0072387E">
              <w:rPr>
                <w:rFonts w:ascii="Calibri" w:hAnsi="Calibri" w:cs="Calibri"/>
                <w:color w:val="000000"/>
                <w:sz w:val="18"/>
                <w:szCs w:val="18"/>
              </w:rPr>
              <w:t>Universidad Autónoma de Madrid</w:t>
            </w:r>
          </w:p>
        </w:tc>
        <w:tc>
          <w:tcPr>
            <w:tcW w:w="834" w:type="dxa"/>
            <w:tcBorders>
              <w:top w:val="nil"/>
              <w:left w:val="nil"/>
              <w:bottom w:val="single" w:sz="4" w:space="0" w:color="auto"/>
              <w:right w:val="single" w:sz="4" w:space="0" w:color="auto"/>
            </w:tcBorders>
            <w:shd w:val="clear" w:color="auto" w:fill="auto"/>
            <w:vAlign w:val="center"/>
          </w:tcPr>
          <w:p w14:paraId="60972724" w14:textId="4309B6C6"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21C57F20" w14:textId="66B5A63D"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46.2–49.5</w:t>
            </w:r>
          </w:p>
        </w:tc>
        <w:tc>
          <w:tcPr>
            <w:tcW w:w="841" w:type="dxa"/>
            <w:tcBorders>
              <w:top w:val="nil"/>
              <w:left w:val="nil"/>
              <w:bottom w:val="single" w:sz="4" w:space="0" w:color="auto"/>
              <w:right w:val="single" w:sz="4" w:space="0" w:color="auto"/>
            </w:tcBorders>
            <w:shd w:val="clear" w:color="auto" w:fill="auto"/>
            <w:noWrap/>
            <w:vAlign w:val="center"/>
          </w:tcPr>
          <w:p w14:paraId="30AAA972" w14:textId="61B769F8"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40.5</w:t>
            </w:r>
          </w:p>
        </w:tc>
        <w:tc>
          <w:tcPr>
            <w:tcW w:w="1126" w:type="dxa"/>
            <w:tcBorders>
              <w:top w:val="nil"/>
              <w:left w:val="nil"/>
              <w:bottom w:val="single" w:sz="4" w:space="0" w:color="auto"/>
              <w:right w:val="single" w:sz="4" w:space="0" w:color="auto"/>
            </w:tcBorders>
            <w:shd w:val="clear" w:color="auto" w:fill="auto"/>
            <w:noWrap/>
            <w:vAlign w:val="center"/>
          </w:tcPr>
          <w:p w14:paraId="1E334472" w14:textId="546939F1"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36.2</w:t>
            </w:r>
          </w:p>
        </w:tc>
        <w:tc>
          <w:tcPr>
            <w:tcW w:w="850" w:type="dxa"/>
            <w:tcBorders>
              <w:top w:val="nil"/>
              <w:left w:val="nil"/>
              <w:bottom w:val="single" w:sz="4" w:space="0" w:color="auto"/>
              <w:right w:val="single" w:sz="4" w:space="0" w:color="auto"/>
            </w:tcBorders>
            <w:shd w:val="clear" w:color="auto" w:fill="auto"/>
            <w:vAlign w:val="center"/>
          </w:tcPr>
          <w:p w14:paraId="2FD58E93" w14:textId="63E0AD23"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46.9</w:t>
            </w:r>
          </w:p>
        </w:tc>
        <w:tc>
          <w:tcPr>
            <w:tcW w:w="1295" w:type="dxa"/>
            <w:tcBorders>
              <w:top w:val="nil"/>
              <w:left w:val="nil"/>
              <w:bottom w:val="single" w:sz="4" w:space="0" w:color="auto"/>
              <w:right w:val="single" w:sz="4" w:space="0" w:color="auto"/>
            </w:tcBorders>
            <w:shd w:val="clear" w:color="auto" w:fill="auto"/>
            <w:noWrap/>
            <w:vAlign w:val="center"/>
          </w:tcPr>
          <w:p w14:paraId="2ECB69FB" w14:textId="3D5F08B5"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44</w:t>
            </w:r>
          </w:p>
        </w:tc>
        <w:tc>
          <w:tcPr>
            <w:tcW w:w="1173" w:type="dxa"/>
            <w:tcBorders>
              <w:top w:val="nil"/>
              <w:left w:val="nil"/>
              <w:bottom w:val="single" w:sz="4" w:space="0" w:color="auto"/>
              <w:right w:val="single" w:sz="4" w:space="0" w:color="auto"/>
            </w:tcBorders>
            <w:shd w:val="clear" w:color="auto" w:fill="auto"/>
            <w:noWrap/>
            <w:vAlign w:val="center"/>
          </w:tcPr>
          <w:p w14:paraId="4CAD8E16" w14:textId="01DDDE4D"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51.1</w:t>
            </w:r>
          </w:p>
        </w:tc>
      </w:tr>
      <w:tr w:rsidR="0072387E" w:rsidRPr="008C72D8" w14:paraId="7FAB9D5B"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1DA58BED" w14:textId="37A5DB95"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101–125</w:t>
            </w:r>
          </w:p>
        </w:tc>
        <w:tc>
          <w:tcPr>
            <w:tcW w:w="3357" w:type="dxa"/>
            <w:tcBorders>
              <w:top w:val="nil"/>
              <w:left w:val="nil"/>
              <w:bottom w:val="single" w:sz="4" w:space="0" w:color="auto"/>
              <w:right w:val="single" w:sz="4" w:space="0" w:color="auto"/>
            </w:tcBorders>
            <w:shd w:val="clear" w:color="000000" w:fill="E7E6E6"/>
            <w:noWrap/>
            <w:vAlign w:val="center"/>
          </w:tcPr>
          <w:p w14:paraId="72F5B200" w14:textId="70E5B207" w:rsidR="0072387E" w:rsidRPr="0072387E" w:rsidRDefault="0072387E" w:rsidP="0078703F">
            <w:pPr>
              <w:spacing w:line="240" w:lineRule="auto"/>
              <w:rPr>
                <w:rFonts w:eastAsia="Times New Roman" w:cstheme="minorHAnsi"/>
                <w:color w:val="000000"/>
                <w:sz w:val="18"/>
                <w:szCs w:val="18"/>
                <w:lang w:eastAsia="es-MX"/>
              </w:rPr>
            </w:pPr>
            <w:r w:rsidRPr="0072387E">
              <w:rPr>
                <w:rFonts w:ascii="Calibri" w:hAnsi="Calibri" w:cs="Calibri"/>
                <w:color w:val="000000"/>
                <w:sz w:val="18"/>
                <w:szCs w:val="18"/>
              </w:rPr>
              <w:t>Universidad de Sao Paulo</w:t>
            </w:r>
          </w:p>
        </w:tc>
        <w:tc>
          <w:tcPr>
            <w:tcW w:w="834" w:type="dxa"/>
            <w:tcBorders>
              <w:top w:val="nil"/>
              <w:left w:val="nil"/>
              <w:bottom w:val="single" w:sz="4" w:space="0" w:color="auto"/>
              <w:right w:val="single" w:sz="4" w:space="0" w:color="auto"/>
            </w:tcBorders>
            <w:shd w:val="clear" w:color="000000" w:fill="E7E6E6"/>
            <w:vAlign w:val="center"/>
          </w:tcPr>
          <w:p w14:paraId="56BA9EF6" w14:textId="36EBB1A7"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Brasil</w:t>
            </w:r>
          </w:p>
        </w:tc>
        <w:tc>
          <w:tcPr>
            <w:tcW w:w="1044" w:type="dxa"/>
            <w:tcBorders>
              <w:top w:val="nil"/>
              <w:left w:val="nil"/>
              <w:bottom w:val="single" w:sz="4" w:space="0" w:color="auto"/>
              <w:right w:val="single" w:sz="4" w:space="0" w:color="auto"/>
            </w:tcBorders>
            <w:shd w:val="clear" w:color="000000" w:fill="E7E6E6"/>
            <w:noWrap/>
            <w:vAlign w:val="center"/>
          </w:tcPr>
          <w:p w14:paraId="50713209" w14:textId="0B0B17EE"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46.2–49.5</w:t>
            </w:r>
          </w:p>
        </w:tc>
        <w:tc>
          <w:tcPr>
            <w:tcW w:w="841" w:type="dxa"/>
            <w:tcBorders>
              <w:top w:val="nil"/>
              <w:left w:val="nil"/>
              <w:bottom w:val="single" w:sz="4" w:space="0" w:color="auto"/>
              <w:right w:val="single" w:sz="4" w:space="0" w:color="auto"/>
            </w:tcBorders>
            <w:shd w:val="clear" w:color="000000" w:fill="E7E6E6"/>
            <w:noWrap/>
            <w:vAlign w:val="center"/>
          </w:tcPr>
          <w:p w14:paraId="219967FA" w14:textId="43A1CB25"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21.4</w:t>
            </w:r>
          </w:p>
        </w:tc>
        <w:tc>
          <w:tcPr>
            <w:tcW w:w="1126" w:type="dxa"/>
            <w:tcBorders>
              <w:top w:val="nil"/>
              <w:left w:val="nil"/>
              <w:bottom w:val="single" w:sz="4" w:space="0" w:color="auto"/>
              <w:right w:val="single" w:sz="4" w:space="0" w:color="auto"/>
            </w:tcBorders>
            <w:shd w:val="clear" w:color="000000" w:fill="E7E6E6"/>
            <w:noWrap/>
            <w:vAlign w:val="center"/>
          </w:tcPr>
          <w:p w14:paraId="15369A18" w14:textId="30FB216F"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43.7</w:t>
            </w:r>
          </w:p>
        </w:tc>
        <w:tc>
          <w:tcPr>
            <w:tcW w:w="850" w:type="dxa"/>
            <w:tcBorders>
              <w:top w:val="nil"/>
              <w:left w:val="nil"/>
              <w:bottom w:val="single" w:sz="4" w:space="0" w:color="auto"/>
              <w:right w:val="single" w:sz="4" w:space="0" w:color="auto"/>
            </w:tcBorders>
            <w:shd w:val="clear" w:color="000000" w:fill="E7E6E6"/>
            <w:vAlign w:val="center"/>
          </w:tcPr>
          <w:p w14:paraId="6AC24E01" w14:textId="2D3E74BE"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67.3</w:t>
            </w:r>
          </w:p>
        </w:tc>
        <w:tc>
          <w:tcPr>
            <w:tcW w:w="1295" w:type="dxa"/>
            <w:tcBorders>
              <w:top w:val="nil"/>
              <w:left w:val="nil"/>
              <w:bottom w:val="single" w:sz="4" w:space="0" w:color="auto"/>
              <w:right w:val="single" w:sz="4" w:space="0" w:color="auto"/>
            </w:tcBorders>
            <w:shd w:val="clear" w:color="000000" w:fill="E7E6E6"/>
            <w:noWrap/>
            <w:vAlign w:val="center"/>
          </w:tcPr>
          <w:p w14:paraId="3B375A8C" w14:textId="5011798F"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62.8</w:t>
            </w:r>
          </w:p>
        </w:tc>
        <w:tc>
          <w:tcPr>
            <w:tcW w:w="1173" w:type="dxa"/>
            <w:tcBorders>
              <w:top w:val="nil"/>
              <w:left w:val="nil"/>
              <w:bottom w:val="single" w:sz="4" w:space="0" w:color="auto"/>
              <w:right w:val="single" w:sz="4" w:space="0" w:color="auto"/>
            </w:tcBorders>
            <w:shd w:val="clear" w:color="000000" w:fill="E7E6E6"/>
            <w:noWrap/>
            <w:vAlign w:val="center"/>
          </w:tcPr>
          <w:p w14:paraId="55999310" w14:textId="4971494D"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20.7</w:t>
            </w:r>
          </w:p>
        </w:tc>
      </w:tr>
      <w:tr w:rsidR="0072387E" w:rsidRPr="008C72D8" w14:paraId="7762463E"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5C0B660" w14:textId="1A15ED76"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126–150</w:t>
            </w:r>
          </w:p>
        </w:tc>
        <w:tc>
          <w:tcPr>
            <w:tcW w:w="3357" w:type="dxa"/>
            <w:tcBorders>
              <w:top w:val="nil"/>
              <w:left w:val="nil"/>
              <w:bottom w:val="single" w:sz="4" w:space="0" w:color="auto"/>
              <w:right w:val="single" w:sz="4" w:space="0" w:color="auto"/>
            </w:tcBorders>
            <w:shd w:val="clear" w:color="auto" w:fill="auto"/>
            <w:noWrap/>
            <w:vAlign w:val="center"/>
          </w:tcPr>
          <w:p w14:paraId="7D2166B3" w14:textId="56437D37" w:rsidR="0072387E" w:rsidRPr="0072387E" w:rsidRDefault="0072387E" w:rsidP="0078703F">
            <w:pPr>
              <w:spacing w:line="240" w:lineRule="auto"/>
              <w:rPr>
                <w:rFonts w:eastAsia="Times New Roman" w:cstheme="minorHAnsi"/>
                <w:color w:val="000000"/>
                <w:sz w:val="18"/>
                <w:szCs w:val="18"/>
                <w:lang w:eastAsia="es-MX"/>
              </w:rPr>
            </w:pPr>
            <w:r w:rsidRPr="0072387E">
              <w:rPr>
                <w:rFonts w:ascii="Calibri" w:hAnsi="Calibri" w:cs="Calibri"/>
                <w:color w:val="000000"/>
                <w:sz w:val="18"/>
                <w:szCs w:val="18"/>
              </w:rPr>
              <w:t>Universidad Autónoma de Barcelona</w:t>
            </w:r>
          </w:p>
        </w:tc>
        <w:tc>
          <w:tcPr>
            <w:tcW w:w="834" w:type="dxa"/>
            <w:tcBorders>
              <w:top w:val="nil"/>
              <w:left w:val="nil"/>
              <w:bottom w:val="single" w:sz="4" w:space="0" w:color="auto"/>
              <w:right w:val="single" w:sz="4" w:space="0" w:color="auto"/>
            </w:tcBorders>
            <w:shd w:val="clear" w:color="auto" w:fill="auto"/>
            <w:vAlign w:val="center"/>
          </w:tcPr>
          <w:p w14:paraId="056DDB8A" w14:textId="76278D68"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628BF002" w14:textId="6668B43B"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42.6–46.0</w:t>
            </w:r>
          </w:p>
        </w:tc>
        <w:tc>
          <w:tcPr>
            <w:tcW w:w="841" w:type="dxa"/>
            <w:tcBorders>
              <w:top w:val="nil"/>
              <w:left w:val="nil"/>
              <w:bottom w:val="single" w:sz="4" w:space="0" w:color="auto"/>
              <w:right w:val="single" w:sz="4" w:space="0" w:color="auto"/>
            </w:tcBorders>
            <w:shd w:val="clear" w:color="auto" w:fill="auto"/>
            <w:noWrap/>
            <w:vAlign w:val="center"/>
          </w:tcPr>
          <w:p w14:paraId="2D836361" w14:textId="59D73989"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51.9</w:t>
            </w:r>
          </w:p>
        </w:tc>
        <w:tc>
          <w:tcPr>
            <w:tcW w:w="1126" w:type="dxa"/>
            <w:tcBorders>
              <w:top w:val="nil"/>
              <w:left w:val="nil"/>
              <w:bottom w:val="single" w:sz="4" w:space="0" w:color="auto"/>
              <w:right w:val="single" w:sz="4" w:space="0" w:color="auto"/>
            </w:tcBorders>
            <w:shd w:val="clear" w:color="auto" w:fill="auto"/>
            <w:noWrap/>
            <w:vAlign w:val="center"/>
          </w:tcPr>
          <w:p w14:paraId="2488543C" w14:textId="30C73182"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39.2</w:t>
            </w:r>
          </w:p>
        </w:tc>
        <w:tc>
          <w:tcPr>
            <w:tcW w:w="850" w:type="dxa"/>
            <w:tcBorders>
              <w:top w:val="nil"/>
              <w:left w:val="nil"/>
              <w:bottom w:val="single" w:sz="4" w:space="0" w:color="auto"/>
              <w:right w:val="single" w:sz="4" w:space="0" w:color="auto"/>
            </w:tcBorders>
            <w:shd w:val="clear" w:color="auto" w:fill="auto"/>
            <w:vAlign w:val="center"/>
          </w:tcPr>
          <w:p w14:paraId="1D144D07" w14:textId="64C321EA"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47.7</w:t>
            </w:r>
          </w:p>
        </w:tc>
        <w:tc>
          <w:tcPr>
            <w:tcW w:w="1295" w:type="dxa"/>
            <w:tcBorders>
              <w:top w:val="nil"/>
              <w:left w:val="nil"/>
              <w:bottom w:val="single" w:sz="4" w:space="0" w:color="auto"/>
              <w:right w:val="single" w:sz="4" w:space="0" w:color="auto"/>
            </w:tcBorders>
            <w:shd w:val="clear" w:color="auto" w:fill="auto"/>
            <w:noWrap/>
            <w:vAlign w:val="center"/>
          </w:tcPr>
          <w:p w14:paraId="2EDBC71B" w14:textId="2CF8F81C"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44.8</w:t>
            </w:r>
          </w:p>
        </w:tc>
        <w:tc>
          <w:tcPr>
            <w:tcW w:w="1173" w:type="dxa"/>
            <w:tcBorders>
              <w:top w:val="nil"/>
              <w:left w:val="nil"/>
              <w:bottom w:val="single" w:sz="4" w:space="0" w:color="auto"/>
              <w:right w:val="single" w:sz="4" w:space="0" w:color="auto"/>
            </w:tcBorders>
            <w:shd w:val="clear" w:color="auto" w:fill="auto"/>
            <w:noWrap/>
            <w:vAlign w:val="center"/>
          </w:tcPr>
          <w:p w14:paraId="40722E2D" w14:textId="66530570"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39.3</w:t>
            </w:r>
          </w:p>
        </w:tc>
      </w:tr>
      <w:tr w:rsidR="0072387E" w:rsidRPr="008C72D8" w14:paraId="28B66214"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102DA6D2" w14:textId="1A048D87"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126–150</w:t>
            </w:r>
          </w:p>
        </w:tc>
        <w:tc>
          <w:tcPr>
            <w:tcW w:w="3357" w:type="dxa"/>
            <w:tcBorders>
              <w:top w:val="nil"/>
              <w:left w:val="nil"/>
              <w:bottom w:val="single" w:sz="4" w:space="0" w:color="auto"/>
              <w:right w:val="single" w:sz="4" w:space="0" w:color="auto"/>
            </w:tcBorders>
            <w:shd w:val="clear" w:color="000000" w:fill="E7E6E6"/>
            <w:noWrap/>
            <w:vAlign w:val="center"/>
          </w:tcPr>
          <w:p w14:paraId="42658827" w14:textId="3BB646D7" w:rsidR="0072387E" w:rsidRPr="0072387E" w:rsidRDefault="0072387E" w:rsidP="0078703F">
            <w:pPr>
              <w:spacing w:line="240" w:lineRule="auto"/>
              <w:rPr>
                <w:rFonts w:eastAsia="Times New Roman" w:cstheme="minorHAnsi"/>
                <w:color w:val="000000"/>
                <w:sz w:val="18"/>
                <w:szCs w:val="18"/>
                <w:lang w:eastAsia="es-MX"/>
              </w:rPr>
            </w:pPr>
            <w:r w:rsidRPr="0072387E">
              <w:rPr>
                <w:rFonts w:ascii="Calibri" w:hAnsi="Calibri" w:cs="Calibri"/>
                <w:color w:val="000000"/>
                <w:sz w:val="18"/>
                <w:szCs w:val="18"/>
              </w:rPr>
              <w:t>Universidad de Campinas</w:t>
            </w:r>
          </w:p>
        </w:tc>
        <w:tc>
          <w:tcPr>
            <w:tcW w:w="834" w:type="dxa"/>
            <w:tcBorders>
              <w:top w:val="nil"/>
              <w:left w:val="nil"/>
              <w:bottom w:val="single" w:sz="4" w:space="0" w:color="auto"/>
              <w:right w:val="single" w:sz="4" w:space="0" w:color="auto"/>
            </w:tcBorders>
            <w:shd w:val="clear" w:color="000000" w:fill="E7E6E6"/>
            <w:vAlign w:val="center"/>
          </w:tcPr>
          <w:p w14:paraId="4C250D0B" w14:textId="5AC874EE"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Brasil</w:t>
            </w:r>
          </w:p>
        </w:tc>
        <w:tc>
          <w:tcPr>
            <w:tcW w:w="1044" w:type="dxa"/>
            <w:tcBorders>
              <w:top w:val="nil"/>
              <w:left w:val="nil"/>
              <w:bottom w:val="single" w:sz="4" w:space="0" w:color="auto"/>
              <w:right w:val="single" w:sz="4" w:space="0" w:color="auto"/>
            </w:tcBorders>
            <w:shd w:val="clear" w:color="000000" w:fill="E7E6E6"/>
            <w:noWrap/>
            <w:vAlign w:val="center"/>
          </w:tcPr>
          <w:p w14:paraId="447246C6" w14:textId="573AAB99"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42.6–46.0</w:t>
            </w:r>
          </w:p>
        </w:tc>
        <w:tc>
          <w:tcPr>
            <w:tcW w:w="841" w:type="dxa"/>
            <w:tcBorders>
              <w:top w:val="nil"/>
              <w:left w:val="nil"/>
              <w:bottom w:val="single" w:sz="4" w:space="0" w:color="auto"/>
              <w:right w:val="single" w:sz="4" w:space="0" w:color="auto"/>
            </w:tcBorders>
            <w:shd w:val="clear" w:color="000000" w:fill="E7E6E6"/>
            <w:noWrap/>
            <w:vAlign w:val="center"/>
          </w:tcPr>
          <w:p w14:paraId="6F11E35B" w14:textId="00D5DDF5"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23.4</w:t>
            </w:r>
          </w:p>
        </w:tc>
        <w:tc>
          <w:tcPr>
            <w:tcW w:w="1126" w:type="dxa"/>
            <w:tcBorders>
              <w:top w:val="nil"/>
              <w:left w:val="nil"/>
              <w:bottom w:val="single" w:sz="4" w:space="0" w:color="auto"/>
              <w:right w:val="single" w:sz="4" w:space="0" w:color="auto"/>
            </w:tcBorders>
            <w:shd w:val="clear" w:color="000000" w:fill="E7E6E6"/>
            <w:noWrap/>
            <w:vAlign w:val="center"/>
          </w:tcPr>
          <w:p w14:paraId="1C4C1A90" w14:textId="27B0BD86"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35.6</w:t>
            </w:r>
          </w:p>
        </w:tc>
        <w:tc>
          <w:tcPr>
            <w:tcW w:w="850" w:type="dxa"/>
            <w:tcBorders>
              <w:top w:val="nil"/>
              <w:left w:val="nil"/>
              <w:bottom w:val="single" w:sz="4" w:space="0" w:color="auto"/>
              <w:right w:val="single" w:sz="4" w:space="0" w:color="auto"/>
            </w:tcBorders>
            <w:shd w:val="clear" w:color="000000" w:fill="E7E6E6"/>
            <w:vAlign w:val="center"/>
          </w:tcPr>
          <w:p w14:paraId="2EA3CD92" w14:textId="42637607"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60.6</w:t>
            </w:r>
          </w:p>
        </w:tc>
        <w:tc>
          <w:tcPr>
            <w:tcW w:w="1295" w:type="dxa"/>
            <w:tcBorders>
              <w:top w:val="nil"/>
              <w:left w:val="nil"/>
              <w:bottom w:val="single" w:sz="4" w:space="0" w:color="auto"/>
              <w:right w:val="single" w:sz="4" w:space="0" w:color="auto"/>
            </w:tcBorders>
            <w:shd w:val="clear" w:color="000000" w:fill="E7E6E6"/>
            <w:noWrap/>
            <w:vAlign w:val="center"/>
          </w:tcPr>
          <w:p w14:paraId="5D1229E9" w14:textId="7CB3C04C"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49.8</w:t>
            </w:r>
          </w:p>
        </w:tc>
        <w:tc>
          <w:tcPr>
            <w:tcW w:w="1173" w:type="dxa"/>
            <w:tcBorders>
              <w:top w:val="nil"/>
              <w:left w:val="nil"/>
              <w:bottom w:val="single" w:sz="4" w:space="0" w:color="auto"/>
              <w:right w:val="single" w:sz="4" w:space="0" w:color="auto"/>
            </w:tcBorders>
            <w:shd w:val="clear" w:color="000000" w:fill="E7E6E6"/>
            <w:noWrap/>
            <w:vAlign w:val="center"/>
          </w:tcPr>
          <w:p w14:paraId="1CDEC19D" w14:textId="16E50C5D"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19.1</w:t>
            </w:r>
          </w:p>
        </w:tc>
      </w:tr>
      <w:tr w:rsidR="0072387E" w:rsidRPr="008C72D8" w14:paraId="30E2DEA7"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7DD5C06" w14:textId="6C17FCDC"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151–175</w:t>
            </w:r>
          </w:p>
        </w:tc>
        <w:tc>
          <w:tcPr>
            <w:tcW w:w="3357" w:type="dxa"/>
            <w:tcBorders>
              <w:top w:val="nil"/>
              <w:left w:val="nil"/>
              <w:bottom w:val="single" w:sz="4" w:space="0" w:color="auto"/>
              <w:right w:val="single" w:sz="4" w:space="0" w:color="auto"/>
            </w:tcBorders>
            <w:shd w:val="clear" w:color="auto" w:fill="auto"/>
            <w:noWrap/>
            <w:vAlign w:val="center"/>
          </w:tcPr>
          <w:p w14:paraId="02204C51" w14:textId="6F4C8326" w:rsidR="0072387E" w:rsidRPr="0072387E" w:rsidRDefault="0072387E" w:rsidP="0078703F">
            <w:pPr>
              <w:spacing w:line="240" w:lineRule="auto"/>
              <w:rPr>
                <w:rFonts w:eastAsia="Times New Roman" w:cstheme="minorHAnsi"/>
                <w:color w:val="000000"/>
                <w:sz w:val="18"/>
                <w:szCs w:val="18"/>
                <w:lang w:eastAsia="es-MX"/>
              </w:rPr>
            </w:pPr>
            <w:r w:rsidRPr="0072387E">
              <w:rPr>
                <w:rFonts w:ascii="Calibri" w:hAnsi="Calibri" w:cs="Calibri"/>
                <w:color w:val="000000"/>
                <w:sz w:val="18"/>
                <w:szCs w:val="18"/>
              </w:rPr>
              <w:t>Universidad de Deusto</w:t>
            </w:r>
          </w:p>
        </w:tc>
        <w:tc>
          <w:tcPr>
            <w:tcW w:w="834" w:type="dxa"/>
            <w:tcBorders>
              <w:top w:val="nil"/>
              <w:left w:val="nil"/>
              <w:bottom w:val="single" w:sz="4" w:space="0" w:color="auto"/>
              <w:right w:val="single" w:sz="4" w:space="0" w:color="auto"/>
            </w:tcBorders>
            <w:shd w:val="clear" w:color="auto" w:fill="auto"/>
            <w:vAlign w:val="center"/>
          </w:tcPr>
          <w:p w14:paraId="2C1C75E6" w14:textId="65503320"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5AE3D46B" w14:textId="50C6493C"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39.8–42.4</w:t>
            </w:r>
          </w:p>
        </w:tc>
        <w:tc>
          <w:tcPr>
            <w:tcW w:w="841" w:type="dxa"/>
            <w:tcBorders>
              <w:top w:val="nil"/>
              <w:left w:val="nil"/>
              <w:bottom w:val="single" w:sz="4" w:space="0" w:color="auto"/>
              <w:right w:val="single" w:sz="4" w:space="0" w:color="auto"/>
            </w:tcBorders>
            <w:shd w:val="clear" w:color="auto" w:fill="auto"/>
            <w:noWrap/>
            <w:vAlign w:val="center"/>
          </w:tcPr>
          <w:p w14:paraId="7158F1DF" w14:textId="61F4713D"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40.8</w:t>
            </w:r>
          </w:p>
        </w:tc>
        <w:tc>
          <w:tcPr>
            <w:tcW w:w="1126" w:type="dxa"/>
            <w:tcBorders>
              <w:top w:val="nil"/>
              <w:left w:val="nil"/>
              <w:bottom w:val="single" w:sz="4" w:space="0" w:color="auto"/>
              <w:right w:val="single" w:sz="4" w:space="0" w:color="auto"/>
            </w:tcBorders>
            <w:shd w:val="clear" w:color="auto" w:fill="auto"/>
            <w:noWrap/>
            <w:vAlign w:val="center"/>
          </w:tcPr>
          <w:p w14:paraId="7C43F284" w14:textId="79A92752"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37.6</w:t>
            </w:r>
          </w:p>
        </w:tc>
        <w:tc>
          <w:tcPr>
            <w:tcW w:w="850" w:type="dxa"/>
            <w:tcBorders>
              <w:top w:val="nil"/>
              <w:left w:val="nil"/>
              <w:bottom w:val="single" w:sz="4" w:space="0" w:color="auto"/>
              <w:right w:val="single" w:sz="4" w:space="0" w:color="auto"/>
            </w:tcBorders>
            <w:shd w:val="clear" w:color="auto" w:fill="auto"/>
            <w:vAlign w:val="center"/>
          </w:tcPr>
          <w:p w14:paraId="55BBB18E" w14:textId="69565FC9"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20.3</w:t>
            </w:r>
          </w:p>
        </w:tc>
        <w:tc>
          <w:tcPr>
            <w:tcW w:w="1295" w:type="dxa"/>
            <w:tcBorders>
              <w:top w:val="nil"/>
              <w:left w:val="nil"/>
              <w:bottom w:val="single" w:sz="4" w:space="0" w:color="auto"/>
              <w:right w:val="single" w:sz="4" w:space="0" w:color="auto"/>
            </w:tcBorders>
            <w:shd w:val="clear" w:color="auto" w:fill="auto"/>
            <w:noWrap/>
            <w:vAlign w:val="center"/>
          </w:tcPr>
          <w:p w14:paraId="1C977B51" w14:textId="31A58A8C"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9.5</w:t>
            </w:r>
          </w:p>
        </w:tc>
        <w:tc>
          <w:tcPr>
            <w:tcW w:w="1173" w:type="dxa"/>
            <w:tcBorders>
              <w:top w:val="nil"/>
              <w:left w:val="nil"/>
              <w:bottom w:val="single" w:sz="4" w:space="0" w:color="auto"/>
              <w:right w:val="single" w:sz="4" w:space="0" w:color="auto"/>
            </w:tcBorders>
            <w:shd w:val="clear" w:color="auto" w:fill="auto"/>
            <w:noWrap/>
            <w:vAlign w:val="center"/>
          </w:tcPr>
          <w:p w14:paraId="7A628706" w14:textId="36C0DF3F"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98.9</w:t>
            </w:r>
          </w:p>
        </w:tc>
      </w:tr>
      <w:tr w:rsidR="0072387E" w:rsidRPr="008C72D8" w14:paraId="1762EA37"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0A846EAF" w14:textId="20414B2E"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151–175</w:t>
            </w:r>
          </w:p>
        </w:tc>
        <w:tc>
          <w:tcPr>
            <w:tcW w:w="3357" w:type="dxa"/>
            <w:tcBorders>
              <w:top w:val="nil"/>
              <w:left w:val="nil"/>
              <w:bottom w:val="single" w:sz="4" w:space="0" w:color="auto"/>
              <w:right w:val="single" w:sz="4" w:space="0" w:color="auto"/>
            </w:tcBorders>
            <w:shd w:val="clear" w:color="000000" w:fill="E7E6E6"/>
            <w:noWrap/>
            <w:vAlign w:val="center"/>
          </w:tcPr>
          <w:p w14:paraId="1596E407" w14:textId="03EDEEA5" w:rsidR="0072387E" w:rsidRPr="0072387E" w:rsidRDefault="0072387E" w:rsidP="0078703F">
            <w:pPr>
              <w:spacing w:line="240" w:lineRule="auto"/>
              <w:rPr>
                <w:rFonts w:eastAsia="Times New Roman" w:cstheme="minorHAnsi"/>
                <w:color w:val="000000"/>
                <w:sz w:val="18"/>
                <w:szCs w:val="18"/>
                <w:lang w:eastAsia="es-MX"/>
              </w:rPr>
            </w:pPr>
            <w:r w:rsidRPr="0072387E">
              <w:rPr>
                <w:rFonts w:ascii="Calibri" w:hAnsi="Calibri" w:cs="Calibri"/>
                <w:color w:val="000000"/>
                <w:sz w:val="18"/>
                <w:szCs w:val="18"/>
              </w:rPr>
              <w:t>Universidad de Lisboa</w:t>
            </w:r>
          </w:p>
        </w:tc>
        <w:tc>
          <w:tcPr>
            <w:tcW w:w="834" w:type="dxa"/>
            <w:tcBorders>
              <w:top w:val="nil"/>
              <w:left w:val="nil"/>
              <w:bottom w:val="single" w:sz="4" w:space="0" w:color="auto"/>
              <w:right w:val="single" w:sz="4" w:space="0" w:color="auto"/>
            </w:tcBorders>
            <w:shd w:val="clear" w:color="000000" w:fill="E7E6E6"/>
            <w:vAlign w:val="center"/>
          </w:tcPr>
          <w:p w14:paraId="58B699B6" w14:textId="59E8D5A1"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Portugal</w:t>
            </w:r>
          </w:p>
        </w:tc>
        <w:tc>
          <w:tcPr>
            <w:tcW w:w="1044" w:type="dxa"/>
            <w:tcBorders>
              <w:top w:val="nil"/>
              <w:left w:val="nil"/>
              <w:bottom w:val="single" w:sz="4" w:space="0" w:color="auto"/>
              <w:right w:val="single" w:sz="4" w:space="0" w:color="auto"/>
            </w:tcBorders>
            <w:shd w:val="clear" w:color="000000" w:fill="E7E6E6"/>
            <w:noWrap/>
            <w:vAlign w:val="center"/>
          </w:tcPr>
          <w:p w14:paraId="7033CBA8" w14:textId="54586957"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39.8–42.4</w:t>
            </w:r>
          </w:p>
        </w:tc>
        <w:tc>
          <w:tcPr>
            <w:tcW w:w="841" w:type="dxa"/>
            <w:tcBorders>
              <w:top w:val="nil"/>
              <w:left w:val="nil"/>
              <w:bottom w:val="single" w:sz="4" w:space="0" w:color="auto"/>
              <w:right w:val="single" w:sz="4" w:space="0" w:color="auto"/>
            </w:tcBorders>
            <w:shd w:val="clear" w:color="000000" w:fill="E7E6E6"/>
            <w:noWrap/>
            <w:vAlign w:val="center"/>
          </w:tcPr>
          <w:p w14:paraId="0E18E57E" w14:textId="5ECDFF01"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57.7</w:t>
            </w:r>
          </w:p>
        </w:tc>
        <w:tc>
          <w:tcPr>
            <w:tcW w:w="1126" w:type="dxa"/>
            <w:tcBorders>
              <w:top w:val="nil"/>
              <w:left w:val="nil"/>
              <w:bottom w:val="single" w:sz="4" w:space="0" w:color="auto"/>
              <w:right w:val="single" w:sz="4" w:space="0" w:color="auto"/>
            </w:tcBorders>
            <w:shd w:val="clear" w:color="000000" w:fill="E7E6E6"/>
            <w:noWrap/>
            <w:vAlign w:val="center"/>
          </w:tcPr>
          <w:p w14:paraId="6C28D72E" w14:textId="1FBC9F62"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41.6</w:t>
            </w:r>
          </w:p>
        </w:tc>
        <w:tc>
          <w:tcPr>
            <w:tcW w:w="850" w:type="dxa"/>
            <w:tcBorders>
              <w:top w:val="nil"/>
              <w:left w:val="nil"/>
              <w:bottom w:val="single" w:sz="4" w:space="0" w:color="auto"/>
              <w:right w:val="single" w:sz="4" w:space="0" w:color="auto"/>
            </w:tcBorders>
            <w:shd w:val="clear" w:color="000000" w:fill="E7E6E6"/>
            <w:vAlign w:val="center"/>
          </w:tcPr>
          <w:p w14:paraId="75D3F9B1" w14:textId="223B3A29"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44.6</w:t>
            </w:r>
          </w:p>
        </w:tc>
        <w:tc>
          <w:tcPr>
            <w:tcW w:w="1295" w:type="dxa"/>
            <w:tcBorders>
              <w:top w:val="nil"/>
              <w:left w:val="nil"/>
              <w:bottom w:val="single" w:sz="4" w:space="0" w:color="auto"/>
              <w:right w:val="single" w:sz="4" w:space="0" w:color="auto"/>
            </w:tcBorders>
            <w:shd w:val="clear" w:color="000000" w:fill="E7E6E6"/>
            <w:noWrap/>
            <w:vAlign w:val="center"/>
          </w:tcPr>
          <w:p w14:paraId="601EF069" w14:textId="5532FC47"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40.7</w:t>
            </w:r>
          </w:p>
        </w:tc>
        <w:tc>
          <w:tcPr>
            <w:tcW w:w="1173" w:type="dxa"/>
            <w:tcBorders>
              <w:top w:val="nil"/>
              <w:left w:val="nil"/>
              <w:bottom w:val="single" w:sz="4" w:space="0" w:color="auto"/>
              <w:right w:val="single" w:sz="4" w:space="0" w:color="auto"/>
            </w:tcBorders>
            <w:shd w:val="clear" w:color="000000" w:fill="E7E6E6"/>
            <w:noWrap/>
            <w:vAlign w:val="center"/>
          </w:tcPr>
          <w:p w14:paraId="1DF9E8C1" w14:textId="20051147"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29.1</w:t>
            </w:r>
          </w:p>
        </w:tc>
      </w:tr>
      <w:tr w:rsidR="0072387E" w:rsidRPr="008C72D8" w14:paraId="35824DCD"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8BFF900" w14:textId="7D749054"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151–175</w:t>
            </w:r>
          </w:p>
        </w:tc>
        <w:tc>
          <w:tcPr>
            <w:tcW w:w="3357" w:type="dxa"/>
            <w:tcBorders>
              <w:top w:val="nil"/>
              <w:left w:val="nil"/>
              <w:bottom w:val="single" w:sz="4" w:space="0" w:color="auto"/>
              <w:right w:val="single" w:sz="4" w:space="0" w:color="auto"/>
            </w:tcBorders>
            <w:shd w:val="clear" w:color="auto" w:fill="auto"/>
            <w:noWrap/>
            <w:vAlign w:val="center"/>
          </w:tcPr>
          <w:p w14:paraId="07C0579C" w14:textId="7BD1E7EA" w:rsidR="0072387E" w:rsidRPr="0072387E" w:rsidRDefault="0072387E" w:rsidP="0078703F">
            <w:pPr>
              <w:spacing w:line="240" w:lineRule="auto"/>
              <w:rPr>
                <w:rFonts w:eastAsia="Times New Roman" w:cstheme="minorHAnsi"/>
                <w:color w:val="000000"/>
                <w:sz w:val="18"/>
                <w:szCs w:val="18"/>
                <w:lang w:eastAsia="es-MX"/>
              </w:rPr>
            </w:pPr>
            <w:r w:rsidRPr="0072387E">
              <w:rPr>
                <w:rFonts w:ascii="Calibri" w:hAnsi="Calibri" w:cs="Calibri"/>
                <w:color w:val="000000"/>
                <w:sz w:val="18"/>
                <w:szCs w:val="18"/>
              </w:rPr>
              <w:t>Universidad de Salamanca</w:t>
            </w:r>
          </w:p>
        </w:tc>
        <w:tc>
          <w:tcPr>
            <w:tcW w:w="834" w:type="dxa"/>
            <w:tcBorders>
              <w:top w:val="nil"/>
              <w:left w:val="nil"/>
              <w:bottom w:val="single" w:sz="4" w:space="0" w:color="auto"/>
              <w:right w:val="single" w:sz="4" w:space="0" w:color="auto"/>
            </w:tcBorders>
            <w:shd w:val="clear" w:color="auto" w:fill="auto"/>
            <w:vAlign w:val="center"/>
          </w:tcPr>
          <w:p w14:paraId="78EDB0A5" w14:textId="3EBAF086"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519E93E4" w14:textId="24AA098A"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39.8–42.4</w:t>
            </w:r>
          </w:p>
        </w:tc>
        <w:tc>
          <w:tcPr>
            <w:tcW w:w="841" w:type="dxa"/>
            <w:tcBorders>
              <w:top w:val="nil"/>
              <w:left w:val="nil"/>
              <w:bottom w:val="single" w:sz="4" w:space="0" w:color="auto"/>
              <w:right w:val="single" w:sz="4" w:space="0" w:color="auto"/>
            </w:tcBorders>
            <w:shd w:val="clear" w:color="auto" w:fill="auto"/>
            <w:noWrap/>
            <w:vAlign w:val="center"/>
          </w:tcPr>
          <w:p w14:paraId="4B9C65AC" w14:textId="2A3CCA33"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47</w:t>
            </w:r>
          </w:p>
        </w:tc>
        <w:tc>
          <w:tcPr>
            <w:tcW w:w="1126" w:type="dxa"/>
            <w:tcBorders>
              <w:top w:val="nil"/>
              <w:left w:val="nil"/>
              <w:bottom w:val="single" w:sz="4" w:space="0" w:color="auto"/>
              <w:right w:val="single" w:sz="4" w:space="0" w:color="auto"/>
            </w:tcBorders>
            <w:shd w:val="clear" w:color="auto" w:fill="auto"/>
            <w:noWrap/>
            <w:vAlign w:val="center"/>
          </w:tcPr>
          <w:p w14:paraId="49F55B24" w14:textId="7925E2E9"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36.7</w:t>
            </w:r>
          </w:p>
        </w:tc>
        <w:tc>
          <w:tcPr>
            <w:tcW w:w="850" w:type="dxa"/>
            <w:tcBorders>
              <w:top w:val="nil"/>
              <w:left w:val="nil"/>
              <w:bottom w:val="single" w:sz="4" w:space="0" w:color="auto"/>
              <w:right w:val="single" w:sz="4" w:space="0" w:color="auto"/>
            </w:tcBorders>
            <w:shd w:val="clear" w:color="auto" w:fill="auto"/>
            <w:vAlign w:val="center"/>
          </w:tcPr>
          <w:p w14:paraId="64B63DE1" w14:textId="3D7F036C"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28.8</w:t>
            </w:r>
          </w:p>
        </w:tc>
        <w:tc>
          <w:tcPr>
            <w:tcW w:w="1295" w:type="dxa"/>
            <w:tcBorders>
              <w:top w:val="nil"/>
              <w:left w:val="nil"/>
              <w:bottom w:val="single" w:sz="4" w:space="0" w:color="auto"/>
              <w:right w:val="single" w:sz="4" w:space="0" w:color="auto"/>
            </w:tcBorders>
            <w:shd w:val="clear" w:color="auto" w:fill="auto"/>
            <w:noWrap/>
            <w:vAlign w:val="center"/>
          </w:tcPr>
          <w:p w14:paraId="3E70DDB8" w14:textId="4CB32CF6"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22.7</w:t>
            </w:r>
          </w:p>
        </w:tc>
        <w:tc>
          <w:tcPr>
            <w:tcW w:w="1173" w:type="dxa"/>
            <w:tcBorders>
              <w:top w:val="nil"/>
              <w:left w:val="nil"/>
              <w:bottom w:val="single" w:sz="4" w:space="0" w:color="auto"/>
              <w:right w:val="single" w:sz="4" w:space="0" w:color="auto"/>
            </w:tcBorders>
            <w:shd w:val="clear" w:color="auto" w:fill="auto"/>
            <w:noWrap/>
            <w:vAlign w:val="center"/>
          </w:tcPr>
          <w:p w14:paraId="0AF6B4CA" w14:textId="10D0B455"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72.5</w:t>
            </w:r>
          </w:p>
        </w:tc>
      </w:tr>
      <w:tr w:rsidR="0072387E" w:rsidRPr="008C72D8" w14:paraId="3D5BD8A6"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62EF6F96" w14:textId="31A2E7FD"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151–175</w:t>
            </w:r>
          </w:p>
        </w:tc>
        <w:tc>
          <w:tcPr>
            <w:tcW w:w="3357" w:type="dxa"/>
            <w:tcBorders>
              <w:top w:val="nil"/>
              <w:left w:val="nil"/>
              <w:bottom w:val="single" w:sz="4" w:space="0" w:color="auto"/>
              <w:right w:val="single" w:sz="4" w:space="0" w:color="auto"/>
            </w:tcBorders>
            <w:shd w:val="clear" w:color="000000" w:fill="E7E6E6"/>
            <w:noWrap/>
            <w:vAlign w:val="center"/>
          </w:tcPr>
          <w:p w14:paraId="1698BD96" w14:textId="51AA96D9" w:rsidR="0072387E" w:rsidRPr="0072387E" w:rsidRDefault="0072387E" w:rsidP="0078703F">
            <w:pPr>
              <w:spacing w:line="240" w:lineRule="auto"/>
              <w:rPr>
                <w:rFonts w:eastAsia="Times New Roman" w:cstheme="minorHAnsi"/>
                <w:color w:val="000000"/>
                <w:sz w:val="18"/>
                <w:szCs w:val="18"/>
                <w:lang w:eastAsia="es-MX"/>
              </w:rPr>
            </w:pPr>
            <w:r w:rsidRPr="0072387E">
              <w:rPr>
                <w:rFonts w:ascii="Calibri" w:hAnsi="Calibri" w:cs="Calibri"/>
                <w:color w:val="000000"/>
                <w:sz w:val="18"/>
                <w:szCs w:val="18"/>
              </w:rPr>
              <w:t>Universidad Nacional Autónoma de México</w:t>
            </w:r>
          </w:p>
        </w:tc>
        <w:tc>
          <w:tcPr>
            <w:tcW w:w="834" w:type="dxa"/>
            <w:tcBorders>
              <w:top w:val="nil"/>
              <w:left w:val="nil"/>
              <w:bottom w:val="single" w:sz="4" w:space="0" w:color="auto"/>
              <w:right w:val="single" w:sz="4" w:space="0" w:color="auto"/>
            </w:tcBorders>
            <w:shd w:val="clear" w:color="000000" w:fill="E7E6E6"/>
            <w:vAlign w:val="center"/>
          </w:tcPr>
          <w:p w14:paraId="7CADF323" w14:textId="1869D6AE"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México</w:t>
            </w:r>
          </w:p>
        </w:tc>
        <w:tc>
          <w:tcPr>
            <w:tcW w:w="1044" w:type="dxa"/>
            <w:tcBorders>
              <w:top w:val="nil"/>
              <w:left w:val="nil"/>
              <w:bottom w:val="single" w:sz="4" w:space="0" w:color="auto"/>
              <w:right w:val="single" w:sz="4" w:space="0" w:color="auto"/>
            </w:tcBorders>
            <w:shd w:val="clear" w:color="000000" w:fill="E7E6E6"/>
            <w:noWrap/>
            <w:vAlign w:val="center"/>
          </w:tcPr>
          <w:p w14:paraId="38558924" w14:textId="2F5D8E81"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39.8–42.4</w:t>
            </w:r>
          </w:p>
        </w:tc>
        <w:tc>
          <w:tcPr>
            <w:tcW w:w="841" w:type="dxa"/>
            <w:tcBorders>
              <w:top w:val="nil"/>
              <w:left w:val="nil"/>
              <w:bottom w:val="single" w:sz="4" w:space="0" w:color="auto"/>
              <w:right w:val="single" w:sz="4" w:space="0" w:color="auto"/>
            </w:tcBorders>
            <w:shd w:val="clear" w:color="000000" w:fill="E7E6E6"/>
            <w:noWrap/>
            <w:vAlign w:val="center"/>
          </w:tcPr>
          <w:p w14:paraId="447AF4A2" w14:textId="3330B4AB"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49.2</w:t>
            </w:r>
          </w:p>
        </w:tc>
        <w:tc>
          <w:tcPr>
            <w:tcW w:w="1126" w:type="dxa"/>
            <w:tcBorders>
              <w:top w:val="nil"/>
              <w:left w:val="nil"/>
              <w:bottom w:val="single" w:sz="4" w:space="0" w:color="auto"/>
              <w:right w:val="single" w:sz="4" w:space="0" w:color="auto"/>
            </w:tcBorders>
            <w:shd w:val="clear" w:color="000000" w:fill="E7E6E6"/>
            <w:noWrap/>
            <w:vAlign w:val="center"/>
          </w:tcPr>
          <w:p w14:paraId="3C07BA6D" w14:textId="6E8FDABC"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86.9</w:t>
            </w:r>
          </w:p>
        </w:tc>
        <w:tc>
          <w:tcPr>
            <w:tcW w:w="850" w:type="dxa"/>
            <w:tcBorders>
              <w:top w:val="nil"/>
              <w:left w:val="nil"/>
              <w:bottom w:val="single" w:sz="4" w:space="0" w:color="auto"/>
              <w:right w:val="single" w:sz="4" w:space="0" w:color="auto"/>
            </w:tcBorders>
            <w:shd w:val="clear" w:color="000000" w:fill="E7E6E6"/>
            <w:vAlign w:val="center"/>
          </w:tcPr>
          <w:p w14:paraId="0F87BDB2" w14:textId="1FC75D9A"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44.2</w:t>
            </w:r>
          </w:p>
        </w:tc>
        <w:tc>
          <w:tcPr>
            <w:tcW w:w="1295" w:type="dxa"/>
            <w:tcBorders>
              <w:top w:val="nil"/>
              <w:left w:val="nil"/>
              <w:bottom w:val="single" w:sz="4" w:space="0" w:color="auto"/>
              <w:right w:val="single" w:sz="4" w:space="0" w:color="auto"/>
            </w:tcBorders>
            <w:shd w:val="clear" w:color="000000" w:fill="E7E6E6"/>
            <w:noWrap/>
            <w:vAlign w:val="center"/>
          </w:tcPr>
          <w:p w14:paraId="6584FDD3" w14:textId="3E5EA7CD"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58</w:t>
            </w:r>
          </w:p>
        </w:tc>
        <w:tc>
          <w:tcPr>
            <w:tcW w:w="1173" w:type="dxa"/>
            <w:tcBorders>
              <w:top w:val="nil"/>
              <w:left w:val="nil"/>
              <w:bottom w:val="single" w:sz="4" w:space="0" w:color="auto"/>
              <w:right w:val="single" w:sz="4" w:space="0" w:color="auto"/>
            </w:tcBorders>
            <w:shd w:val="clear" w:color="000000" w:fill="E7E6E6"/>
            <w:noWrap/>
            <w:vAlign w:val="center"/>
          </w:tcPr>
          <w:p w14:paraId="3A0A6F47" w14:textId="5058288E"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17.4</w:t>
            </w:r>
          </w:p>
        </w:tc>
      </w:tr>
      <w:tr w:rsidR="0072387E" w:rsidRPr="008C72D8" w14:paraId="3EFBD6F0"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7933AB0" w14:textId="6118BB8E"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176–200</w:t>
            </w:r>
          </w:p>
        </w:tc>
        <w:tc>
          <w:tcPr>
            <w:tcW w:w="3357" w:type="dxa"/>
            <w:tcBorders>
              <w:top w:val="nil"/>
              <w:left w:val="nil"/>
              <w:bottom w:val="single" w:sz="4" w:space="0" w:color="auto"/>
              <w:right w:val="single" w:sz="4" w:space="0" w:color="auto"/>
            </w:tcBorders>
            <w:shd w:val="clear" w:color="auto" w:fill="auto"/>
            <w:noWrap/>
            <w:vAlign w:val="center"/>
          </w:tcPr>
          <w:p w14:paraId="363F385F" w14:textId="0CE02CFA" w:rsidR="0072387E" w:rsidRPr="0072387E" w:rsidRDefault="0072387E" w:rsidP="0078703F">
            <w:pPr>
              <w:spacing w:line="240" w:lineRule="auto"/>
              <w:rPr>
                <w:rFonts w:eastAsia="Times New Roman" w:cstheme="minorHAnsi"/>
                <w:color w:val="000000"/>
                <w:sz w:val="18"/>
                <w:szCs w:val="18"/>
                <w:lang w:eastAsia="es-MX"/>
              </w:rPr>
            </w:pPr>
            <w:r w:rsidRPr="0072387E">
              <w:rPr>
                <w:rFonts w:ascii="Calibri" w:hAnsi="Calibri" w:cs="Calibri"/>
                <w:color w:val="000000"/>
                <w:sz w:val="18"/>
                <w:szCs w:val="18"/>
              </w:rPr>
              <w:t>Instituto Tecnológico y de Estudios Superiores de Monterrey</w:t>
            </w:r>
          </w:p>
        </w:tc>
        <w:tc>
          <w:tcPr>
            <w:tcW w:w="834" w:type="dxa"/>
            <w:tcBorders>
              <w:top w:val="nil"/>
              <w:left w:val="nil"/>
              <w:bottom w:val="single" w:sz="4" w:space="0" w:color="auto"/>
              <w:right w:val="single" w:sz="4" w:space="0" w:color="auto"/>
            </w:tcBorders>
            <w:shd w:val="clear" w:color="auto" w:fill="auto"/>
            <w:vAlign w:val="center"/>
          </w:tcPr>
          <w:p w14:paraId="32626476" w14:textId="0F2A2600"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México</w:t>
            </w:r>
          </w:p>
        </w:tc>
        <w:tc>
          <w:tcPr>
            <w:tcW w:w="1044" w:type="dxa"/>
            <w:tcBorders>
              <w:top w:val="nil"/>
              <w:left w:val="nil"/>
              <w:bottom w:val="single" w:sz="4" w:space="0" w:color="auto"/>
              <w:right w:val="single" w:sz="4" w:space="0" w:color="auto"/>
            </w:tcBorders>
            <w:shd w:val="clear" w:color="auto" w:fill="auto"/>
            <w:noWrap/>
            <w:vAlign w:val="center"/>
          </w:tcPr>
          <w:p w14:paraId="03B4D571" w14:textId="5F0083CC"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38.7–39.7</w:t>
            </w:r>
          </w:p>
        </w:tc>
        <w:tc>
          <w:tcPr>
            <w:tcW w:w="841" w:type="dxa"/>
            <w:tcBorders>
              <w:top w:val="nil"/>
              <w:left w:val="nil"/>
              <w:bottom w:val="single" w:sz="4" w:space="0" w:color="auto"/>
              <w:right w:val="single" w:sz="4" w:space="0" w:color="auto"/>
            </w:tcBorders>
            <w:shd w:val="clear" w:color="auto" w:fill="auto"/>
            <w:noWrap/>
            <w:vAlign w:val="center"/>
          </w:tcPr>
          <w:p w14:paraId="4B6D09F8" w14:textId="31CD12FC"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68.5</w:t>
            </w:r>
          </w:p>
        </w:tc>
        <w:tc>
          <w:tcPr>
            <w:tcW w:w="1126" w:type="dxa"/>
            <w:tcBorders>
              <w:top w:val="nil"/>
              <w:left w:val="nil"/>
              <w:bottom w:val="single" w:sz="4" w:space="0" w:color="auto"/>
              <w:right w:val="single" w:sz="4" w:space="0" w:color="auto"/>
            </w:tcBorders>
            <w:shd w:val="clear" w:color="auto" w:fill="auto"/>
            <w:noWrap/>
            <w:vAlign w:val="center"/>
          </w:tcPr>
          <w:p w14:paraId="31245898" w14:textId="235E1A47"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58.8</w:t>
            </w:r>
          </w:p>
        </w:tc>
        <w:tc>
          <w:tcPr>
            <w:tcW w:w="850" w:type="dxa"/>
            <w:tcBorders>
              <w:top w:val="nil"/>
              <w:left w:val="nil"/>
              <w:bottom w:val="single" w:sz="4" w:space="0" w:color="auto"/>
              <w:right w:val="single" w:sz="4" w:space="0" w:color="auto"/>
            </w:tcBorders>
            <w:shd w:val="clear" w:color="auto" w:fill="auto"/>
            <w:vAlign w:val="center"/>
          </w:tcPr>
          <w:p w14:paraId="5A678F77" w14:textId="6C22C944"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27.6</w:t>
            </w:r>
          </w:p>
        </w:tc>
        <w:tc>
          <w:tcPr>
            <w:tcW w:w="1295" w:type="dxa"/>
            <w:tcBorders>
              <w:top w:val="nil"/>
              <w:left w:val="nil"/>
              <w:bottom w:val="single" w:sz="4" w:space="0" w:color="auto"/>
              <w:right w:val="single" w:sz="4" w:space="0" w:color="auto"/>
            </w:tcBorders>
            <w:shd w:val="clear" w:color="auto" w:fill="auto"/>
            <w:noWrap/>
            <w:vAlign w:val="center"/>
          </w:tcPr>
          <w:p w14:paraId="51F7B6AD" w14:textId="0D902DBE"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22.1</w:t>
            </w:r>
          </w:p>
        </w:tc>
        <w:tc>
          <w:tcPr>
            <w:tcW w:w="1173" w:type="dxa"/>
            <w:tcBorders>
              <w:top w:val="nil"/>
              <w:left w:val="nil"/>
              <w:bottom w:val="single" w:sz="4" w:space="0" w:color="auto"/>
              <w:right w:val="single" w:sz="4" w:space="0" w:color="auto"/>
            </w:tcBorders>
            <w:shd w:val="clear" w:color="auto" w:fill="auto"/>
            <w:noWrap/>
            <w:vAlign w:val="center"/>
          </w:tcPr>
          <w:p w14:paraId="2727DAA6" w14:textId="6F378532"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60</w:t>
            </w:r>
          </w:p>
        </w:tc>
      </w:tr>
      <w:tr w:rsidR="0072387E" w:rsidRPr="008C72D8" w14:paraId="2652E047"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5E719DB6" w14:textId="3FFDD1B1"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176–200</w:t>
            </w:r>
          </w:p>
        </w:tc>
        <w:tc>
          <w:tcPr>
            <w:tcW w:w="3357" w:type="dxa"/>
            <w:tcBorders>
              <w:top w:val="nil"/>
              <w:left w:val="nil"/>
              <w:bottom w:val="single" w:sz="4" w:space="0" w:color="auto"/>
              <w:right w:val="single" w:sz="4" w:space="0" w:color="auto"/>
            </w:tcBorders>
            <w:shd w:val="clear" w:color="000000" w:fill="E7E6E6"/>
            <w:noWrap/>
            <w:vAlign w:val="center"/>
          </w:tcPr>
          <w:p w14:paraId="47BC37DE" w14:textId="076236F7" w:rsidR="0072387E" w:rsidRPr="0072387E" w:rsidRDefault="0072387E" w:rsidP="0078703F">
            <w:pPr>
              <w:spacing w:line="240" w:lineRule="auto"/>
              <w:rPr>
                <w:rFonts w:eastAsia="Times New Roman" w:cstheme="minorHAnsi"/>
                <w:color w:val="000000"/>
                <w:sz w:val="18"/>
                <w:szCs w:val="18"/>
                <w:lang w:eastAsia="es-MX"/>
              </w:rPr>
            </w:pPr>
            <w:r w:rsidRPr="0072387E">
              <w:rPr>
                <w:rFonts w:ascii="Calibri" w:hAnsi="Calibri" w:cs="Calibri"/>
                <w:color w:val="000000"/>
                <w:sz w:val="18"/>
                <w:szCs w:val="18"/>
              </w:rPr>
              <w:t>Universidad de Chile</w:t>
            </w:r>
          </w:p>
        </w:tc>
        <w:tc>
          <w:tcPr>
            <w:tcW w:w="834" w:type="dxa"/>
            <w:tcBorders>
              <w:top w:val="nil"/>
              <w:left w:val="nil"/>
              <w:bottom w:val="single" w:sz="4" w:space="0" w:color="auto"/>
              <w:right w:val="single" w:sz="4" w:space="0" w:color="auto"/>
            </w:tcBorders>
            <w:shd w:val="clear" w:color="000000" w:fill="E7E6E6"/>
            <w:vAlign w:val="center"/>
          </w:tcPr>
          <w:p w14:paraId="1AB816F1" w14:textId="5DE35607"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Chile</w:t>
            </w:r>
          </w:p>
        </w:tc>
        <w:tc>
          <w:tcPr>
            <w:tcW w:w="1044" w:type="dxa"/>
            <w:tcBorders>
              <w:top w:val="nil"/>
              <w:left w:val="nil"/>
              <w:bottom w:val="single" w:sz="4" w:space="0" w:color="auto"/>
              <w:right w:val="single" w:sz="4" w:space="0" w:color="auto"/>
            </w:tcBorders>
            <w:shd w:val="clear" w:color="000000" w:fill="E7E6E6"/>
            <w:noWrap/>
            <w:vAlign w:val="center"/>
          </w:tcPr>
          <w:p w14:paraId="2354E67B" w14:textId="75684280"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38.7–39.7</w:t>
            </w:r>
          </w:p>
        </w:tc>
        <w:tc>
          <w:tcPr>
            <w:tcW w:w="841" w:type="dxa"/>
            <w:tcBorders>
              <w:top w:val="nil"/>
              <w:left w:val="nil"/>
              <w:bottom w:val="single" w:sz="4" w:space="0" w:color="auto"/>
              <w:right w:val="single" w:sz="4" w:space="0" w:color="auto"/>
            </w:tcBorders>
            <w:shd w:val="clear" w:color="000000" w:fill="E7E6E6"/>
            <w:noWrap/>
            <w:vAlign w:val="center"/>
          </w:tcPr>
          <w:p w14:paraId="0B1AC8BD" w14:textId="3BCC2149"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45.9</w:t>
            </w:r>
          </w:p>
        </w:tc>
        <w:tc>
          <w:tcPr>
            <w:tcW w:w="1126" w:type="dxa"/>
            <w:tcBorders>
              <w:top w:val="nil"/>
              <w:left w:val="nil"/>
              <w:bottom w:val="single" w:sz="4" w:space="0" w:color="auto"/>
              <w:right w:val="single" w:sz="4" w:space="0" w:color="auto"/>
            </w:tcBorders>
            <w:shd w:val="clear" w:color="000000" w:fill="E7E6E6"/>
            <w:noWrap/>
            <w:vAlign w:val="center"/>
          </w:tcPr>
          <w:p w14:paraId="1D93BC26" w14:textId="2125BFDE"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35.7</w:t>
            </w:r>
          </w:p>
        </w:tc>
        <w:tc>
          <w:tcPr>
            <w:tcW w:w="850" w:type="dxa"/>
            <w:tcBorders>
              <w:top w:val="nil"/>
              <w:left w:val="nil"/>
              <w:bottom w:val="single" w:sz="4" w:space="0" w:color="auto"/>
              <w:right w:val="single" w:sz="4" w:space="0" w:color="auto"/>
            </w:tcBorders>
            <w:shd w:val="clear" w:color="000000" w:fill="E7E6E6"/>
            <w:vAlign w:val="center"/>
          </w:tcPr>
          <w:p w14:paraId="47A5CE34" w14:textId="403E7307"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29.7</w:t>
            </w:r>
          </w:p>
        </w:tc>
        <w:tc>
          <w:tcPr>
            <w:tcW w:w="1295" w:type="dxa"/>
            <w:tcBorders>
              <w:top w:val="nil"/>
              <w:left w:val="nil"/>
              <w:bottom w:val="single" w:sz="4" w:space="0" w:color="auto"/>
              <w:right w:val="single" w:sz="4" w:space="0" w:color="auto"/>
            </w:tcBorders>
            <w:shd w:val="clear" w:color="000000" w:fill="E7E6E6"/>
            <w:noWrap/>
            <w:vAlign w:val="center"/>
          </w:tcPr>
          <w:p w14:paraId="3EE476E9" w14:textId="36CFA30B"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30</w:t>
            </w:r>
          </w:p>
        </w:tc>
        <w:tc>
          <w:tcPr>
            <w:tcW w:w="1173" w:type="dxa"/>
            <w:tcBorders>
              <w:top w:val="nil"/>
              <w:left w:val="nil"/>
              <w:bottom w:val="single" w:sz="4" w:space="0" w:color="auto"/>
              <w:right w:val="single" w:sz="4" w:space="0" w:color="auto"/>
            </w:tcBorders>
            <w:shd w:val="clear" w:color="000000" w:fill="E7E6E6"/>
            <w:noWrap/>
            <w:vAlign w:val="center"/>
          </w:tcPr>
          <w:p w14:paraId="5DB29033" w14:textId="56AEAC1F" w:rsidR="0072387E" w:rsidRPr="0072387E" w:rsidRDefault="0072387E" w:rsidP="0078703F">
            <w:pPr>
              <w:spacing w:line="240" w:lineRule="auto"/>
              <w:jc w:val="center"/>
              <w:rPr>
                <w:rFonts w:eastAsia="Times New Roman" w:cstheme="minorHAnsi"/>
                <w:color w:val="000000"/>
                <w:sz w:val="18"/>
                <w:szCs w:val="18"/>
                <w:lang w:eastAsia="es-MX"/>
              </w:rPr>
            </w:pPr>
            <w:r w:rsidRPr="0072387E">
              <w:rPr>
                <w:rFonts w:ascii="Calibri" w:hAnsi="Calibri" w:cs="Calibri"/>
                <w:color w:val="000000"/>
                <w:sz w:val="18"/>
                <w:szCs w:val="18"/>
              </w:rPr>
              <w:t>58.7</w:t>
            </w:r>
          </w:p>
        </w:tc>
      </w:tr>
    </w:tbl>
    <w:p w14:paraId="78EDFBDA" w14:textId="77777777" w:rsidR="0081233E" w:rsidRPr="008C72D8" w:rsidRDefault="0081233E" w:rsidP="0078703F">
      <w:pPr>
        <w:spacing w:line="240" w:lineRule="auto"/>
      </w:pPr>
    </w:p>
    <w:tbl>
      <w:tblPr>
        <w:tblW w:w="11321" w:type="dxa"/>
        <w:jc w:val="center"/>
        <w:tblCellMar>
          <w:left w:w="70" w:type="dxa"/>
          <w:right w:w="70" w:type="dxa"/>
        </w:tblCellMar>
        <w:tblLook w:val="04A0" w:firstRow="1" w:lastRow="0" w:firstColumn="1" w:lastColumn="0" w:noHBand="0" w:noVBand="1"/>
      </w:tblPr>
      <w:tblGrid>
        <w:gridCol w:w="801"/>
        <w:gridCol w:w="3357"/>
        <w:gridCol w:w="834"/>
        <w:gridCol w:w="1044"/>
        <w:gridCol w:w="841"/>
        <w:gridCol w:w="1126"/>
        <w:gridCol w:w="850"/>
        <w:gridCol w:w="1295"/>
        <w:gridCol w:w="1173"/>
      </w:tblGrid>
      <w:tr w:rsidR="00810B7C" w:rsidRPr="008C72D8" w14:paraId="787705AF" w14:textId="77777777" w:rsidTr="0081233E">
        <w:trPr>
          <w:trHeight w:val="298"/>
          <w:jc w:val="center"/>
        </w:trPr>
        <w:tc>
          <w:tcPr>
            <w:tcW w:w="11321" w:type="dxa"/>
            <w:gridSpan w:val="9"/>
            <w:tcBorders>
              <w:top w:val="nil"/>
              <w:left w:val="nil"/>
              <w:bottom w:val="single" w:sz="4" w:space="0" w:color="auto"/>
              <w:right w:val="nil"/>
            </w:tcBorders>
            <w:shd w:val="clear" w:color="auto" w:fill="auto"/>
            <w:vAlign w:val="center"/>
            <w:hideMark/>
          </w:tcPr>
          <w:p w14:paraId="26146BC4" w14:textId="3E3D73DF" w:rsidR="00810B7C" w:rsidRPr="008C72D8" w:rsidRDefault="00810B7C" w:rsidP="0078703F">
            <w:pPr>
              <w:spacing w:line="240" w:lineRule="auto"/>
              <w:jc w:val="center"/>
              <w:rPr>
                <w:rFonts w:ascii="Calibri" w:eastAsia="Times New Roman" w:hAnsi="Calibri" w:cs="Calibri"/>
                <w:b/>
                <w:bCs/>
                <w:color w:val="000000"/>
                <w:sz w:val="20"/>
                <w:szCs w:val="20"/>
                <w:lang w:eastAsia="es-MX"/>
              </w:rPr>
            </w:pPr>
            <w:r w:rsidRPr="008C72D8">
              <w:rPr>
                <w:rFonts w:ascii="Calibri" w:eastAsia="Times New Roman" w:hAnsi="Calibri" w:cs="Calibri"/>
                <w:b/>
                <w:bCs/>
                <w:color w:val="000000"/>
                <w:sz w:val="20"/>
                <w:szCs w:val="20"/>
                <w:lang w:eastAsia="es-MX"/>
              </w:rPr>
              <w:t xml:space="preserve">Tabla </w:t>
            </w:r>
            <w:r w:rsidR="0024082E" w:rsidRPr="008C72D8">
              <w:rPr>
                <w:rFonts w:ascii="Calibri" w:eastAsia="Times New Roman" w:hAnsi="Calibri" w:cs="Calibri"/>
                <w:b/>
                <w:bCs/>
                <w:color w:val="000000"/>
                <w:sz w:val="20"/>
                <w:szCs w:val="20"/>
                <w:lang w:eastAsia="es-MX"/>
              </w:rPr>
              <w:t>5</w:t>
            </w:r>
            <w:r w:rsidRPr="008C72D8">
              <w:rPr>
                <w:rFonts w:ascii="Calibri" w:eastAsia="Times New Roman" w:hAnsi="Calibri" w:cs="Calibri"/>
                <w:b/>
                <w:bCs/>
                <w:color w:val="000000"/>
                <w:sz w:val="20"/>
                <w:szCs w:val="20"/>
                <w:lang w:eastAsia="es-MX"/>
              </w:rPr>
              <w:t xml:space="preserve">. Posición de las universidades iberoamericanas </w:t>
            </w:r>
            <w:r w:rsidR="0072387E">
              <w:rPr>
                <w:rFonts w:ascii="Calibri" w:eastAsia="Times New Roman" w:hAnsi="Calibri" w:cs="Calibri"/>
                <w:b/>
                <w:bCs/>
                <w:color w:val="000000"/>
                <w:sz w:val="20"/>
                <w:szCs w:val="20"/>
                <w:lang w:eastAsia="es-MX"/>
              </w:rPr>
              <w:t xml:space="preserve">en el TOP 10 </w:t>
            </w:r>
            <w:r w:rsidRPr="008C72D8">
              <w:rPr>
                <w:rFonts w:ascii="Calibri" w:eastAsia="Times New Roman" w:hAnsi="Calibri" w:cs="Calibri"/>
                <w:b/>
                <w:bCs/>
                <w:color w:val="000000"/>
                <w:sz w:val="20"/>
                <w:szCs w:val="20"/>
                <w:lang w:eastAsia="es-MX"/>
              </w:rPr>
              <w:t xml:space="preserve">del ranking </w:t>
            </w:r>
            <w:r w:rsidR="0081233E" w:rsidRPr="008C72D8">
              <w:rPr>
                <w:rFonts w:ascii="Calibri" w:eastAsia="Times New Roman" w:hAnsi="Calibri" w:cs="Calibri"/>
                <w:b/>
                <w:bCs/>
                <w:color w:val="000000"/>
                <w:sz w:val="20"/>
                <w:szCs w:val="20"/>
                <w:lang w:eastAsia="es-MX"/>
              </w:rPr>
              <w:t xml:space="preserve">THE en el área de </w:t>
            </w:r>
            <w:r w:rsidRPr="008C72D8">
              <w:rPr>
                <w:rFonts w:ascii="Calibri" w:eastAsia="Times New Roman" w:hAnsi="Calibri" w:cs="Calibri"/>
                <w:b/>
                <w:bCs/>
                <w:color w:val="000000"/>
                <w:sz w:val="20"/>
                <w:szCs w:val="20"/>
                <w:lang w:eastAsia="es-MX"/>
              </w:rPr>
              <w:t>Ciencias Sociales, 2020.</w:t>
            </w:r>
          </w:p>
        </w:tc>
      </w:tr>
      <w:tr w:rsidR="00810B7C" w:rsidRPr="008C72D8" w14:paraId="6616DC74" w14:textId="77777777" w:rsidTr="0081233E">
        <w:trPr>
          <w:trHeight w:val="477"/>
          <w:jc w:val="center"/>
        </w:trPr>
        <w:tc>
          <w:tcPr>
            <w:tcW w:w="801" w:type="dxa"/>
            <w:tcBorders>
              <w:top w:val="nil"/>
              <w:left w:val="single" w:sz="4" w:space="0" w:color="auto"/>
              <w:bottom w:val="single" w:sz="4" w:space="0" w:color="auto"/>
              <w:right w:val="single" w:sz="4" w:space="0" w:color="auto"/>
            </w:tcBorders>
            <w:shd w:val="clear" w:color="000000" w:fill="BDD6EE"/>
            <w:vAlign w:val="center"/>
            <w:hideMark/>
          </w:tcPr>
          <w:p w14:paraId="0921FADC"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Posición</w:t>
            </w:r>
          </w:p>
        </w:tc>
        <w:tc>
          <w:tcPr>
            <w:tcW w:w="3357" w:type="dxa"/>
            <w:tcBorders>
              <w:top w:val="nil"/>
              <w:left w:val="nil"/>
              <w:bottom w:val="single" w:sz="4" w:space="0" w:color="auto"/>
              <w:right w:val="single" w:sz="4" w:space="0" w:color="auto"/>
            </w:tcBorders>
            <w:shd w:val="clear" w:color="000000" w:fill="BDD6EE"/>
            <w:vAlign w:val="center"/>
            <w:hideMark/>
          </w:tcPr>
          <w:p w14:paraId="77A1718E"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Institución</w:t>
            </w:r>
          </w:p>
        </w:tc>
        <w:tc>
          <w:tcPr>
            <w:tcW w:w="834" w:type="dxa"/>
            <w:tcBorders>
              <w:top w:val="nil"/>
              <w:left w:val="nil"/>
              <w:bottom w:val="single" w:sz="4" w:space="0" w:color="auto"/>
              <w:right w:val="single" w:sz="4" w:space="0" w:color="auto"/>
            </w:tcBorders>
            <w:shd w:val="clear" w:color="000000" w:fill="BDD6EE"/>
            <w:vAlign w:val="center"/>
            <w:hideMark/>
          </w:tcPr>
          <w:p w14:paraId="078E582A"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País</w:t>
            </w:r>
          </w:p>
        </w:tc>
        <w:tc>
          <w:tcPr>
            <w:tcW w:w="1044" w:type="dxa"/>
            <w:tcBorders>
              <w:top w:val="nil"/>
              <w:left w:val="nil"/>
              <w:bottom w:val="single" w:sz="4" w:space="0" w:color="auto"/>
              <w:right w:val="single" w:sz="4" w:space="0" w:color="auto"/>
            </w:tcBorders>
            <w:shd w:val="clear" w:color="000000" w:fill="BDD6EE"/>
            <w:vAlign w:val="center"/>
            <w:hideMark/>
          </w:tcPr>
          <w:p w14:paraId="7AD8F53B"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Puntaje General</w:t>
            </w:r>
          </w:p>
        </w:tc>
        <w:tc>
          <w:tcPr>
            <w:tcW w:w="841" w:type="dxa"/>
            <w:tcBorders>
              <w:top w:val="nil"/>
              <w:left w:val="nil"/>
              <w:bottom w:val="single" w:sz="4" w:space="0" w:color="auto"/>
              <w:right w:val="single" w:sz="4" w:space="0" w:color="auto"/>
            </w:tcBorders>
            <w:shd w:val="clear" w:color="000000" w:fill="BDD6EE"/>
            <w:vAlign w:val="center"/>
            <w:hideMark/>
          </w:tcPr>
          <w:p w14:paraId="7044DE8D"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 xml:space="preserve">Docencia </w:t>
            </w:r>
          </w:p>
        </w:tc>
        <w:tc>
          <w:tcPr>
            <w:tcW w:w="1126" w:type="dxa"/>
            <w:tcBorders>
              <w:top w:val="nil"/>
              <w:left w:val="nil"/>
              <w:bottom w:val="single" w:sz="4" w:space="0" w:color="auto"/>
              <w:right w:val="single" w:sz="4" w:space="0" w:color="auto"/>
            </w:tcBorders>
            <w:shd w:val="clear" w:color="000000" w:fill="BDD6EE"/>
            <w:vAlign w:val="center"/>
            <w:hideMark/>
          </w:tcPr>
          <w:p w14:paraId="1D1ACCD2"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Investigación</w:t>
            </w:r>
          </w:p>
        </w:tc>
        <w:tc>
          <w:tcPr>
            <w:tcW w:w="850" w:type="dxa"/>
            <w:tcBorders>
              <w:top w:val="nil"/>
              <w:left w:val="nil"/>
              <w:bottom w:val="single" w:sz="4" w:space="0" w:color="auto"/>
              <w:right w:val="single" w:sz="4" w:space="0" w:color="auto"/>
            </w:tcBorders>
            <w:shd w:val="clear" w:color="000000" w:fill="BDD6EE"/>
            <w:vAlign w:val="center"/>
            <w:hideMark/>
          </w:tcPr>
          <w:p w14:paraId="28306909"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Citas</w:t>
            </w:r>
          </w:p>
        </w:tc>
        <w:tc>
          <w:tcPr>
            <w:tcW w:w="1295" w:type="dxa"/>
            <w:tcBorders>
              <w:top w:val="nil"/>
              <w:left w:val="nil"/>
              <w:bottom w:val="single" w:sz="4" w:space="0" w:color="auto"/>
              <w:right w:val="single" w:sz="4" w:space="0" w:color="auto"/>
            </w:tcBorders>
            <w:shd w:val="clear" w:color="000000" w:fill="BDD6EE"/>
            <w:vAlign w:val="center"/>
            <w:hideMark/>
          </w:tcPr>
          <w:p w14:paraId="643A4274"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 xml:space="preserve">Financiamiento de la industria </w:t>
            </w:r>
          </w:p>
        </w:tc>
        <w:tc>
          <w:tcPr>
            <w:tcW w:w="1173" w:type="dxa"/>
            <w:tcBorders>
              <w:top w:val="nil"/>
              <w:left w:val="nil"/>
              <w:bottom w:val="single" w:sz="4" w:space="0" w:color="auto"/>
              <w:right w:val="single" w:sz="4" w:space="0" w:color="auto"/>
            </w:tcBorders>
            <w:shd w:val="clear" w:color="000000" w:fill="BDD6EE"/>
            <w:vAlign w:val="center"/>
            <w:hideMark/>
          </w:tcPr>
          <w:p w14:paraId="2A144138"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Perspectiva internacional</w:t>
            </w:r>
          </w:p>
        </w:tc>
      </w:tr>
      <w:tr w:rsidR="0072387E" w:rsidRPr="008C72D8" w14:paraId="3DFDA63E"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614498D" w14:textId="7E90117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101–125</w:t>
            </w:r>
          </w:p>
        </w:tc>
        <w:tc>
          <w:tcPr>
            <w:tcW w:w="3357" w:type="dxa"/>
            <w:tcBorders>
              <w:top w:val="nil"/>
              <w:left w:val="nil"/>
              <w:bottom w:val="single" w:sz="4" w:space="0" w:color="auto"/>
              <w:right w:val="single" w:sz="4" w:space="0" w:color="auto"/>
            </w:tcBorders>
            <w:shd w:val="clear" w:color="auto" w:fill="auto"/>
            <w:noWrap/>
            <w:vAlign w:val="center"/>
          </w:tcPr>
          <w:p w14:paraId="23565FEB" w14:textId="77FB4A96"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Autónoma de Barcelona</w:t>
            </w:r>
          </w:p>
        </w:tc>
        <w:tc>
          <w:tcPr>
            <w:tcW w:w="834" w:type="dxa"/>
            <w:tcBorders>
              <w:top w:val="nil"/>
              <w:left w:val="nil"/>
              <w:bottom w:val="single" w:sz="4" w:space="0" w:color="auto"/>
              <w:right w:val="single" w:sz="4" w:space="0" w:color="auto"/>
            </w:tcBorders>
            <w:shd w:val="clear" w:color="auto" w:fill="auto"/>
            <w:vAlign w:val="center"/>
          </w:tcPr>
          <w:p w14:paraId="43AA8EF7" w14:textId="7E69519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013B7659" w14:textId="296C7D8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48.7–52.2</w:t>
            </w:r>
          </w:p>
        </w:tc>
        <w:tc>
          <w:tcPr>
            <w:tcW w:w="841" w:type="dxa"/>
            <w:tcBorders>
              <w:top w:val="nil"/>
              <w:left w:val="nil"/>
              <w:bottom w:val="single" w:sz="4" w:space="0" w:color="auto"/>
              <w:right w:val="single" w:sz="4" w:space="0" w:color="auto"/>
            </w:tcBorders>
            <w:shd w:val="clear" w:color="auto" w:fill="auto"/>
            <w:noWrap/>
            <w:vAlign w:val="center"/>
          </w:tcPr>
          <w:p w14:paraId="6137D4ED" w14:textId="421966C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47.1</w:t>
            </w:r>
          </w:p>
        </w:tc>
        <w:tc>
          <w:tcPr>
            <w:tcW w:w="1126" w:type="dxa"/>
            <w:tcBorders>
              <w:top w:val="nil"/>
              <w:left w:val="nil"/>
              <w:bottom w:val="single" w:sz="4" w:space="0" w:color="auto"/>
              <w:right w:val="single" w:sz="4" w:space="0" w:color="auto"/>
            </w:tcBorders>
            <w:shd w:val="clear" w:color="auto" w:fill="auto"/>
            <w:noWrap/>
            <w:vAlign w:val="center"/>
          </w:tcPr>
          <w:p w14:paraId="35F06277" w14:textId="638806D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27.7</w:t>
            </w:r>
          </w:p>
        </w:tc>
        <w:tc>
          <w:tcPr>
            <w:tcW w:w="850" w:type="dxa"/>
            <w:tcBorders>
              <w:top w:val="nil"/>
              <w:left w:val="nil"/>
              <w:bottom w:val="single" w:sz="4" w:space="0" w:color="auto"/>
              <w:right w:val="single" w:sz="4" w:space="0" w:color="auto"/>
            </w:tcBorders>
            <w:shd w:val="clear" w:color="auto" w:fill="auto"/>
            <w:vAlign w:val="center"/>
          </w:tcPr>
          <w:p w14:paraId="61FE306B" w14:textId="747AD17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78.6</w:t>
            </w:r>
          </w:p>
        </w:tc>
        <w:tc>
          <w:tcPr>
            <w:tcW w:w="1295" w:type="dxa"/>
            <w:tcBorders>
              <w:top w:val="nil"/>
              <w:left w:val="nil"/>
              <w:bottom w:val="single" w:sz="4" w:space="0" w:color="auto"/>
              <w:right w:val="single" w:sz="4" w:space="0" w:color="auto"/>
            </w:tcBorders>
            <w:shd w:val="clear" w:color="auto" w:fill="auto"/>
            <w:noWrap/>
            <w:vAlign w:val="center"/>
          </w:tcPr>
          <w:p w14:paraId="6F9453C2" w14:textId="26C3F73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44.4</w:t>
            </w:r>
          </w:p>
        </w:tc>
        <w:tc>
          <w:tcPr>
            <w:tcW w:w="1173" w:type="dxa"/>
            <w:tcBorders>
              <w:top w:val="nil"/>
              <w:left w:val="nil"/>
              <w:bottom w:val="single" w:sz="4" w:space="0" w:color="auto"/>
              <w:right w:val="single" w:sz="4" w:space="0" w:color="auto"/>
            </w:tcBorders>
            <w:shd w:val="clear" w:color="auto" w:fill="auto"/>
            <w:noWrap/>
            <w:vAlign w:val="center"/>
          </w:tcPr>
          <w:p w14:paraId="285E1FFB" w14:textId="46EFB90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66.6</w:t>
            </w:r>
          </w:p>
        </w:tc>
      </w:tr>
      <w:tr w:rsidR="0072387E" w:rsidRPr="008C72D8" w14:paraId="3A4AC295"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46DF6BFE" w14:textId="759AC07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126–150</w:t>
            </w:r>
          </w:p>
        </w:tc>
        <w:tc>
          <w:tcPr>
            <w:tcW w:w="3357" w:type="dxa"/>
            <w:tcBorders>
              <w:top w:val="nil"/>
              <w:left w:val="nil"/>
              <w:bottom w:val="single" w:sz="4" w:space="0" w:color="auto"/>
              <w:right w:val="single" w:sz="4" w:space="0" w:color="auto"/>
            </w:tcBorders>
            <w:shd w:val="clear" w:color="000000" w:fill="E7E6E6"/>
            <w:noWrap/>
            <w:vAlign w:val="center"/>
          </w:tcPr>
          <w:p w14:paraId="043ED674" w14:textId="4CD5D35E"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Pompeu Fabra</w:t>
            </w:r>
          </w:p>
        </w:tc>
        <w:tc>
          <w:tcPr>
            <w:tcW w:w="834" w:type="dxa"/>
            <w:tcBorders>
              <w:top w:val="nil"/>
              <w:left w:val="nil"/>
              <w:bottom w:val="single" w:sz="4" w:space="0" w:color="auto"/>
              <w:right w:val="single" w:sz="4" w:space="0" w:color="auto"/>
            </w:tcBorders>
            <w:shd w:val="clear" w:color="000000" w:fill="E7E6E6"/>
            <w:vAlign w:val="center"/>
          </w:tcPr>
          <w:p w14:paraId="79B5D82F" w14:textId="421AA40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50337E2E" w14:textId="1313631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45.7–48.6</w:t>
            </w:r>
          </w:p>
        </w:tc>
        <w:tc>
          <w:tcPr>
            <w:tcW w:w="841" w:type="dxa"/>
            <w:tcBorders>
              <w:top w:val="nil"/>
              <w:left w:val="nil"/>
              <w:bottom w:val="single" w:sz="4" w:space="0" w:color="auto"/>
              <w:right w:val="single" w:sz="4" w:space="0" w:color="auto"/>
            </w:tcBorders>
            <w:shd w:val="clear" w:color="000000" w:fill="E7E6E6"/>
            <w:noWrap/>
            <w:vAlign w:val="center"/>
          </w:tcPr>
          <w:p w14:paraId="627C9555" w14:textId="69CCDB7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35.1</w:t>
            </w:r>
          </w:p>
        </w:tc>
        <w:tc>
          <w:tcPr>
            <w:tcW w:w="1126" w:type="dxa"/>
            <w:tcBorders>
              <w:top w:val="nil"/>
              <w:left w:val="nil"/>
              <w:bottom w:val="single" w:sz="4" w:space="0" w:color="auto"/>
              <w:right w:val="single" w:sz="4" w:space="0" w:color="auto"/>
            </w:tcBorders>
            <w:shd w:val="clear" w:color="000000" w:fill="E7E6E6"/>
            <w:noWrap/>
            <w:vAlign w:val="center"/>
          </w:tcPr>
          <w:p w14:paraId="6079C9ED" w14:textId="730D59D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27.8</w:t>
            </w:r>
          </w:p>
        </w:tc>
        <w:tc>
          <w:tcPr>
            <w:tcW w:w="850" w:type="dxa"/>
            <w:tcBorders>
              <w:top w:val="nil"/>
              <w:left w:val="nil"/>
              <w:bottom w:val="single" w:sz="4" w:space="0" w:color="auto"/>
              <w:right w:val="single" w:sz="4" w:space="0" w:color="auto"/>
            </w:tcBorders>
            <w:shd w:val="clear" w:color="000000" w:fill="E7E6E6"/>
            <w:vAlign w:val="center"/>
          </w:tcPr>
          <w:p w14:paraId="3B446017" w14:textId="623BC07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82</w:t>
            </w:r>
          </w:p>
        </w:tc>
        <w:tc>
          <w:tcPr>
            <w:tcW w:w="1295" w:type="dxa"/>
            <w:tcBorders>
              <w:top w:val="nil"/>
              <w:left w:val="nil"/>
              <w:bottom w:val="single" w:sz="4" w:space="0" w:color="auto"/>
              <w:right w:val="single" w:sz="4" w:space="0" w:color="auto"/>
            </w:tcBorders>
            <w:shd w:val="clear" w:color="000000" w:fill="E7E6E6"/>
            <w:noWrap/>
            <w:vAlign w:val="center"/>
          </w:tcPr>
          <w:p w14:paraId="492727C6" w14:textId="2953030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44.3</w:t>
            </w:r>
          </w:p>
        </w:tc>
        <w:tc>
          <w:tcPr>
            <w:tcW w:w="1173" w:type="dxa"/>
            <w:tcBorders>
              <w:top w:val="nil"/>
              <w:left w:val="nil"/>
              <w:bottom w:val="single" w:sz="4" w:space="0" w:color="auto"/>
              <w:right w:val="single" w:sz="4" w:space="0" w:color="auto"/>
            </w:tcBorders>
            <w:shd w:val="clear" w:color="000000" w:fill="E7E6E6"/>
            <w:noWrap/>
            <w:vAlign w:val="center"/>
          </w:tcPr>
          <w:p w14:paraId="7E2DB376" w14:textId="70A7D1B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60.8</w:t>
            </w:r>
          </w:p>
        </w:tc>
      </w:tr>
      <w:tr w:rsidR="0072387E" w:rsidRPr="008C72D8" w14:paraId="0301B733"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117ACC3" w14:textId="712495A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201–250</w:t>
            </w:r>
          </w:p>
        </w:tc>
        <w:tc>
          <w:tcPr>
            <w:tcW w:w="3357" w:type="dxa"/>
            <w:tcBorders>
              <w:top w:val="nil"/>
              <w:left w:val="nil"/>
              <w:bottom w:val="single" w:sz="4" w:space="0" w:color="auto"/>
              <w:right w:val="single" w:sz="4" w:space="0" w:color="auto"/>
            </w:tcBorders>
            <w:shd w:val="clear" w:color="auto" w:fill="auto"/>
            <w:noWrap/>
            <w:vAlign w:val="center"/>
          </w:tcPr>
          <w:p w14:paraId="644B9E7D" w14:textId="238EB2A4"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Autónoma de Madrid</w:t>
            </w:r>
          </w:p>
        </w:tc>
        <w:tc>
          <w:tcPr>
            <w:tcW w:w="834" w:type="dxa"/>
            <w:tcBorders>
              <w:top w:val="nil"/>
              <w:left w:val="nil"/>
              <w:bottom w:val="single" w:sz="4" w:space="0" w:color="auto"/>
              <w:right w:val="single" w:sz="4" w:space="0" w:color="auto"/>
            </w:tcBorders>
            <w:shd w:val="clear" w:color="auto" w:fill="auto"/>
            <w:vAlign w:val="center"/>
          </w:tcPr>
          <w:p w14:paraId="440BFF98" w14:textId="3467F83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1B59506C" w14:textId="13AB6B5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37.1–40.4</w:t>
            </w:r>
          </w:p>
        </w:tc>
        <w:tc>
          <w:tcPr>
            <w:tcW w:w="841" w:type="dxa"/>
            <w:tcBorders>
              <w:top w:val="nil"/>
              <w:left w:val="nil"/>
              <w:bottom w:val="single" w:sz="4" w:space="0" w:color="auto"/>
              <w:right w:val="single" w:sz="4" w:space="0" w:color="auto"/>
            </w:tcBorders>
            <w:shd w:val="clear" w:color="auto" w:fill="auto"/>
            <w:noWrap/>
            <w:vAlign w:val="center"/>
          </w:tcPr>
          <w:p w14:paraId="4C6F0FC8" w14:textId="3241DC5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28.1</w:t>
            </w:r>
          </w:p>
        </w:tc>
        <w:tc>
          <w:tcPr>
            <w:tcW w:w="1126" w:type="dxa"/>
            <w:tcBorders>
              <w:top w:val="nil"/>
              <w:left w:val="nil"/>
              <w:bottom w:val="single" w:sz="4" w:space="0" w:color="auto"/>
              <w:right w:val="single" w:sz="4" w:space="0" w:color="auto"/>
            </w:tcBorders>
            <w:shd w:val="clear" w:color="auto" w:fill="auto"/>
            <w:noWrap/>
            <w:vAlign w:val="center"/>
          </w:tcPr>
          <w:p w14:paraId="5BBD4F9C" w14:textId="23AFF45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21.7</w:t>
            </w:r>
          </w:p>
        </w:tc>
        <w:tc>
          <w:tcPr>
            <w:tcW w:w="850" w:type="dxa"/>
            <w:tcBorders>
              <w:top w:val="nil"/>
              <w:left w:val="nil"/>
              <w:bottom w:val="single" w:sz="4" w:space="0" w:color="auto"/>
              <w:right w:val="single" w:sz="4" w:space="0" w:color="auto"/>
            </w:tcBorders>
            <w:shd w:val="clear" w:color="auto" w:fill="auto"/>
            <w:vAlign w:val="center"/>
          </w:tcPr>
          <w:p w14:paraId="08A3F95A" w14:textId="303D808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71.2</w:t>
            </w:r>
          </w:p>
        </w:tc>
        <w:tc>
          <w:tcPr>
            <w:tcW w:w="1295" w:type="dxa"/>
            <w:tcBorders>
              <w:top w:val="nil"/>
              <w:left w:val="nil"/>
              <w:bottom w:val="single" w:sz="4" w:space="0" w:color="auto"/>
              <w:right w:val="single" w:sz="4" w:space="0" w:color="auto"/>
            </w:tcBorders>
            <w:shd w:val="clear" w:color="auto" w:fill="auto"/>
            <w:noWrap/>
            <w:vAlign w:val="center"/>
          </w:tcPr>
          <w:p w14:paraId="15A1B7D5" w14:textId="42797DF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49.8</w:t>
            </w:r>
          </w:p>
        </w:tc>
        <w:tc>
          <w:tcPr>
            <w:tcW w:w="1173" w:type="dxa"/>
            <w:tcBorders>
              <w:top w:val="nil"/>
              <w:left w:val="nil"/>
              <w:bottom w:val="single" w:sz="4" w:space="0" w:color="auto"/>
              <w:right w:val="single" w:sz="4" w:space="0" w:color="auto"/>
            </w:tcBorders>
            <w:shd w:val="clear" w:color="auto" w:fill="auto"/>
            <w:noWrap/>
            <w:vAlign w:val="center"/>
          </w:tcPr>
          <w:p w14:paraId="78161A73" w14:textId="49E3017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55.6</w:t>
            </w:r>
          </w:p>
        </w:tc>
      </w:tr>
      <w:tr w:rsidR="0072387E" w:rsidRPr="008C72D8" w14:paraId="56C050CF"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73DDD818" w14:textId="24BB1E2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201–250</w:t>
            </w:r>
          </w:p>
        </w:tc>
        <w:tc>
          <w:tcPr>
            <w:tcW w:w="3357" w:type="dxa"/>
            <w:tcBorders>
              <w:top w:val="nil"/>
              <w:left w:val="nil"/>
              <w:bottom w:val="single" w:sz="4" w:space="0" w:color="auto"/>
              <w:right w:val="single" w:sz="4" w:space="0" w:color="auto"/>
            </w:tcBorders>
            <w:shd w:val="clear" w:color="000000" w:fill="E7E6E6"/>
            <w:noWrap/>
            <w:vAlign w:val="center"/>
          </w:tcPr>
          <w:p w14:paraId="20B8163F" w14:textId="39815AD2"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Sao Paulo</w:t>
            </w:r>
          </w:p>
        </w:tc>
        <w:tc>
          <w:tcPr>
            <w:tcW w:w="834" w:type="dxa"/>
            <w:tcBorders>
              <w:top w:val="nil"/>
              <w:left w:val="nil"/>
              <w:bottom w:val="single" w:sz="4" w:space="0" w:color="auto"/>
              <w:right w:val="single" w:sz="4" w:space="0" w:color="auto"/>
            </w:tcBorders>
            <w:shd w:val="clear" w:color="000000" w:fill="E7E6E6"/>
            <w:vAlign w:val="center"/>
          </w:tcPr>
          <w:p w14:paraId="513A2D4D" w14:textId="3286062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Brasil</w:t>
            </w:r>
          </w:p>
        </w:tc>
        <w:tc>
          <w:tcPr>
            <w:tcW w:w="1044" w:type="dxa"/>
            <w:tcBorders>
              <w:top w:val="nil"/>
              <w:left w:val="nil"/>
              <w:bottom w:val="single" w:sz="4" w:space="0" w:color="auto"/>
              <w:right w:val="single" w:sz="4" w:space="0" w:color="auto"/>
            </w:tcBorders>
            <w:shd w:val="clear" w:color="000000" w:fill="E7E6E6"/>
            <w:noWrap/>
            <w:vAlign w:val="center"/>
          </w:tcPr>
          <w:p w14:paraId="3FE8C893" w14:textId="5AA6D42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37.1–40.4</w:t>
            </w:r>
          </w:p>
        </w:tc>
        <w:tc>
          <w:tcPr>
            <w:tcW w:w="841" w:type="dxa"/>
            <w:tcBorders>
              <w:top w:val="nil"/>
              <w:left w:val="nil"/>
              <w:bottom w:val="single" w:sz="4" w:space="0" w:color="auto"/>
              <w:right w:val="single" w:sz="4" w:space="0" w:color="auto"/>
            </w:tcBorders>
            <w:shd w:val="clear" w:color="000000" w:fill="E7E6E6"/>
            <w:noWrap/>
            <w:vAlign w:val="center"/>
          </w:tcPr>
          <w:p w14:paraId="606394EE" w14:textId="4D2652D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52.8</w:t>
            </w:r>
          </w:p>
        </w:tc>
        <w:tc>
          <w:tcPr>
            <w:tcW w:w="1126" w:type="dxa"/>
            <w:tcBorders>
              <w:top w:val="nil"/>
              <w:left w:val="nil"/>
              <w:bottom w:val="single" w:sz="4" w:space="0" w:color="auto"/>
              <w:right w:val="single" w:sz="4" w:space="0" w:color="auto"/>
            </w:tcBorders>
            <w:shd w:val="clear" w:color="000000" w:fill="E7E6E6"/>
            <w:noWrap/>
            <w:vAlign w:val="center"/>
          </w:tcPr>
          <w:p w14:paraId="67554D05" w14:textId="52448DB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44.5</w:t>
            </w:r>
          </w:p>
        </w:tc>
        <w:tc>
          <w:tcPr>
            <w:tcW w:w="850" w:type="dxa"/>
            <w:tcBorders>
              <w:top w:val="nil"/>
              <w:left w:val="nil"/>
              <w:bottom w:val="single" w:sz="4" w:space="0" w:color="auto"/>
              <w:right w:val="single" w:sz="4" w:space="0" w:color="auto"/>
            </w:tcBorders>
            <w:shd w:val="clear" w:color="000000" w:fill="E7E6E6"/>
            <w:vAlign w:val="center"/>
          </w:tcPr>
          <w:p w14:paraId="4E789B7F" w14:textId="2AFDAB9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20.6</w:t>
            </w:r>
          </w:p>
        </w:tc>
        <w:tc>
          <w:tcPr>
            <w:tcW w:w="1295" w:type="dxa"/>
            <w:tcBorders>
              <w:top w:val="nil"/>
              <w:left w:val="nil"/>
              <w:bottom w:val="single" w:sz="4" w:space="0" w:color="auto"/>
              <w:right w:val="single" w:sz="4" w:space="0" w:color="auto"/>
            </w:tcBorders>
            <w:shd w:val="clear" w:color="000000" w:fill="E7E6E6"/>
            <w:noWrap/>
            <w:vAlign w:val="center"/>
          </w:tcPr>
          <w:p w14:paraId="03F23972" w14:textId="60AD120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36.6</w:t>
            </w:r>
          </w:p>
        </w:tc>
        <w:tc>
          <w:tcPr>
            <w:tcW w:w="1173" w:type="dxa"/>
            <w:tcBorders>
              <w:top w:val="nil"/>
              <w:left w:val="nil"/>
              <w:bottom w:val="single" w:sz="4" w:space="0" w:color="auto"/>
              <w:right w:val="single" w:sz="4" w:space="0" w:color="auto"/>
            </w:tcBorders>
            <w:shd w:val="clear" w:color="000000" w:fill="E7E6E6"/>
            <w:noWrap/>
            <w:vAlign w:val="center"/>
          </w:tcPr>
          <w:p w14:paraId="7E9289E0" w14:textId="6A9983A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23.2</w:t>
            </w:r>
          </w:p>
        </w:tc>
      </w:tr>
      <w:tr w:rsidR="0072387E" w:rsidRPr="008C72D8" w14:paraId="34DB1D05"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AE8E78C" w14:textId="1E5BF00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251–300</w:t>
            </w:r>
          </w:p>
        </w:tc>
        <w:tc>
          <w:tcPr>
            <w:tcW w:w="3357" w:type="dxa"/>
            <w:tcBorders>
              <w:top w:val="nil"/>
              <w:left w:val="nil"/>
              <w:bottom w:val="single" w:sz="4" w:space="0" w:color="auto"/>
              <w:right w:val="single" w:sz="4" w:space="0" w:color="auto"/>
            </w:tcBorders>
            <w:shd w:val="clear" w:color="auto" w:fill="auto"/>
            <w:noWrap/>
            <w:vAlign w:val="center"/>
          </w:tcPr>
          <w:p w14:paraId="4407B13D" w14:textId="481471B8"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Pontificia Universidad Católica de Chile</w:t>
            </w:r>
          </w:p>
        </w:tc>
        <w:tc>
          <w:tcPr>
            <w:tcW w:w="834" w:type="dxa"/>
            <w:tcBorders>
              <w:top w:val="nil"/>
              <w:left w:val="nil"/>
              <w:bottom w:val="single" w:sz="4" w:space="0" w:color="auto"/>
              <w:right w:val="single" w:sz="4" w:space="0" w:color="auto"/>
            </w:tcBorders>
            <w:shd w:val="clear" w:color="auto" w:fill="auto"/>
            <w:vAlign w:val="center"/>
          </w:tcPr>
          <w:p w14:paraId="762740A8" w14:textId="535B81A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Chile</w:t>
            </w:r>
          </w:p>
        </w:tc>
        <w:tc>
          <w:tcPr>
            <w:tcW w:w="1044" w:type="dxa"/>
            <w:tcBorders>
              <w:top w:val="nil"/>
              <w:left w:val="nil"/>
              <w:bottom w:val="single" w:sz="4" w:space="0" w:color="auto"/>
              <w:right w:val="single" w:sz="4" w:space="0" w:color="auto"/>
            </w:tcBorders>
            <w:shd w:val="clear" w:color="auto" w:fill="auto"/>
            <w:noWrap/>
            <w:vAlign w:val="center"/>
          </w:tcPr>
          <w:p w14:paraId="5AE86284" w14:textId="7888B28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34.7–37.0</w:t>
            </w:r>
          </w:p>
        </w:tc>
        <w:tc>
          <w:tcPr>
            <w:tcW w:w="841" w:type="dxa"/>
            <w:tcBorders>
              <w:top w:val="nil"/>
              <w:left w:val="nil"/>
              <w:bottom w:val="single" w:sz="4" w:space="0" w:color="auto"/>
              <w:right w:val="single" w:sz="4" w:space="0" w:color="auto"/>
            </w:tcBorders>
            <w:shd w:val="clear" w:color="auto" w:fill="auto"/>
            <w:noWrap/>
            <w:vAlign w:val="center"/>
          </w:tcPr>
          <w:p w14:paraId="20185AF7" w14:textId="2F3622B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22.4</w:t>
            </w:r>
          </w:p>
        </w:tc>
        <w:tc>
          <w:tcPr>
            <w:tcW w:w="1126" w:type="dxa"/>
            <w:tcBorders>
              <w:top w:val="nil"/>
              <w:left w:val="nil"/>
              <w:bottom w:val="single" w:sz="4" w:space="0" w:color="auto"/>
              <w:right w:val="single" w:sz="4" w:space="0" w:color="auto"/>
            </w:tcBorders>
            <w:shd w:val="clear" w:color="auto" w:fill="auto"/>
            <w:noWrap/>
            <w:vAlign w:val="center"/>
          </w:tcPr>
          <w:p w14:paraId="6166769E" w14:textId="4ADD899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28.3</w:t>
            </w:r>
          </w:p>
        </w:tc>
        <w:tc>
          <w:tcPr>
            <w:tcW w:w="850" w:type="dxa"/>
            <w:tcBorders>
              <w:top w:val="nil"/>
              <w:left w:val="nil"/>
              <w:bottom w:val="single" w:sz="4" w:space="0" w:color="auto"/>
              <w:right w:val="single" w:sz="4" w:space="0" w:color="auto"/>
            </w:tcBorders>
            <w:shd w:val="clear" w:color="auto" w:fill="auto"/>
            <w:vAlign w:val="center"/>
          </w:tcPr>
          <w:p w14:paraId="32E170C7" w14:textId="2FF41C8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51.4</w:t>
            </w:r>
          </w:p>
        </w:tc>
        <w:tc>
          <w:tcPr>
            <w:tcW w:w="1295" w:type="dxa"/>
            <w:tcBorders>
              <w:top w:val="nil"/>
              <w:left w:val="nil"/>
              <w:bottom w:val="single" w:sz="4" w:space="0" w:color="auto"/>
              <w:right w:val="single" w:sz="4" w:space="0" w:color="auto"/>
            </w:tcBorders>
            <w:shd w:val="clear" w:color="auto" w:fill="auto"/>
            <w:noWrap/>
            <w:vAlign w:val="center"/>
          </w:tcPr>
          <w:p w14:paraId="0DB052EB" w14:textId="42F83DF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100</w:t>
            </w:r>
          </w:p>
        </w:tc>
        <w:tc>
          <w:tcPr>
            <w:tcW w:w="1173" w:type="dxa"/>
            <w:tcBorders>
              <w:top w:val="nil"/>
              <w:left w:val="nil"/>
              <w:bottom w:val="single" w:sz="4" w:space="0" w:color="auto"/>
              <w:right w:val="single" w:sz="4" w:space="0" w:color="auto"/>
            </w:tcBorders>
            <w:shd w:val="clear" w:color="auto" w:fill="auto"/>
            <w:noWrap/>
            <w:vAlign w:val="center"/>
          </w:tcPr>
          <w:p w14:paraId="4069C5EE" w14:textId="486EFAE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53.1</w:t>
            </w:r>
          </w:p>
        </w:tc>
      </w:tr>
      <w:tr w:rsidR="0072387E" w:rsidRPr="008C72D8" w14:paraId="761DADCA"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54F50F53" w14:textId="649C9AF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251–300</w:t>
            </w:r>
          </w:p>
        </w:tc>
        <w:tc>
          <w:tcPr>
            <w:tcW w:w="3357" w:type="dxa"/>
            <w:tcBorders>
              <w:top w:val="nil"/>
              <w:left w:val="nil"/>
              <w:bottom w:val="single" w:sz="4" w:space="0" w:color="auto"/>
              <w:right w:val="single" w:sz="4" w:space="0" w:color="auto"/>
            </w:tcBorders>
            <w:shd w:val="clear" w:color="000000" w:fill="E7E6E6"/>
            <w:noWrap/>
            <w:vAlign w:val="center"/>
          </w:tcPr>
          <w:p w14:paraId="5859BA11" w14:textId="66F25CF5"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Barcelona</w:t>
            </w:r>
          </w:p>
        </w:tc>
        <w:tc>
          <w:tcPr>
            <w:tcW w:w="834" w:type="dxa"/>
            <w:tcBorders>
              <w:top w:val="nil"/>
              <w:left w:val="nil"/>
              <w:bottom w:val="single" w:sz="4" w:space="0" w:color="auto"/>
              <w:right w:val="single" w:sz="4" w:space="0" w:color="auto"/>
            </w:tcBorders>
            <w:shd w:val="clear" w:color="000000" w:fill="E7E6E6"/>
            <w:vAlign w:val="center"/>
          </w:tcPr>
          <w:p w14:paraId="054412FE" w14:textId="7AE511A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1F995492" w14:textId="40E3D83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34.7–37.0</w:t>
            </w:r>
          </w:p>
        </w:tc>
        <w:tc>
          <w:tcPr>
            <w:tcW w:w="841" w:type="dxa"/>
            <w:tcBorders>
              <w:top w:val="nil"/>
              <w:left w:val="nil"/>
              <w:bottom w:val="single" w:sz="4" w:space="0" w:color="auto"/>
              <w:right w:val="single" w:sz="4" w:space="0" w:color="auto"/>
            </w:tcBorders>
            <w:shd w:val="clear" w:color="000000" w:fill="E7E6E6"/>
            <w:noWrap/>
            <w:vAlign w:val="center"/>
          </w:tcPr>
          <w:p w14:paraId="584E24A7" w14:textId="7FE9881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38.3</w:t>
            </w:r>
          </w:p>
        </w:tc>
        <w:tc>
          <w:tcPr>
            <w:tcW w:w="1126" w:type="dxa"/>
            <w:tcBorders>
              <w:top w:val="nil"/>
              <w:left w:val="nil"/>
              <w:bottom w:val="single" w:sz="4" w:space="0" w:color="auto"/>
              <w:right w:val="single" w:sz="4" w:space="0" w:color="auto"/>
            </w:tcBorders>
            <w:shd w:val="clear" w:color="000000" w:fill="E7E6E6"/>
            <w:noWrap/>
            <w:vAlign w:val="center"/>
          </w:tcPr>
          <w:p w14:paraId="48E0FCAD" w14:textId="3D16043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23.8</w:t>
            </w:r>
          </w:p>
        </w:tc>
        <w:tc>
          <w:tcPr>
            <w:tcW w:w="850" w:type="dxa"/>
            <w:tcBorders>
              <w:top w:val="nil"/>
              <w:left w:val="nil"/>
              <w:bottom w:val="single" w:sz="4" w:space="0" w:color="auto"/>
              <w:right w:val="single" w:sz="4" w:space="0" w:color="auto"/>
            </w:tcBorders>
            <w:shd w:val="clear" w:color="000000" w:fill="E7E6E6"/>
            <w:vAlign w:val="center"/>
          </w:tcPr>
          <w:p w14:paraId="7A4A42CC" w14:textId="10AB83C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48.5</w:t>
            </w:r>
          </w:p>
        </w:tc>
        <w:tc>
          <w:tcPr>
            <w:tcW w:w="1295" w:type="dxa"/>
            <w:tcBorders>
              <w:top w:val="nil"/>
              <w:left w:val="nil"/>
              <w:bottom w:val="single" w:sz="4" w:space="0" w:color="auto"/>
              <w:right w:val="single" w:sz="4" w:space="0" w:color="auto"/>
            </w:tcBorders>
            <w:shd w:val="clear" w:color="000000" w:fill="E7E6E6"/>
            <w:noWrap/>
            <w:vAlign w:val="center"/>
          </w:tcPr>
          <w:p w14:paraId="0DF19708" w14:textId="1EEB10B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37.5</w:t>
            </w:r>
          </w:p>
        </w:tc>
        <w:tc>
          <w:tcPr>
            <w:tcW w:w="1173" w:type="dxa"/>
            <w:tcBorders>
              <w:top w:val="nil"/>
              <w:left w:val="nil"/>
              <w:bottom w:val="single" w:sz="4" w:space="0" w:color="auto"/>
              <w:right w:val="single" w:sz="4" w:space="0" w:color="auto"/>
            </w:tcBorders>
            <w:shd w:val="clear" w:color="000000" w:fill="E7E6E6"/>
            <w:noWrap/>
            <w:vAlign w:val="center"/>
          </w:tcPr>
          <w:p w14:paraId="083BB865" w14:textId="3AECB80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45.7</w:t>
            </w:r>
          </w:p>
        </w:tc>
      </w:tr>
      <w:tr w:rsidR="0072387E" w:rsidRPr="008C72D8" w14:paraId="4116612A"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BA119F0" w14:textId="265DFC2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251–300</w:t>
            </w:r>
          </w:p>
        </w:tc>
        <w:tc>
          <w:tcPr>
            <w:tcW w:w="3357" w:type="dxa"/>
            <w:tcBorders>
              <w:top w:val="nil"/>
              <w:left w:val="nil"/>
              <w:bottom w:val="single" w:sz="4" w:space="0" w:color="auto"/>
              <w:right w:val="single" w:sz="4" w:space="0" w:color="auto"/>
            </w:tcBorders>
            <w:shd w:val="clear" w:color="auto" w:fill="auto"/>
            <w:noWrap/>
            <w:vAlign w:val="center"/>
          </w:tcPr>
          <w:p w14:paraId="1E6CFA42" w14:textId="7E9F42CD"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Campinas</w:t>
            </w:r>
          </w:p>
        </w:tc>
        <w:tc>
          <w:tcPr>
            <w:tcW w:w="834" w:type="dxa"/>
            <w:tcBorders>
              <w:top w:val="nil"/>
              <w:left w:val="nil"/>
              <w:bottom w:val="single" w:sz="4" w:space="0" w:color="auto"/>
              <w:right w:val="single" w:sz="4" w:space="0" w:color="auto"/>
            </w:tcBorders>
            <w:shd w:val="clear" w:color="auto" w:fill="auto"/>
            <w:vAlign w:val="center"/>
          </w:tcPr>
          <w:p w14:paraId="55C9895F" w14:textId="3ED29C1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Brasil</w:t>
            </w:r>
          </w:p>
        </w:tc>
        <w:tc>
          <w:tcPr>
            <w:tcW w:w="1044" w:type="dxa"/>
            <w:tcBorders>
              <w:top w:val="nil"/>
              <w:left w:val="nil"/>
              <w:bottom w:val="single" w:sz="4" w:space="0" w:color="auto"/>
              <w:right w:val="single" w:sz="4" w:space="0" w:color="auto"/>
            </w:tcBorders>
            <w:shd w:val="clear" w:color="auto" w:fill="auto"/>
            <w:noWrap/>
            <w:vAlign w:val="center"/>
          </w:tcPr>
          <w:p w14:paraId="2FA7E1B9" w14:textId="30BC2F9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34.7–37.0</w:t>
            </w:r>
          </w:p>
        </w:tc>
        <w:tc>
          <w:tcPr>
            <w:tcW w:w="841" w:type="dxa"/>
            <w:tcBorders>
              <w:top w:val="nil"/>
              <w:left w:val="nil"/>
              <w:bottom w:val="single" w:sz="4" w:space="0" w:color="auto"/>
              <w:right w:val="single" w:sz="4" w:space="0" w:color="auto"/>
            </w:tcBorders>
            <w:shd w:val="clear" w:color="auto" w:fill="auto"/>
            <w:noWrap/>
            <w:vAlign w:val="center"/>
          </w:tcPr>
          <w:p w14:paraId="568B3260" w14:textId="3E7ACE5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37.9</w:t>
            </w:r>
          </w:p>
        </w:tc>
        <w:tc>
          <w:tcPr>
            <w:tcW w:w="1126" w:type="dxa"/>
            <w:tcBorders>
              <w:top w:val="nil"/>
              <w:left w:val="nil"/>
              <w:bottom w:val="single" w:sz="4" w:space="0" w:color="auto"/>
              <w:right w:val="single" w:sz="4" w:space="0" w:color="auto"/>
            </w:tcBorders>
            <w:shd w:val="clear" w:color="auto" w:fill="auto"/>
            <w:noWrap/>
            <w:vAlign w:val="center"/>
          </w:tcPr>
          <w:p w14:paraId="3518613F" w14:textId="084B67B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32.8</w:t>
            </w:r>
          </w:p>
        </w:tc>
        <w:tc>
          <w:tcPr>
            <w:tcW w:w="850" w:type="dxa"/>
            <w:tcBorders>
              <w:top w:val="nil"/>
              <w:left w:val="nil"/>
              <w:bottom w:val="single" w:sz="4" w:space="0" w:color="auto"/>
              <w:right w:val="single" w:sz="4" w:space="0" w:color="auto"/>
            </w:tcBorders>
            <w:shd w:val="clear" w:color="auto" w:fill="auto"/>
            <w:vAlign w:val="center"/>
          </w:tcPr>
          <w:p w14:paraId="03577599" w14:textId="4FD72F4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37.8</w:t>
            </w:r>
          </w:p>
        </w:tc>
        <w:tc>
          <w:tcPr>
            <w:tcW w:w="1295" w:type="dxa"/>
            <w:tcBorders>
              <w:top w:val="nil"/>
              <w:left w:val="nil"/>
              <w:bottom w:val="single" w:sz="4" w:space="0" w:color="auto"/>
              <w:right w:val="single" w:sz="4" w:space="0" w:color="auto"/>
            </w:tcBorders>
            <w:shd w:val="clear" w:color="auto" w:fill="auto"/>
            <w:noWrap/>
            <w:vAlign w:val="center"/>
          </w:tcPr>
          <w:p w14:paraId="4D471B8A" w14:textId="0D3D6F1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34.1</w:t>
            </w:r>
          </w:p>
        </w:tc>
        <w:tc>
          <w:tcPr>
            <w:tcW w:w="1173" w:type="dxa"/>
            <w:tcBorders>
              <w:top w:val="nil"/>
              <w:left w:val="nil"/>
              <w:bottom w:val="single" w:sz="4" w:space="0" w:color="auto"/>
              <w:right w:val="single" w:sz="4" w:space="0" w:color="auto"/>
            </w:tcBorders>
            <w:shd w:val="clear" w:color="auto" w:fill="auto"/>
            <w:noWrap/>
            <w:vAlign w:val="center"/>
          </w:tcPr>
          <w:p w14:paraId="3BF8565F" w14:textId="08DAA27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28.2</w:t>
            </w:r>
          </w:p>
        </w:tc>
      </w:tr>
      <w:tr w:rsidR="0072387E" w:rsidRPr="008C72D8" w14:paraId="5AACB581"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129A5C41" w14:textId="4697670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251–300</w:t>
            </w:r>
          </w:p>
        </w:tc>
        <w:tc>
          <w:tcPr>
            <w:tcW w:w="3357" w:type="dxa"/>
            <w:tcBorders>
              <w:top w:val="nil"/>
              <w:left w:val="nil"/>
              <w:bottom w:val="single" w:sz="4" w:space="0" w:color="auto"/>
              <w:right w:val="single" w:sz="4" w:space="0" w:color="auto"/>
            </w:tcBorders>
            <w:shd w:val="clear" w:color="000000" w:fill="E7E6E6"/>
            <w:noWrap/>
            <w:vAlign w:val="center"/>
          </w:tcPr>
          <w:p w14:paraId="46D1F4D7" w14:textId="395943ED"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Lérida</w:t>
            </w:r>
          </w:p>
        </w:tc>
        <w:tc>
          <w:tcPr>
            <w:tcW w:w="834" w:type="dxa"/>
            <w:tcBorders>
              <w:top w:val="nil"/>
              <w:left w:val="nil"/>
              <w:bottom w:val="single" w:sz="4" w:space="0" w:color="auto"/>
              <w:right w:val="single" w:sz="4" w:space="0" w:color="auto"/>
            </w:tcBorders>
            <w:shd w:val="clear" w:color="000000" w:fill="E7E6E6"/>
            <w:vAlign w:val="center"/>
          </w:tcPr>
          <w:p w14:paraId="7FAAC407" w14:textId="308FABA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552F3E46" w14:textId="12B8BCE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34.7–37.0</w:t>
            </w:r>
          </w:p>
        </w:tc>
        <w:tc>
          <w:tcPr>
            <w:tcW w:w="841" w:type="dxa"/>
            <w:tcBorders>
              <w:top w:val="nil"/>
              <w:left w:val="nil"/>
              <w:bottom w:val="single" w:sz="4" w:space="0" w:color="auto"/>
              <w:right w:val="single" w:sz="4" w:space="0" w:color="auto"/>
            </w:tcBorders>
            <w:shd w:val="clear" w:color="000000" w:fill="E7E6E6"/>
            <w:noWrap/>
            <w:vAlign w:val="center"/>
          </w:tcPr>
          <w:p w14:paraId="1074D57B" w14:textId="543382D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23.5</w:t>
            </w:r>
          </w:p>
        </w:tc>
        <w:tc>
          <w:tcPr>
            <w:tcW w:w="1126" w:type="dxa"/>
            <w:tcBorders>
              <w:top w:val="nil"/>
              <w:left w:val="nil"/>
              <w:bottom w:val="single" w:sz="4" w:space="0" w:color="auto"/>
              <w:right w:val="single" w:sz="4" w:space="0" w:color="auto"/>
            </w:tcBorders>
            <w:shd w:val="clear" w:color="000000" w:fill="E7E6E6"/>
            <w:noWrap/>
            <w:vAlign w:val="center"/>
          </w:tcPr>
          <w:p w14:paraId="6D2E7F30" w14:textId="57306B2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23</w:t>
            </w:r>
          </w:p>
        </w:tc>
        <w:tc>
          <w:tcPr>
            <w:tcW w:w="850" w:type="dxa"/>
            <w:tcBorders>
              <w:top w:val="nil"/>
              <w:left w:val="nil"/>
              <w:bottom w:val="single" w:sz="4" w:space="0" w:color="auto"/>
              <w:right w:val="single" w:sz="4" w:space="0" w:color="auto"/>
            </w:tcBorders>
            <w:shd w:val="clear" w:color="000000" w:fill="E7E6E6"/>
            <w:vAlign w:val="center"/>
          </w:tcPr>
          <w:p w14:paraId="2BD2346C" w14:textId="778B44E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74.6</w:t>
            </w:r>
          </w:p>
        </w:tc>
        <w:tc>
          <w:tcPr>
            <w:tcW w:w="1295" w:type="dxa"/>
            <w:tcBorders>
              <w:top w:val="nil"/>
              <w:left w:val="nil"/>
              <w:bottom w:val="single" w:sz="4" w:space="0" w:color="auto"/>
              <w:right w:val="single" w:sz="4" w:space="0" w:color="auto"/>
            </w:tcBorders>
            <w:shd w:val="clear" w:color="000000" w:fill="E7E6E6"/>
            <w:noWrap/>
            <w:vAlign w:val="center"/>
          </w:tcPr>
          <w:p w14:paraId="3A31E0F0" w14:textId="34DE4EC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38.6</w:t>
            </w:r>
          </w:p>
        </w:tc>
        <w:tc>
          <w:tcPr>
            <w:tcW w:w="1173" w:type="dxa"/>
            <w:tcBorders>
              <w:top w:val="nil"/>
              <w:left w:val="nil"/>
              <w:bottom w:val="single" w:sz="4" w:space="0" w:color="auto"/>
              <w:right w:val="single" w:sz="4" w:space="0" w:color="auto"/>
            </w:tcBorders>
            <w:shd w:val="clear" w:color="000000" w:fill="E7E6E6"/>
            <w:noWrap/>
            <w:vAlign w:val="center"/>
          </w:tcPr>
          <w:p w14:paraId="268F1887" w14:textId="4F81A0A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27</w:t>
            </w:r>
          </w:p>
        </w:tc>
      </w:tr>
      <w:tr w:rsidR="0072387E" w:rsidRPr="008C72D8" w14:paraId="01995F9F"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EBBF420" w14:textId="3AFE125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251–300</w:t>
            </w:r>
          </w:p>
        </w:tc>
        <w:tc>
          <w:tcPr>
            <w:tcW w:w="3357" w:type="dxa"/>
            <w:tcBorders>
              <w:top w:val="nil"/>
              <w:left w:val="nil"/>
              <w:bottom w:val="single" w:sz="4" w:space="0" w:color="auto"/>
              <w:right w:val="single" w:sz="4" w:space="0" w:color="auto"/>
            </w:tcBorders>
            <w:shd w:val="clear" w:color="auto" w:fill="auto"/>
            <w:noWrap/>
            <w:vAlign w:val="center"/>
          </w:tcPr>
          <w:p w14:paraId="7B91366E" w14:textId="40139436"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Rovira i Virgili</w:t>
            </w:r>
          </w:p>
        </w:tc>
        <w:tc>
          <w:tcPr>
            <w:tcW w:w="834" w:type="dxa"/>
            <w:tcBorders>
              <w:top w:val="nil"/>
              <w:left w:val="nil"/>
              <w:bottom w:val="single" w:sz="4" w:space="0" w:color="auto"/>
              <w:right w:val="single" w:sz="4" w:space="0" w:color="auto"/>
            </w:tcBorders>
            <w:shd w:val="clear" w:color="auto" w:fill="auto"/>
            <w:vAlign w:val="center"/>
          </w:tcPr>
          <w:p w14:paraId="0CE20CC1" w14:textId="4A29C35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57100614" w14:textId="3F36E34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34.7–37.0</w:t>
            </w:r>
          </w:p>
        </w:tc>
        <w:tc>
          <w:tcPr>
            <w:tcW w:w="841" w:type="dxa"/>
            <w:tcBorders>
              <w:top w:val="nil"/>
              <w:left w:val="nil"/>
              <w:bottom w:val="single" w:sz="4" w:space="0" w:color="auto"/>
              <w:right w:val="single" w:sz="4" w:space="0" w:color="auto"/>
            </w:tcBorders>
            <w:shd w:val="clear" w:color="auto" w:fill="auto"/>
            <w:noWrap/>
            <w:vAlign w:val="center"/>
          </w:tcPr>
          <w:p w14:paraId="1CC60F6D" w14:textId="37B8EC8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13.8</w:t>
            </w:r>
          </w:p>
        </w:tc>
        <w:tc>
          <w:tcPr>
            <w:tcW w:w="1126" w:type="dxa"/>
            <w:tcBorders>
              <w:top w:val="nil"/>
              <w:left w:val="nil"/>
              <w:bottom w:val="single" w:sz="4" w:space="0" w:color="auto"/>
              <w:right w:val="single" w:sz="4" w:space="0" w:color="auto"/>
            </w:tcBorders>
            <w:shd w:val="clear" w:color="auto" w:fill="auto"/>
            <w:noWrap/>
            <w:vAlign w:val="center"/>
          </w:tcPr>
          <w:p w14:paraId="754A7A1F" w14:textId="4C56246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19</w:t>
            </w:r>
          </w:p>
        </w:tc>
        <w:tc>
          <w:tcPr>
            <w:tcW w:w="850" w:type="dxa"/>
            <w:tcBorders>
              <w:top w:val="nil"/>
              <w:left w:val="nil"/>
              <w:bottom w:val="single" w:sz="4" w:space="0" w:color="auto"/>
              <w:right w:val="single" w:sz="4" w:space="0" w:color="auto"/>
            </w:tcBorders>
            <w:shd w:val="clear" w:color="auto" w:fill="auto"/>
            <w:vAlign w:val="center"/>
          </w:tcPr>
          <w:p w14:paraId="453BF9F0" w14:textId="1FBF297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80.3</w:t>
            </w:r>
          </w:p>
        </w:tc>
        <w:tc>
          <w:tcPr>
            <w:tcW w:w="1295" w:type="dxa"/>
            <w:tcBorders>
              <w:top w:val="nil"/>
              <w:left w:val="nil"/>
              <w:bottom w:val="single" w:sz="4" w:space="0" w:color="auto"/>
              <w:right w:val="single" w:sz="4" w:space="0" w:color="auto"/>
            </w:tcBorders>
            <w:shd w:val="clear" w:color="auto" w:fill="auto"/>
            <w:noWrap/>
            <w:vAlign w:val="center"/>
          </w:tcPr>
          <w:p w14:paraId="28F03DA3" w14:textId="03A7380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34.7</w:t>
            </w:r>
          </w:p>
        </w:tc>
        <w:tc>
          <w:tcPr>
            <w:tcW w:w="1173" w:type="dxa"/>
            <w:tcBorders>
              <w:top w:val="nil"/>
              <w:left w:val="nil"/>
              <w:bottom w:val="single" w:sz="4" w:space="0" w:color="auto"/>
              <w:right w:val="single" w:sz="4" w:space="0" w:color="auto"/>
            </w:tcBorders>
            <w:shd w:val="clear" w:color="auto" w:fill="auto"/>
            <w:noWrap/>
            <w:vAlign w:val="center"/>
          </w:tcPr>
          <w:p w14:paraId="23795AB4" w14:textId="411CAD3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44.2</w:t>
            </w:r>
          </w:p>
        </w:tc>
      </w:tr>
      <w:tr w:rsidR="0072387E" w:rsidRPr="008C72D8" w14:paraId="7FFE0360"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73F5FB06" w14:textId="042F21C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301–400</w:t>
            </w:r>
          </w:p>
        </w:tc>
        <w:tc>
          <w:tcPr>
            <w:tcW w:w="3357" w:type="dxa"/>
            <w:tcBorders>
              <w:top w:val="nil"/>
              <w:left w:val="nil"/>
              <w:bottom w:val="single" w:sz="4" w:space="0" w:color="auto"/>
              <w:right w:val="single" w:sz="4" w:space="0" w:color="auto"/>
            </w:tcBorders>
            <w:shd w:val="clear" w:color="000000" w:fill="E7E6E6"/>
            <w:noWrap/>
            <w:vAlign w:val="center"/>
          </w:tcPr>
          <w:p w14:paraId="3EAC1216" w14:textId="1F2FAB9B"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Pontificia Universidad Católica de Río de Janeiro</w:t>
            </w:r>
          </w:p>
        </w:tc>
        <w:tc>
          <w:tcPr>
            <w:tcW w:w="834" w:type="dxa"/>
            <w:tcBorders>
              <w:top w:val="nil"/>
              <w:left w:val="nil"/>
              <w:bottom w:val="single" w:sz="4" w:space="0" w:color="auto"/>
              <w:right w:val="single" w:sz="4" w:space="0" w:color="auto"/>
            </w:tcBorders>
            <w:shd w:val="clear" w:color="000000" w:fill="E7E6E6"/>
            <w:vAlign w:val="center"/>
          </w:tcPr>
          <w:p w14:paraId="6A3EB393" w14:textId="02D72AC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Brasil</w:t>
            </w:r>
          </w:p>
        </w:tc>
        <w:tc>
          <w:tcPr>
            <w:tcW w:w="1044" w:type="dxa"/>
            <w:tcBorders>
              <w:top w:val="nil"/>
              <w:left w:val="nil"/>
              <w:bottom w:val="single" w:sz="4" w:space="0" w:color="auto"/>
              <w:right w:val="single" w:sz="4" w:space="0" w:color="auto"/>
            </w:tcBorders>
            <w:shd w:val="clear" w:color="000000" w:fill="E7E6E6"/>
            <w:noWrap/>
            <w:vAlign w:val="center"/>
          </w:tcPr>
          <w:p w14:paraId="027C0997" w14:textId="139018F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30.0–34.6</w:t>
            </w:r>
          </w:p>
        </w:tc>
        <w:tc>
          <w:tcPr>
            <w:tcW w:w="841" w:type="dxa"/>
            <w:tcBorders>
              <w:top w:val="nil"/>
              <w:left w:val="nil"/>
              <w:bottom w:val="single" w:sz="4" w:space="0" w:color="auto"/>
              <w:right w:val="single" w:sz="4" w:space="0" w:color="auto"/>
            </w:tcBorders>
            <w:shd w:val="clear" w:color="000000" w:fill="E7E6E6"/>
            <w:noWrap/>
            <w:vAlign w:val="center"/>
          </w:tcPr>
          <w:p w14:paraId="6B888AA5" w14:textId="1A1A6FF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20.5</w:t>
            </w:r>
          </w:p>
        </w:tc>
        <w:tc>
          <w:tcPr>
            <w:tcW w:w="1126" w:type="dxa"/>
            <w:tcBorders>
              <w:top w:val="nil"/>
              <w:left w:val="nil"/>
              <w:bottom w:val="single" w:sz="4" w:space="0" w:color="auto"/>
              <w:right w:val="single" w:sz="4" w:space="0" w:color="auto"/>
            </w:tcBorders>
            <w:shd w:val="clear" w:color="000000" w:fill="E7E6E6"/>
            <w:noWrap/>
            <w:vAlign w:val="center"/>
          </w:tcPr>
          <w:p w14:paraId="703BBCE6" w14:textId="0345EBA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10.8</w:t>
            </w:r>
          </w:p>
        </w:tc>
        <w:tc>
          <w:tcPr>
            <w:tcW w:w="850" w:type="dxa"/>
            <w:tcBorders>
              <w:top w:val="nil"/>
              <w:left w:val="nil"/>
              <w:bottom w:val="single" w:sz="4" w:space="0" w:color="auto"/>
              <w:right w:val="single" w:sz="4" w:space="0" w:color="auto"/>
            </w:tcBorders>
            <w:shd w:val="clear" w:color="000000" w:fill="E7E6E6"/>
            <w:vAlign w:val="center"/>
          </w:tcPr>
          <w:p w14:paraId="3ECAB61F" w14:textId="2C6D99B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63</w:t>
            </w:r>
          </w:p>
        </w:tc>
        <w:tc>
          <w:tcPr>
            <w:tcW w:w="1295" w:type="dxa"/>
            <w:tcBorders>
              <w:top w:val="nil"/>
              <w:left w:val="nil"/>
              <w:bottom w:val="single" w:sz="4" w:space="0" w:color="auto"/>
              <w:right w:val="single" w:sz="4" w:space="0" w:color="auto"/>
            </w:tcBorders>
            <w:shd w:val="clear" w:color="000000" w:fill="E7E6E6"/>
            <w:noWrap/>
            <w:vAlign w:val="center"/>
          </w:tcPr>
          <w:p w14:paraId="01B992C4" w14:textId="03ADEE1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71.1</w:t>
            </w:r>
          </w:p>
        </w:tc>
        <w:tc>
          <w:tcPr>
            <w:tcW w:w="1173" w:type="dxa"/>
            <w:tcBorders>
              <w:top w:val="nil"/>
              <w:left w:val="nil"/>
              <w:bottom w:val="single" w:sz="4" w:space="0" w:color="auto"/>
              <w:right w:val="single" w:sz="4" w:space="0" w:color="auto"/>
            </w:tcBorders>
            <w:shd w:val="clear" w:color="000000" w:fill="E7E6E6"/>
            <w:noWrap/>
            <w:vAlign w:val="center"/>
          </w:tcPr>
          <w:p w14:paraId="474011F7" w14:textId="42941AE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37</w:t>
            </w:r>
          </w:p>
        </w:tc>
      </w:tr>
      <w:tr w:rsidR="0072387E" w:rsidRPr="008C72D8" w14:paraId="0D8C4229"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ED47821" w14:textId="7C9CBD5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301–400</w:t>
            </w:r>
          </w:p>
        </w:tc>
        <w:tc>
          <w:tcPr>
            <w:tcW w:w="3357" w:type="dxa"/>
            <w:tcBorders>
              <w:top w:val="nil"/>
              <w:left w:val="nil"/>
              <w:bottom w:val="single" w:sz="4" w:space="0" w:color="auto"/>
              <w:right w:val="single" w:sz="4" w:space="0" w:color="auto"/>
            </w:tcBorders>
            <w:shd w:val="clear" w:color="auto" w:fill="auto"/>
            <w:noWrap/>
            <w:vAlign w:val="center"/>
          </w:tcPr>
          <w:p w14:paraId="48116660" w14:textId="2419345C"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Nacional Autónoma de México</w:t>
            </w:r>
          </w:p>
        </w:tc>
        <w:tc>
          <w:tcPr>
            <w:tcW w:w="834" w:type="dxa"/>
            <w:tcBorders>
              <w:top w:val="nil"/>
              <w:left w:val="nil"/>
              <w:bottom w:val="single" w:sz="4" w:space="0" w:color="auto"/>
              <w:right w:val="single" w:sz="4" w:space="0" w:color="auto"/>
            </w:tcBorders>
            <w:shd w:val="clear" w:color="auto" w:fill="auto"/>
            <w:vAlign w:val="center"/>
          </w:tcPr>
          <w:p w14:paraId="5E91494A" w14:textId="75FA814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México</w:t>
            </w:r>
          </w:p>
        </w:tc>
        <w:tc>
          <w:tcPr>
            <w:tcW w:w="1044" w:type="dxa"/>
            <w:tcBorders>
              <w:top w:val="nil"/>
              <w:left w:val="nil"/>
              <w:bottom w:val="single" w:sz="4" w:space="0" w:color="auto"/>
              <w:right w:val="single" w:sz="4" w:space="0" w:color="auto"/>
            </w:tcBorders>
            <w:shd w:val="clear" w:color="auto" w:fill="auto"/>
            <w:noWrap/>
            <w:vAlign w:val="center"/>
          </w:tcPr>
          <w:p w14:paraId="06B5829D" w14:textId="263DF15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30.0–34.6</w:t>
            </w:r>
          </w:p>
        </w:tc>
        <w:tc>
          <w:tcPr>
            <w:tcW w:w="841" w:type="dxa"/>
            <w:tcBorders>
              <w:top w:val="nil"/>
              <w:left w:val="nil"/>
              <w:bottom w:val="single" w:sz="4" w:space="0" w:color="auto"/>
              <w:right w:val="single" w:sz="4" w:space="0" w:color="auto"/>
            </w:tcBorders>
            <w:shd w:val="clear" w:color="auto" w:fill="auto"/>
            <w:noWrap/>
            <w:vAlign w:val="center"/>
          </w:tcPr>
          <w:p w14:paraId="7C6075A2" w14:textId="3161206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37.7</w:t>
            </w:r>
          </w:p>
        </w:tc>
        <w:tc>
          <w:tcPr>
            <w:tcW w:w="1126" w:type="dxa"/>
            <w:tcBorders>
              <w:top w:val="nil"/>
              <w:left w:val="nil"/>
              <w:bottom w:val="single" w:sz="4" w:space="0" w:color="auto"/>
              <w:right w:val="single" w:sz="4" w:space="0" w:color="auto"/>
            </w:tcBorders>
            <w:shd w:val="clear" w:color="auto" w:fill="auto"/>
            <w:noWrap/>
            <w:vAlign w:val="center"/>
          </w:tcPr>
          <w:p w14:paraId="1B8DB553" w14:textId="7623E76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28.2</w:t>
            </w:r>
          </w:p>
        </w:tc>
        <w:tc>
          <w:tcPr>
            <w:tcW w:w="850" w:type="dxa"/>
            <w:tcBorders>
              <w:top w:val="nil"/>
              <w:left w:val="nil"/>
              <w:bottom w:val="single" w:sz="4" w:space="0" w:color="auto"/>
              <w:right w:val="single" w:sz="4" w:space="0" w:color="auto"/>
            </w:tcBorders>
            <w:shd w:val="clear" w:color="auto" w:fill="auto"/>
            <w:vAlign w:val="center"/>
          </w:tcPr>
          <w:p w14:paraId="2671F32B" w14:textId="5A7237A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24.9</w:t>
            </w:r>
          </w:p>
        </w:tc>
        <w:tc>
          <w:tcPr>
            <w:tcW w:w="1295" w:type="dxa"/>
            <w:tcBorders>
              <w:top w:val="nil"/>
              <w:left w:val="nil"/>
              <w:bottom w:val="single" w:sz="4" w:space="0" w:color="auto"/>
              <w:right w:val="single" w:sz="4" w:space="0" w:color="auto"/>
            </w:tcBorders>
            <w:shd w:val="clear" w:color="auto" w:fill="auto"/>
            <w:noWrap/>
            <w:vAlign w:val="center"/>
          </w:tcPr>
          <w:p w14:paraId="7C8A6D11" w14:textId="6ACE19F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88.4</w:t>
            </w:r>
          </w:p>
        </w:tc>
        <w:tc>
          <w:tcPr>
            <w:tcW w:w="1173" w:type="dxa"/>
            <w:tcBorders>
              <w:top w:val="nil"/>
              <w:left w:val="nil"/>
              <w:bottom w:val="single" w:sz="4" w:space="0" w:color="auto"/>
              <w:right w:val="single" w:sz="4" w:space="0" w:color="auto"/>
            </w:tcBorders>
            <w:shd w:val="clear" w:color="auto" w:fill="auto"/>
            <w:noWrap/>
            <w:vAlign w:val="center"/>
          </w:tcPr>
          <w:p w14:paraId="65872B12" w14:textId="7FC8300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42.6</w:t>
            </w:r>
          </w:p>
        </w:tc>
      </w:tr>
    </w:tbl>
    <w:p w14:paraId="77F69110" w14:textId="570F7DC4" w:rsidR="0024082E" w:rsidRPr="008C72D8" w:rsidRDefault="0024082E" w:rsidP="0078703F">
      <w:pPr>
        <w:spacing w:line="240" w:lineRule="auto"/>
      </w:pPr>
    </w:p>
    <w:tbl>
      <w:tblPr>
        <w:tblW w:w="11321" w:type="dxa"/>
        <w:jc w:val="center"/>
        <w:tblCellMar>
          <w:left w:w="70" w:type="dxa"/>
          <w:right w:w="70" w:type="dxa"/>
        </w:tblCellMar>
        <w:tblLook w:val="04A0" w:firstRow="1" w:lastRow="0" w:firstColumn="1" w:lastColumn="0" w:noHBand="0" w:noVBand="1"/>
      </w:tblPr>
      <w:tblGrid>
        <w:gridCol w:w="801"/>
        <w:gridCol w:w="3357"/>
        <w:gridCol w:w="896"/>
        <w:gridCol w:w="1044"/>
        <w:gridCol w:w="841"/>
        <w:gridCol w:w="1126"/>
        <w:gridCol w:w="788"/>
        <w:gridCol w:w="1295"/>
        <w:gridCol w:w="1173"/>
      </w:tblGrid>
      <w:tr w:rsidR="00810B7C" w:rsidRPr="008C72D8" w14:paraId="3BBDB8D5" w14:textId="77777777" w:rsidTr="0081233E">
        <w:trPr>
          <w:trHeight w:val="298"/>
          <w:jc w:val="center"/>
        </w:trPr>
        <w:tc>
          <w:tcPr>
            <w:tcW w:w="11321" w:type="dxa"/>
            <w:gridSpan w:val="9"/>
            <w:tcBorders>
              <w:top w:val="nil"/>
              <w:left w:val="nil"/>
              <w:bottom w:val="single" w:sz="4" w:space="0" w:color="auto"/>
              <w:right w:val="nil"/>
            </w:tcBorders>
            <w:shd w:val="clear" w:color="auto" w:fill="auto"/>
            <w:vAlign w:val="center"/>
            <w:hideMark/>
          </w:tcPr>
          <w:p w14:paraId="3671830F" w14:textId="62ECB3D9" w:rsidR="00810B7C" w:rsidRPr="008C72D8" w:rsidRDefault="00810B7C" w:rsidP="0078703F">
            <w:pPr>
              <w:spacing w:line="240" w:lineRule="auto"/>
              <w:jc w:val="center"/>
              <w:rPr>
                <w:rFonts w:ascii="Calibri" w:eastAsia="Times New Roman" w:hAnsi="Calibri" w:cs="Calibri"/>
                <w:b/>
                <w:bCs/>
                <w:color w:val="000000"/>
                <w:sz w:val="20"/>
                <w:szCs w:val="20"/>
                <w:lang w:eastAsia="es-MX"/>
              </w:rPr>
            </w:pPr>
            <w:r w:rsidRPr="008C72D8">
              <w:rPr>
                <w:rFonts w:ascii="Calibri" w:eastAsia="Times New Roman" w:hAnsi="Calibri" w:cs="Calibri"/>
                <w:b/>
                <w:bCs/>
                <w:color w:val="000000"/>
                <w:sz w:val="20"/>
                <w:szCs w:val="20"/>
                <w:lang w:eastAsia="es-MX"/>
              </w:rPr>
              <w:t xml:space="preserve">Tabla </w:t>
            </w:r>
            <w:r w:rsidR="0024082E" w:rsidRPr="008C72D8">
              <w:rPr>
                <w:rFonts w:ascii="Calibri" w:eastAsia="Times New Roman" w:hAnsi="Calibri" w:cs="Calibri"/>
                <w:b/>
                <w:bCs/>
                <w:color w:val="000000"/>
                <w:sz w:val="20"/>
                <w:szCs w:val="20"/>
                <w:lang w:eastAsia="es-MX"/>
              </w:rPr>
              <w:t>6</w:t>
            </w:r>
            <w:r w:rsidRPr="008C72D8">
              <w:rPr>
                <w:rFonts w:ascii="Calibri" w:eastAsia="Times New Roman" w:hAnsi="Calibri" w:cs="Calibri"/>
                <w:b/>
                <w:bCs/>
                <w:color w:val="000000"/>
                <w:sz w:val="20"/>
                <w:szCs w:val="20"/>
                <w:lang w:eastAsia="es-MX"/>
              </w:rPr>
              <w:t xml:space="preserve">. Posición de las universidades iberoamericanas </w:t>
            </w:r>
            <w:r w:rsidR="0072387E">
              <w:rPr>
                <w:rFonts w:ascii="Calibri" w:eastAsia="Times New Roman" w:hAnsi="Calibri" w:cs="Calibri"/>
                <w:b/>
                <w:bCs/>
                <w:color w:val="000000"/>
                <w:sz w:val="20"/>
                <w:szCs w:val="20"/>
                <w:lang w:eastAsia="es-MX"/>
              </w:rPr>
              <w:t xml:space="preserve">en el TOP 10 </w:t>
            </w:r>
            <w:r w:rsidRPr="008C72D8">
              <w:rPr>
                <w:rFonts w:ascii="Calibri" w:eastAsia="Times New Roman" w:hAnsi="Calibri" w:cs="Calibri"/>
                <w:b/>
                <w:bCs/>
                <w:color w:val="000000"/>
                <w:sz w:val="20"/>
                <w:szCs w:val="20"/>
                <w:lang w:eastAsia="es-MX"/>
              </w:rPr>
              <w:t xml:space="preserve">del ranking </w:t>
            </w:r>
            <w:r w:rsidR="0081233E" w:rsidRPr="008C72D8">
              <w:rPr>
                <w:rFonts w:ascii="Calibri" w:eastAsia="Times New Roman" w:hAnsi="Calibri" w:cs="Calibri"/>
                <w:b/>
                <w:bCs/>
                <w:color w:val="000000"/>
                <w:sz w:val="20"/>
                <w:szCs w:val="20"/>
                <w:lang w:eastAsia="es-MX"/>
              </w:rPr>
              <w:t xml:space="preserve">THE en el área de </w:t>
            </w:r>
            <w:r w:rsidRPr="008C72D8">
              <w:rPr>
                <w:rFonts w:ascii="Calibri" w:eastAsia="Times New Roman" w:hAnsi="Calibri" w:cs="Calibri"/>
                <w:b/>
                <w:bCs/>
                <w:color w:val="000000"/>
                <w:sz w:val="20"/>
                <w:szCs w:val="20"/>
                <w:lang w:eastAsia="es-MX"/>
              </w:rPr>
              <w:t>Psicología, 2020.</w:t>
            </w:r>
          </w:p>
        </w:tc>
      </w:tr>
      <w:tr w:rsidR="00810B7C" w:rsidRPr="008C72D8" w14:paraId="5029E8E2" w14:textId="77777777" w:rsidTr="0072387E">
        <w:trPr>
          <w:trHeight w:val="477"/>
          <w:jc w:val="center"/>
        </w:trPr>
        <w:tc>
          <w:tcPr>
            <w:tcW w:w="801" w:type="dxa"/>
            <w:tcBorders>
              <w:top w:val="nil"/>
              <w:left w:val="single" w:sz="4" w:space="0" w:color="auto"/>
              <w:bottom w:val="single" w:sz="4" w:space="0" w:color="auto"/>
              <w:right w:val="single" w:sz="4" w:space="0" w:color="auto"/>
            </w:tcBorders>
            <w:shd w:val="clear" w:color="000000" w:fill="BDD6EE"/>
            <w:vAlign w:val="center"/>
            <w:hideMark/>
          </w:tcPr>
          <w:p w14:paraId="786889CF"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Posición</w:t>
            </w:r>
          </w:p>
        </w:tc>
        <w:tc>
          <w:tcPr>
            <w:tcW w:w="3357" w:type="dxa"/>
            <w:tcBorders>
              <w:top w:val="nil"/>
              <w:left w:val="nil"/>
              <w:bottom w:val="single" w:sz="4" w:space="0" w:color="auto"/>
              <w:right w:val="single" w:sz="4" w:space="0" w:color="auto"/>
            </w:tcBorders>
            <w:shd w:val="clear" w:color="000000" w:fill="BDD6EE"/>
            <w:vAlign w:val="center"/>
            <w:hideMark/>
          </w:tcPr>
          <w:p w14:paraId="5D7BC082"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Institución</w:t>
            </w:r>
          </w:p>
        </w:tc>
        <w:tc>
          <w:tcPr>
            <w:tcW w:w="896" w:type="dxa"/>
            <w:tcBorders>
              <w:top w:val="nil"/>
              <w:left w:val="nil"/>
              <w:bottom w:val="single" w:sz="4" w:space="0" w:color="auto"/>
              <w:right w:val="single" w:sz="4" w:space="0" w:color="auto"/>
            </w:tcBorders>
            <w:shd w:val="clear" w:color="000000" w:fill="BDD6EE"/>
            <w:vAlign w:val="center"/>
            <w:hideMark/>
          </w:tcPr>
          <w:p w14:paraId="6F95343C"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País</w:t>
            </w:r>
          </w:p>
        </w:tc>
        <w:tc>
          <w:tcPr>
            <w:tcW w:w="1044" w:type="dxa"/>
            <w:tcBorders>
              <w:top w:val="nil"/>
              <w:left w:val="nil"/>
              <w:bottom w:val="single" w:sz="4" w:space="0" w:color="auto"/>
              <w:right w:val="single" w:sz="4" w:space="0" w:color="auto"/>
            </w:tcBorders>
            <w:shd w:val="clear" w:color="000000" w:fill="BDD6EE"/>
            <w:vAlign w:val="center"/>
            <w:hideMark/>
          </w:tcPr>
          <w:p w14:paraId="4A01C90C"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Puntaje General</w:t>
            </w:r>
          </w:p>
        </w:tc>
        <w:tc>
          <w:tcPr>
            <w:tcW w:w="841" w:type="dxa"/>
            <w:tcBorders>
              <w:top w:val="nil"/>
              <w:left w:val="nil"/>
              <w:bottom w:val="single" w:sz="4" w:space="0" w:color="auto"/>
              <w:right w:val="single" w:sz="4" w:space="0" w:color="auto"/>
            </w:tcBorders>
            <w:shd w:val="clear" w:color="000000" w:fill="BDD6EE"/>
            <w:vAlign w:val="center"/>
            <w:hideMark/>
          </w:tcPr>
          <w:p w14:paraId="418AB6E3"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 xml:space="preserve">Docencia </w:t>
            </w:r>
          </w:p>
        </w:tc>
        <w:tc>
          <w:tcPr>
            <w:tcW w:w="1126" w:type="dxa"/>
            <w:tcBorders>
              <w:top w:val="nil"/>
              <w:left w:val="nil"/>
              <w:bottom w:val="single" w:sz="4" w:space="0" w:color="auto"/>
              <w:right w:val="single" w:sz="4" w:space="0" w:color="auto"/>
            </w:tcBorders>
            <w:shd w:val="clear" w:color="000000" w:fill="BDD6EE"/>
            <w:vAlign w:val="center"/>
            <w:hideMark/>
          </w:tcPr>
          <w:p w14:paraId="01970107"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Investigación</w:t>
            </w:r>
          </w:p>
        </w:tc>
        <w:tc>
          <w:tcPr>
            <w:tcW w:w="788" w:type="dxa"/>
            <w:tcBorders>
              <w:top w:val="nil"/>
              <w:left w:val="nil"/>
              <w:bottom w:val="single" w:sz="4" w:space="0" w:color="auto"/>
              <w:right w:val="single" w:sz="4" w:space="0" w:color="auto"/>
            </w:tcBorders>
            <w:shd w:val="clear" w:color="000000" w:fill="BDD6EE"/>
            <w:vAlign w:val="center"/>
            <w:hideMark/>
          </w:tcPr>
          <w:p w14:paraId="190F25DD"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Citas</w:t>
            </w:r>
          </w:p>
        </w:tc>
        <w:tc>
          <w:tcPr>
            <w:tcW w:w="1295" w:type="dxa"/>
            <w:tcBorders>
              <w:top w:val="nil"/>
              <w:left w:val="nil"/>
              <w:bottom w:val="single" w:sz="4" w:space="0" w:color="auto"/>
              <w:right w:val="single" w:sz="4" w:space="0" w:color="auto"/>
            </w:tcBorders>
            <w:shd w:val="clear" w:color="000000" w:fill="BDD6EE"/>
            <w:vAlign w:val="center"/>
            <w:hideMark/>
          </w:tcPr>
          <w:p w14:paraId="752C4B3A"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 xml:space="preserve">Financiamiento de la industria </w:t>
            </w:r>
          </w:p>
        </w:tc>
        <w:tc>
          <w:tcPr>
            <w:tcW w:w="1173" w:type="dxa"/>
            <w:tcBorders>
              <w:top w:val="nil"/>
              <w:left w:val="nil"/>
              <w:bottom w:val="single" w:sz="4" w:space="0" w:color="auto"/>
              <w:right w:val="single" w:sz="4" w:space="0" w:color="auto"/>
            </w:tcBorders>
            <w:shd w:val="clear" w:color="000000" w:fill="BDD6EE"/>
            <w:vAlign w:val="center"/>
            <w:hideMark/>
          </w:tcPr>
          <w:p w14:paraId="3F4EE166"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Perspectiva internacional</w:t>
            </w:r>
          </w:p>
        </w:tc>
      </w:tr>
      <w:tr w:rsidR="0072387E" w:rsidRPr="008C72D8" w14:paraId="5210BBCA"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2D81657" w14:textId="4CE0D50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101–125</w:t>
            </w:r>
          </w:p>
        </w:tc>
        <w:tc>
          <w:tcPr>
            <w:tcW w:w="3357" w:type="dxa"/>
            <w:tcBorders>
              <w:top w:val="nil"/>
              <w:left w:val="nil"/>
              <w:bottom w:val="single" w:sz="4" w:space="0" w:color="auto"/>
              <w:right w:val="single" w:sz="4" w:space="0" w:color="auto"/>
            </w:tcBorders>
            <w:shd w:val="clear" w:color="auto" w:fill="auto"/>
            <w:noWrap/>
            <w:vAlign w:val="center"/>
          </w:tcPr>
          <w:p w14:paraId="66DE0B8D" w14:textId="6858E0E1"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Sao Paulo</w:t>
            </w:r>
          </w:p>
        </w:tc>
        <w:tc>
          <w:tcPr>
            <w:tcW w:w="896" w:type="dxa"/>
            <w:tcBorders>
              <w:top w:val="nil"/>
              <w:left w:val="nil"/>
              <w:bottom w:val="single" w:sz="4" w:space="0" w:color="auto"/>
              <w:right w:val="single" w:sz="4" w:space="0" w:color="auto"/>
            </w:tcBorders>
            <w:shd w:val="clear" w:color="auto" w:fill="auto"/>
            <w:vAlign w:val="center"/>
          </w:tcPr>
          <w:p w14:paraId="6F6E1B7A" w14:textId="34B7FD3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Brasil</w:t>
            </w:r>
          </w:p>
        </w:tc>
        <w:tc>
          <w:tcPr>
            <w:tcW w:w="1044" w:type="dxa"/>
            <w:tcBorders>
              <w:top w:val="nil"/>
              <w:left w:val="nil"/>
              <w:bottom w:val="single" w:sz="4" w:space="0" w:color="auto"/>
              <w:right w:val="single" w:sz="4" w:space="0" w:color="auto"/>
            </w:tcBorders>
            <w:shd w:val="clear" w:color="auto" w:fill="auto"/>
            <w:noWrap/>
            <w:vAlign w:val="center"/>
          </w:tcPr>
          <w:p w14:paraId="6E210FCD" w14:textId="1179186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47.9–50.6</w:t>
            </w:r>
          </w:p>
        </w:tc>
        <w:tc>
          <w:tcPr>
            <w:tcW w:w="841" w:type="dxa"/>
            <w:tcBorders>
              <w:top w:val="nil"/>
              <w:left w:val="nil"/>
              <w:bottom w:val="single" w:sz="4" w:space="0" w:color="auto"/>
              <w:right w:val="single" w:sz="4" w:space="0" w:color="auto"/>
            </w:tcBorders>
            <w:shd w:val="clear" w:color="auto" w:fill="auto"/>
            <w:noWrap/>
            <w:vAlign w:val="center"/>
          </w:tcPr>
          <w:p w14:paraId="05682EAD" w14:textId="6DA99B2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28.8</w:t>
            </w:r>
          </w:p>
        </w:tc>
        <w:tc>
          <w:tcPr>
            <w:tcW w:w="1126" w:type="dxa"/>
            <w:tcBorders>
              <w:top w:val="nil"/>
              <w:left w:val="nil"/>
              <w:bottom w:val="single" w:sz="4" w:space="0" w:color="auto"/>
              <w:right w:val="single" w:sz="4" w:space="0" w:color="auto"/>
            </w:tcBorders>
            <w:shd w:val="clear" w:color="auto" w:fill="auto"/>
            <w:noWrap/>
            <w:vAlign w:val="center"/>
          </w:tcPr>
          <w:p w14:paraId="08D3586D" w14:textId="1EB122E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88.9</w:t>
            </w:r>
          </w:p>
        </w:tc>
        <w:tc>
          <w:tcPr>
            <w:tcW w:w="788" w:type="dxa"/>
            <w:tcBorders>
              <w:top w:val="nil"/>
              <w:left w:val="nil"/>
              <w:bottom w:val="single" w:sz="4" w:space="0" w:color="auto"/>
              <w:right w:val="single" w:sz="4" w:space="0" w:color="auto"/>
            </w:tcBorders>
            <w:shd w:val="clear" w:color="auto" w:fill="auto"/>
            <w:vAlign w:val="center"/>
          </w:tcPr>
          <w:p w14:paraId="2EF3FC34" w14:textId="0C957AC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57</w:t>
            </w:r>
          </w:p>
        </w:tc>
        <w:tc>
          <w:tcPr>
            <w:tcW w:w="1295" w:type="dxa"/>
            <w:tcBorders>
              <w:top w:val="nil"/>
              <w:left w:val="nil"/>
              <w:bottom w:val="single" w:sz="4" w:space="0" w:color="auto"/>
              <w:right w:val="single" w:sz="4" w:space="0" w:color="auto"/>
            </w:tcBorders>
            <w:shd w:val="clear" w:color="auto" w:fill="auto"/>
            <w:noWrap/>
            <w:vAlign w:val="center"/>
          </w:tcPr>
          <w:p w14:paraId="611F2FFB" w14:textId="5D94AD6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52.6</w:t>
            </w:r>
          </w:p>
        </w:tc>
        <w:tc>
          <w:tcPr>
            <w:tcW w:w="1173" w:type="dxa"/>
            <w:tcBorders>
              <w:top w:val="nil"/>
              <w:left w:val="nil"/>
              <w:bottom w:val="single" w:sz="4" w:space="0" w:color="auto"/>
              <w:right w:val="single" w:sz="4" w:space="0" w:color="auto"/>
            </w:tcBorders>
            <w:shd w:val="clear" w:color="auto" w:fill="auto"/>
            <w:noWrap/>
            <w:vAlign w:val="center"/>
          </w:tcPr>
          <w:p w14:paraId="048088E7" w14:textId="2BCCA18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38.6</w:t>
            </w:r>
          </w:p>
        </w:tc>
      </w:tr>
      <w:tr w:rsidR="0072387E" w:rsidRPr="008C72D8" w14:paraId="498CE120"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67012539" w14:textId="645DADD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126–150</w:t>
            </w:r>
          </w:p>
        </w:tc>
        <w:tc>
          <w:tcPr>
            <w:tcW w:w="3357" w:type="dxa"/>
            <w:tcBorders>
              <w:top w:val="nil"/>
              <w:left w:val="nil"/>
              <w:bottom w:val="single" w:sz="4" w:space="0" w:color="auto"/>
              <w:right w:val="single" w:sz="4" w:space="0" w:color="auto"/>
            </w:tcBorders>
            <w:shd w:val="clear" w:color="000000" w:fill="E7E6E6"/>
            <w:noWrap/>
            <w:vAlign w:val="center"/>
          </w:tcPr>
          <w:p w14:paraId="31FDEAAD" w14:textId="78E28C88"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Barcelona</w:t>
            </w:r>
          </w:p>
        </w:tc>
        <w:tc>
          <w:tcPr>
            <w:tcW w:w="896" w:type="dxa"/>
            <w:tcBorders>
              <w:top w:val="nil"/>
              <w:left w:val="nil"/>
              <w:bottom w:val="single" w:sz="4" w:space="0" w:color="auto"/>
              <w:right w:val="single" w:sz="4" w:space="0" w:color="auto"/>
            </w:tcBorders>
            <w:shd w:val="clear" w:color="000000" w:fill="E7E6E6"/>
            <w:vAlign w:val="center"/>
          </w:tcPr>
          <w:p w14:paraId="7520C90F" w14:textId="26363A8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05CE38F7" w14:textId="097080C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45.3–47.8</w:t>
            </w:r>
          </w:p>
        </w:tc>
        <w:tc>
          <w:tcPr>
            <w:tcW w:w="841" w:type="dxa"/>
            <w:tcBorders>
              <w:top w:val="nil"/>
              <w:left w:val="nil"/>
              <w:bottom w:val="single" w:sz="4" w:space="0" w:color="auto"/>
              <w:right w:val="single" w:sz="4" w:space="0" w:color="auto"/>
            </w:tcBorders>
            <w:shd w:val="clear" w:color="000000" w:fill="E7E6E6"/>
            <w:noWrap/>
            <w:vAlign w:val="center"/>
          </w:tcPr>
          <w:p w14:paraId="536C2097" w14:textId="3C09E29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52.9</w:t>
            </w:r>
          </w:p>
        </w:tc>
        <w:tc>
          <w:tcPr>
            <w:tcW w:w="1126" w:type="dxa"/>
            <w:tcBorders>
              <w:top w:val="nil"/>
              <w:left w:val="nil"/>
              <w:bottom w:val="single" w:sz="4" w:space="0" w:color="auto"/>
              <w:right w:val="single" w:sz="4" w:space="0" w:color="auto"/>
            </w:tcBorders>
            <w:shd w:val="clear" w:color="000000" w:fill="E7E6E6"/>
            <w:noWrap/>
            <w:vAlign w:val="center"/>
          </w:tcPr>
          <w:p w14:paraId="762B17EB" w14:textId="62464B1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42.8</w:t>
            </w:r>
          </w:p>
        </w:tc>
        <w:tc>
          <w:tcPr>
            <w:tcW w:w="788" w:type="dxa"/>
            <w:tcBorders>
              <w:top w:val="nil"/>
              <w:left w:val="nil"/>
              <w:bottom w:val="single" w:sz="4" w:space="0" w:color="auto"/>
              <w:right w:val="single" w:sz="4" w:space="0" w:color="auto"/>
            </w:tcBorders>
            <w:shd w:val="clear" w:color="000000" w:fill="E7E6E6"/>
            <w:vAlign w:val="center"/>
          </w:tcPr>
          <w:p w14:paraId="6E41951E" w14:textId="3DBC815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47.4</w:t>
            </w:r>
          </w:p>
        </w:tc>
        <w:tc>
          <w:tcPr>
            <w:tcW w:w="1295" w:type="dxa"/>
            <w:tcBorders>
              <w:top w:val="nil"/>
              <w:left w:val="nil"/>
              <w:bottom w:val="single" w:sz="4" w:space="0" w:color="auto"/>
              <w:right w:val="single" w:sz="4" w:space="0" w:color="auto"/>
            </w:tcBorders>
            <w:shd w:val="clear" w:color="000000" w:fill="E7E6E6"/>
            <w:noWrap/>
            <w:vAlign w:val="center"/>
          </w:tcPr>
          <w:p w14:paraId="65029EC0" w14:textId="03BA860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26.4</w:t>
            </w:r>
          </w:p>
        </w:tc>
        <w:tc>
          <w:tcPr>
            <w:tcW w:w="1173" w:type="dxa"/>
            <w:tcBorders>
              <w:top w:val="nil"/>
              <w:left w:val="nil"/>
              <w:bottom w:val="single" w:sz="4" w:space="0" w:color="auto"/>
              <w:right w:val="single" w:sz="4" w:space="0" w:color="auto"/>
            </w:tcBorders>
            <w:shd w:val="clear" w:color="000000" w:fill="E7E6E6"/>
            <w:noWrap/>
            <w:vAlign w:val="center"/>
          </w:tcPr>
          <w:p w14:paraId="30911985" w14:textId="25B38BF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57.6</w:t>
            </w:r>
          </w:p>
        </w:tc>
      </w:tr>
      <w:tr w:rsidR="0072387E" w:rsidRPr="008C72D8" w14:paraId="42B86592"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CA57259" w14:textId="740D2DA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201–250</w:t>
            </w:r>
          </w:p>
        </w:tc>
        <w:tc>
          <w:tcPr>
            <w:tcW w:w="3357" w:type="dxa"/>
            <w:tcBorders>
              <w:top w:val="nil"/>
              <w:left w:val="nil"/>
              <w:bottom w:val="single" w:sz="4" w:space="0" w:color="auto"/>
              <w:right w:val="single" w:sz="4" w:space="0" w:color="auto"/>
            </w:tcBorders>
            <w:shd w:val="clear" w:color="auto" w:fill="auto"/>
            <w:noWrap/>
            <w:vAlign w:val="center"/>
          </w:tcPr>
          <w:p w14:paraId="3220A57D" w14:textId="389DAFAB"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Instituto Universitario de Lisboa</w:t>
            </w:r>
          </w:p>
        </w:tc>
        <w:tc>
          <w:tcPr>
            <w:tcW w:w="896" w:type="dxa"/>
            <w:tcBorders>
              <w:top w:val="nil"/>
              <w:left w:val="nil"/>
              <w:bottom w:val="single" w:sz="4" w:space="0" w:color="auto"/>
              <w:right w:val="single" w:sz="4" w:space="0" w:color="auto"/>
            </w:tcBorders>
            <w:shd w:val="clear" w:color="auto" w:fill="auto"/>
            <w:vAlign w:val="center"/>
          </w:tcPr>
          <w:p w14:paraId="29796821" w14:textId="146915F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Portugal</w:t>
            </w:r>
          </w:p>
        </w:tc>
        <w:tc>
          <w:tcPr>
            <w:tcW w:w="1044" w:type="dxa"/>
            <w:tcBorders>
              <w:top w:val="nil"/>
              <w:left w:val="nil"/>
              <w:bottom w:val="single" w:sz="4" w:space="0" w:color="auto"/>
              <w:right w:val="single" w:sz="4" w:space="0" w:color="auto"/>
            </w:tcBorders>
            <w:shd w:val="clear" w:color="auto" w:fill="auto"/>
            <w:noWrap/>
            <w:vAlign w:val="center"/>
          </w:tcPr>
          <w:p w14:paraId="319C8AE9" w14:textId="1E7BFB8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36.8–40.1</w:t>
            </w:r>
          </w:p>
        </w:tc>
        <w:tc>
          <w:tcPr>
            <w:tcW w:w="841" w:type="dxa"/>
            <w:tcBorders>
              <w:top w:val="nil"/>
              <w:left w:val="nil"/>
              <w:bottom w:val="single" w:sz="4" w:space="0" w:color="auto"/>
              <w:right w:val="single" w:sz="4" w:space="0" w:color="auto"/>
            </w:tcBorders>
            <w:shd w:val="clear" w:color="auto" w:fill="auto"/>
            <w:noWrap/>
            <w:vAlign w:val="center"/>
          </w:tcPr>
          <w:p w14:paraId="5D89ED13" w14:textId="156CFAE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55.9</w:t>
            </w:r>
          </w:p>
        </w:tc>
        <w:tc>
          <w:tcPr>
            <w:tcW w:w="1126" w:type="dxa"/>
            <w:tcBorders>
              <w:top w:val="nil"/>
              <w:left w:val="nil"/>
              <w:bottom w:val="single" w:sz="4" w:space="0" w:color="auto"/>
              <w:right w:val="single" w:sz="4" w:space="0" w:color="auto"/>
            </w:tcBorders>
            <w:shd w:val="clear" w:color="auto" w:fill="auto"/>
            <w:noWrap/>
            <w:vAlign w:val="center"/>
          </w:tcPr>
          <w:p w14:paraId="0F58E957" w14:textId="10E244B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65.6</w:t>
            </w:r>
          </w:p>
        </w:tc>
        <w:tc>
          <w:tcPr>
            <w:tcW w:w="788" w:type="dxa"/>
            <w:tcBorders>
              <w:top w:val="nil"/>
              <w:left w:val="nil"/>
              <w:bottom w:val="single" w:sz="4" w:space="0" w:color="auto"/>
              <w:right w:val="single" w:sz="4" w:space="0" w:color="auto"/>
            </w:tcBorders>
            <w:shd w:val="clear" w:color="auto" w:fill="auto"/>
            <w:vAlign w:val="center"/>
          </w:tcPr>
          <w:p w14:paraId="60FC769C" w14:textId="5373D1D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11.9</w:t>
            </w:r>
          </w:p>
        </w:tc>
        <w:tc>
          <w:tcPr>
            <w:tcW w:w="1295" w:type="dxa"/>
            <w:tcBorders>
              <w:top w:val="nil"/>
              <w:left w:val="nil"/>
              <w:bottom w:val="single" w:sz="4" w:space="0" w:color="auto"/>
              <w:right w:val="single" w:sz="4" w:space="0" w:color="auto"/>
            </w:tcBorders>
            <w:shd w:val="clear" w:color="auto" w:fill="auto"/>
            <w:noWrap/>
            <w:vAlign w:val="center"/>
          </w:tcPr>
          <w:p w14:paraId="505F2DDD" w14:textId="1D44F98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16.5</w:t>
            </w:r>
          </w:p>
        </w:tc>
        <w:tc>
          <w:tcPr>
            <w:tcW w:w="1173" w:type="dxa"/>
            <w:tcBorders>
              <w:top w:val="nil"/>
              <w:left w:val="nil"/>
              <w:bottom w:val="single" w:sz="4" w:space="0" w:color="auto"/>
              <w:right w:val="single" w:sz="4" w:space="0" w:color="auto"/>
            </w:tcBorders>
            <w:shd w:val="clear" w:color="auto" w:fill="auto"/>
            <w:noWrap/>
            <w:vAlign w:val="center"/>
          </w:tcPr>
          <w:p w14:paraId="6E6F6667" w14:textId="7A253EC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66.7</w:t>
            </w:r>
          </w:p>
        </w:tc>
      </w:tr>
      <w:tr w:rsidR="0072387E" w:rsidRPr="008C72D8" w14:paraId="0365969D"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371D5819" w14:textId="01E7365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201–250</w:t>
            </w:r>
          </w:p>
        </w:tc>
        <w:tc>
          <w:tcPr>
            <w:tcW w:w="3357" w:type="dxa"/>
            <w:tcBorders>
              <w:top w:val="nil"/>
              <w:left w:val="nil"/>
              <w:bottom w:val="single" w:sz="4" w:space="0" w:color="auto"/>
              <w:right w:val="single" w:sz="4" w:space="0" w:color="auto"/>
            </w:tcBorders>
            <w:shd w:val="clear" w:color="000000" w:fill="E7E6E6"/>
            <w:noWrap/>
            <w:vAlign w:val="center"/>
          </w:tcPr>
          <w:p w14:paraId="7BC98A8C" w14:textId="1E1D32E1"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Autónoma de Barcelona</w:t>
            </w:r>
          </w:p>
        </w:tc>
        <w:tc>
          <w:tcPr>
            <w:tcW w:w="896" w:type="dxa"/>
            <w:tcBorders>
              <w:top w:val="nil"/>
              <w:left w:val="nil"/>
              <w:bottom w:val="single" w:sz="4" w:space="0" w:color="auto"/>
              <w:right w:val="single" w:sz="4" w:space="0" w:color="auto"/>
            </w:tcBorders>
            <w:shd w:val="clear" w:color="000000" w:fill="E7E6E6"/>
            <w:vAlign w:val="center"/>
          </w:tcPr>
          <w:p w14:paraId="7DD52A65" w14:textId="613591D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75C86989" w14:textId="5F28ED7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36.8–40.1</w:t>
            </w:r>
          </w:p>
        </w:tc>
        <w:tc>
          <w:tcPr>
            <w:tcW w:w="841" w:type="dxa"/>
            <w:tcBorders>
              <w:top w:val="nil"/>
              <w:left w:val="nil"/>
              <w:bottom w:val="single" w:sz="4" w:space="0" w:color="auto"/>
              <w:right w:val="single" w:sz="4" w:space="0" w:color="auto"/>
            </w:tcBorders>
            <w:shd w:val="clear" w:color="000000" w:fill="E7E6E6"/>
            <w:noWrap/>
            <w:vAlign w:val="center"/>
          </w:tcPr>
          <w:p w14:paraId="2485AEEC" w14:textId="402B2B4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48.4</w:t>
            </w:r>
          </w:p>
        </w:tc>
        <w:tc>
          <w:tcPr>
            <w:tcW w:w="1126" w:type="dxa"/>
            <w:tcBorders>
              <w:top w:val="nil"/>
              <w:left w:val="nil"/>
              <w:bottom w:val="single" w:sz="4" w:space="0" w:color="auto"/>
              <w:right w:val="single" w:sz="4" w:space="0" w:color="auto"/>
            </w:tcBorders>
            <w:shd w:val="clear" w:color="000000" w:fill="E7E6E6"/>
            <w:noWrap/>
            <w:vAlign w:val="center"/>
          </w:tcPr>
          <w:p w14:paraId="37945AD8" w14:textId="532800F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37</w:t>
            </w:r>
          </w:p>
        </w:tc>
        <w:tc>
          <w:tcPr>
            <w:tcW w:w="788" w:type="dxa"/>
            <w:tcBorders>
              <w:top w:val="nil"/>
              <w:left w:val="nil"/>
              <w:bottom w:val="single" w:sz="4" w:space="0" w:color="auto"/>
              <w:right w:val="single" w:sz="4" w:space="0" w:color="auto"/>
            </w:tcBorders>
            <w:shd w:val="clear" w:color="000000" w:fill="E7E6E6"/>
            <w:vAlign w:val="center"/>
          </w:tcPr>
          <w:p w14:paraId="516DD268" w14:textId="40BA943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35.5</w:t>
            </w:r>
          </w:p>
        </w:tc>
        <w:tc>
          <w:tcPr>
            <w:tcW w:w="1295" w:type="dxa"/>
            <w:tcBorders>
              <w:top w:val="nil"/>
              <w:left w:val="nil"/>
              <w:bottom w:val="single" w:sz="4" w:space="0" w:color="auto"/>
              <w:right w:val="single" w:sz="4" w:space="0" w:color="auto"/>
            </w:tcBorders>
            <w:shd w:val="clear" w:color="000000" w:fill="E7E6E6"/>
            <w:noWrap/>
            <w:vAlign w:val="center"/>
          </w:tcPr>
          <w:p w14:paraId="7D2DB39F" w14:textId="50D6006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22.9</w:t>
            </w:r>
          </w:p>
        </w:tc>
        <w:tc>
          <w:tcPr>
            <w:tcW w:w="1173" w:type="dxa"/>
            <w:tcBorders>
              <w:top w:val="nil"/>
              <w:left w:val="nil"/>
              <w:bottom w:val="single" w:sz="4" w:space="0" w:color="auto"/>
              <w:right w:val="single" w:sz="4" w:space="0" w:color="auto"/>
            </w:tcBorders>
            <w:shd w:val="clear" w:color="000000" w:fill="E7E6E6"/>
            <w:noWrap/>
            <w:vAlign w:val="center"/>
          </w:tcPr>
          <w:p w14:paraId="5D50E4C7" w14:textId="3CDABFF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49.8</w:t>
            </w:r>
          </w:p>
        </w:tc>
      </w:tr>
      <w:tr w:rsidR="0072387E" w:rsidRPr="008C72D8" w14:paraId="3268B993"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B4FC339" w14:textId="2F026DC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201–250</w:t>
            </w:r>
          </w:p>
        </w:tc>
        <w:tc>
          <w:tcPr>
            <w:tcW w:w="3357" w:type="dxa"/>
            <w:tcBorders>
              <w:top w:val="nil"/>
              <w:left w:val="nil"/>
              <w:bottom w:val="single" w:sz="4" w:space="0" w:color="auto"/>
              <w:right w:val="single" w:sz="4" w:space="0" w:color="auto"/>
            </w:tcBorders>
            <w:shd w:val="clear" w:color="auto" w:fill="auto"/>
            <w:noWrap/>
            <w:vAlign w:val="center"/>
          </w:tcPr>
          <w:p w14:paraId="6E0158C4" w14:textId="0B3AFE82"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Autónoma de Madrid</w:t>
            </w:r>
          </w:p>
        </w:tc>
        <w:tc>
          <w:tcPr>
            <w:tcW w:w="896" w:type="dxa"/>
            <w:tcBorders>
              <w:top w:val="nil"/>
              <w:left w:val="nil"/>
              <w:bottom w:val="single" w:sz="4" w:space="0" w:color="auto"/>
              <w:right w:val="single" w:sz="4" w:space="0" w:color="auto"/>
            </w:tcBorders>
            <w:shd w:val="clear" w:color="auto" w:fill="auto"/>
            <w:vAlign w:val="center"/>
          </w:tcPr>
          <w:p w14:paraId="44B7492B" w14:textId="71427B1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467EDB1A" w14:textId="1E78441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36.8–40.1</w:t>
            </w:r>
          </w:p>
        </w:tc>
        <w:tc>
          <w:tcPr>
            <w:tcW w:w="841" w:type="dxa"/>
            <w:tcBorders>
              <w:top w:val="nil"/>
              <w:left w:val="nil"/>
              <w:bottom w:val="single" w:sz="4" w:space="0" w:color="auto"/>
              <w:right w:val="single" w:sz="4" w:space="0" w:color="auto"/>
            </w:tcBorders>
            <w:shd w:val="clear" w:color="auto" w:fill="auto"/>
            <w:noWrap/>
            <w:vAlign w:val="center"/>
          </w:tcPr>
          <w:p w14:paraId="0BA83E2E" w14:textId="06D83AF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39.9</w:t>
            </w:r>
          </w:p>
        </w:tc>
        <w:tc>
          <w:tcPr>
            <w:tcW w:w="1126" w:type="dxa"/>
            <w:tcBorders>
              <w:top w:val="nil"/>
              <w:left w:val="nil"/>
              <w:bottom w:val="single" w:sz="4" w:space="0" w:color="auto"/>
              <w:right w:val="single" w:sz="4" w:space="0" w:color="auto"/>
            </w:tcBorders>
            <w:shd w:val="clear" w:color="auto" w:fill="auto"/>
            <w:noWrap/>
            <w:vAlign w:val="center"/>
          </w:tcPr>
          <w:p w14:paraId="506613FF" w14:textId="305BA43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39.8</w:t>
            </w:r>
          </w:p>
        </w:tc>
        <w:tc>
          <w:tcPr>
            <w:tcW w:w="788" w:type="dxa"/>
            <w:tcBorders>
              <w:top w:val="nil"/>
              <w:left w:val="nil"/>
              <w:bottom w:val="single" w:sz="4" w:space="0" w:color="auto"/>
              <w:right w:val="single" w:sz="4" w:space="0" w:color="auto"/>
            </w:tcBorders>
            <w:shd w:val="clear" w:color="auto" w:fill="auto"/>
            <w:vAlign w:val="center"/>
          </w:tcPr>
          <w:p w14:paraId="7719FAB2" w14:textId="46B7EDE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44.4</w:t>
            </w:r>
          </w:p>
        </w:tc>
        <w:tc>
          <w:tcPr>
            <w:tcW w:w="1295" w:type="dxa"/>
            <w:tcBorders>
              <w:top w:val="nil"/>
              <w:left w:val="nil"/>
              <w:bottom w:val="single" w:sz="4" w:space="0" w:color="auto"/>
              <w:right w:val="single" w:sz="4" w:space="0" w:color="auto"/>
            </w:tcBorders>
            <w:shd w:val="clear" w:color="auto" w:fill="auto"/>
            <w:noWrap/>
            <w:vAlign w:val="center"/>
          </w:tcPr>
          <w:p w14:paraId="3AB36F6F" w14:textId="192EB6E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19.6</w:t>
            </w:r>
          </w:p>
        </w:tc>
        <w:tc>
          <w:tcPr>
            <w:tcW w:w="1173" w:type="dxa"/>
            <w:tcBorders>
              <w:top w:val="nil"/>
              <w:left w:val="nil"/>
              <w:bottom w:val="single" w:sz="4" w:space="0" w:color="auto"/>
              <w:right w:val="single" w:sz="4" w:space="0" w:color="auto"/>
            </w:tcBorders>
            <w:shd w:val="clear" w:color="auto" w:fill="auto"/>
            <w:noWrap/>
            <w:vAlign w:val="center"/>
          </w:tcPr>
          <w:p w14:paraId="10C6B70A" w14:textId="302B525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53</w:t>
            </w:r>
          </w:p>
        </w:tc>
      </w:tr>
      <w:tr w:rsidR="0072387E" w:rsidRPr="008C72D8" w14:paraId="5151FC92"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76A4060E" w14:textId="0901F98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251–300</w:t>
            </w:r>
          </w:p>
        </w:tc>
        <w:tc>
          <w:tcPr>
            <w:tcW w:w="3357" w:type="dxa"/>
            <w:tcBorders>
              <w:top w:val="nil"/>
              <w:left w:val="nil"/>
              <w:bottom w:val="single" w:sz="4" w:space="0" w:color="auto"/>
              <w:right w:val="single" w:sz="4" w:space="0" w:color="auto"/>
            </w:tcBorders>
            <w:shd w:val="clear" w:color="000000" w:fill="E7E6E6"/>
            <w:noWrap/>
            <w:vAlign w:val="center"/>
          </w:tcPr>
          <w:p w14:paraId="0D893622" w14:textId="2BCF1699"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Pontificia Universidad Católica de Chile</w:t>
            </w:r>
          </w:p>
        </w:tc>
        <w:tc>
          <w:tcPr>
            <w:tcW w:w="896" w:type="dxa"/>
            <w:tcBorders>
              <w:top w:val="nil"/>
              <w:left w:val="nil"/>
              <w:bottom w:val="single" w:sz="4" w:space="0" w:color="auto"/>
              <w:right w:val="single" w:sz="4" w:space="0" w:color="auto"/>
            </w:tcBorders>
            <w:shd w:val="clear" w:color="000000" w:fill="E7E6E6"/>
            <w:vAlign w:val="center"/>
          </w:tcPr>
          <w:p w14:paraId="63EE7151" w14:textId="42A2C1E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Chile</w:t>
            </w:r>
          </w:p>
        </w:tc>
        <w:tc>
          <w:tcPr>
            <w:tcW w:w="1044" w:type="dxa"/>
            <w:tcBorders>
              <w:top w:val="nil"/>
              <w:left w:val="nil"/>
              <w:bottom w:val="single" w:sz="4" w:space="0" w:color="auto"/>
              <w:right w:val="single" w:sz="4" w:space="0" w:color="auto"/>
            </w:tcBorders>
            <w:shd w:val="clear" w:color="000000" w:fill="E7E6E6"/>
            <w:noWrap/>
            <w:vAlign w:val="center"/>
          </w:tcPr>
          <w:p w14:paraId="4D7E2EC1" w14:textId="78F577F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34.0–36.7</w:t>
            </w:r>
          </w:p>
        </w:tc>
        <w:tc>
          <w:tcPr>
            <w:tcW w:w="841" w:type="dxa"/>
            <w:tcBorders>
              <w:top w:val="nil"/>
              <w:left w:val="nil"/>
              <w:bottom w:val="single" w:sz="4" w:space="0" w:color="auto"/>
              <w:right w:val="single" w:sz="4" w:space="0" w:color="auto"/>
            </w:tcBorders>
            <w:shd w:val="clear" w:color="000000" w:fill="E7E6E6"/>
            <w:noWrap/>
            <w:vAlign w:val="center"/>
          </w:tcPr>
          <w:p w14:paraId="7CD48564" w14:textId="7C08D9C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52.8</w:t>
            </w:r>
          </w:p>
        </w:tc>
        <w:tc>
          <w:tcPr>
            <w:tcW w:w="1126" w:type="dxa"/>
            <w:tcBorders>
              <w:top w:val="nil"/>
              <w:left w:val="nil"/>
              <w:bottom w:val="single" w:sz="4" w:space="0" w:color="auto"/>
              <w:right w:val="single" w:sz="4" w:space="0" w:color="auto"/>
            </w:tcBorders>
            <w:shd w:val="clear" w:color="000000" w:fill="E7E6E6"/>
            <w:noWrap/>
            <w:vAlign w:val="center"/>
          </w:tcPr>
          <w:p w14:paraId="000E4106" w14:textId="7A98BD5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47.3</w:t>
            </w:r>
          </w:p>
        </w:tc>
        <w:tc>
          <w:tcPr>
            <w:tcW w:w="788" w:type="dxa"/>
            <w:tcBorders>
              <w:top w:val="nil"/>
              <w:left w:val="nil"/>
              <w:bottom w:val="single" w:sz="4" w:space="0" w:color="auto"/>
              <w:right w:val="single" w:sz="4" w:space="0" w:color="auto"/>
            </w:tcBorders>
            <w:shd w:val="clear" w:color="000000" w:fill="E7E6E6"/>
            <w:vAlign w:val="center"/>
          </w:tcPr>
          <w:p w14:paraId="3DE121AD" w14:textId="50A4255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w:t>
            </w:r>
          </w:p>
        </w:tc>
        <w:tc>
          <w:tcPr>
            <w:tcW w:w="1295" w:type="dxa"/>
            <w:tcBorders>
              <w:top w:val="nil"/>
              <w:left w:val="nil"/>
              <w:bottom w:val="single" w:sz="4" w:space="0" w:color="auto"/>
              <w:right w:val="single" w:sz="4" w:space="0" w:color="auto"/>
            </w:tcBorders>
            <w:shd w:val="clear" w:color="000000" w:fill="E7E6E6"/>
            <w:noWrap/>
            <w:vAlign w:val="center"/>
          </w:tcPr>
          <w:p w14:paraId="00D5C0EB" w14:textId="4439751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19.6</w:t>
            </w:r>
          </w:p>
        </w:tc>
        <w:tc>
          <w:tcPr>
            <w:tcW w:w="1173" w:type="dxa"/>
            <w:tcBorders>
              <w:top w:val="nil"/>
              <w:left w:val="nil"/>
              <w:bottom w:val="single" w:sz="4" w:space="0" w:color="auto"/>
              <w:right w:val="single" w:sz="4" w:space="0" w:color="auto"/>
            </w:tcBorders>
            <w:shd w:val="clear" w:color="000000" w:fill="E7E6E6"/>
            <w:noWrap/>
            <w:vAlign w:val="center"/>
          </w:tcPr>
          <w:p w14:paraId="2356BB09" w14:textId="6B4EB2B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48.2</w:t>
            </w:r>
          </w:p>
        </w:tc>
      </w:tr>
      <w:tr w:rsidR="0072387E" w:rsidRPr="008C72D8" w14:paraId="367F4A2E"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1534A23" w14:textId="452A5CB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251–300</w:t>
            </w:r>
          </w:p>
        </w:tc>
        <w:tc>
          <w:tcPr>
            <w:tcW w:w="3357" w:type="dxa"/>
            <w:tcBorders>
              <w:top w:val="nil"/>
              <w:left w:val="nil"/>
              <w:bottom w:val="single" w:sz="4" w:space="0" w:color="auto"/>
              <w:right w:val="single" w:sz="4" w:space="0" w:color="auto"/>
            </w:tcBorders>
            <w:shd w:val="clear" w:color="auto" w:fill="auto"/>
            <w:noWrap/>
            <w:vAlign w:val="center"/>
          </w:tcPr>
          <w:p w14:paraId="035001D3" w14:textId="05338A50"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Granada</w:t>
            </w:r>
          </w:p>
        </w:tc>
        <w:tc>
          <w:tcPr>
            <w:tcW w:w="896" w:type="dxa"/>
            <w:tcBorders>
              <w:top w:val="nil"/>
              <w:left w:val="nil"/>
              <w:bottom w:val="single" w:sz="4" w:space="0" w:color="auto"/>
              <w:right w:val="single" w:sz="4" w:space="0" w:color="auto"/>
            </w:tcBorders>
            <w:shd w:val="clear" w:color="auto" w:fill="auto"/>
            <w:vAlign w:val="center"/>
          </w:tcPr>
          <w:p w14:paraId="2F62BEB7" w14:textId="254DCA8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7A3B3BC2" w14:textId="345F37A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34.0–36.7</w:t>
            </w:r>
          </w:p>
        </w:tc>
        <w:tc>
          <w:tcPr>
            <w:tcW w:w="841" w:type="dxa"/>
            <w:tcBorders>
              <w:top w:val="nil"/>
              <w:left w:val="nil"/>
              <w:bottom w:val="single" w:sz="4" w:space="0" w:color="auto"/>
              <w:right w:val="single" w:sz="4" w:space="0" w:color="auto"/>
            </w:tcBorders>
            <w:shd w:val="clear" w:color="auto" w:fill="auto"/>
            <w:noWrap/>
            <w:vAlign w:val="center"/>
          </w:tcPr>
          <w:p w14:paraId="4D708B0B" w14:textId="43E67AE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40.2</w:t>
            </w:r>
          </w:p>
        </w:tc>
        <w:tc>
          <w:tcPr>
            <w:tcW w:w="1126" w:type="dxa"/>
            <w:tcBorders>
              <w:top w:val="nil"/>
              <w:left w:val="nil"/>
              <w:bottom w:val="single" w:sz="4" w:space="0" w:color="auto"/>
              <w:right w:val="single" w:sz="4" w:space="0" w:color="auto"/>
            </w:tcBorders>
            <w:shd w:val="clear" w:color="auto" w:fill="auto"/>
            <w:noWrap/>
            <w:vAlign w:val="center"/>
          </w:tcPr>
          <w:p w14:paraId="719311B7" w14:textId="7C06A29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34.6</w:t>
            </w:r>
          </w:p>
        </w:tc>
        <w:tc>
          <w:tcPr>
            <w:tcW w:w="788" w:type="dxa"/>
            <w:tcBorders>
              <w:top w:val="nil"/>
              <w:left w:val="nil"/>
              <w:bottom w:val="single" w:sz="4" w:space="0" w:color="auto"/>
              <w:right w:val="single" w:sz="4" w:space="0" w:color="auto"/>
            </w:tcBorders>
            <w:shd w:val="clear" w:color="auto" w:fill="auto"/>
            <w:vAlign w:val="center"/>
          </w:tcPr>
          <w:p w14:paraId="321B88D3" w14:textId="2598B2E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36.2</w:t>
            </w:r>
          </w:p>
        </w:tc>
        <w:tc>
          <w:tcPr>
            <w:tcW w:w="1295" w:type="dxa"/>
            <w:tcBorders>
              <w:top w:val="nil"/>
              <w:left w:val="nil"/>
              <w:bottom w:val="single" w:sz="4" w:space="0" w:color="auto"/>
              <w:right w:val="single" w:sz="4" w:space="0" w:color="auto"/>
            </w:tcBorders>
            <w:shd w:val="clear" w:color="auto" w:fill="auto"/>
            <w:noWrap/>
            <w:vAlign w:val="center"/>
          </w:tcPr>
          <w:p w14:paraId="655CDD7E" w14:textId="6E133FC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32.5</w:t>
            </w:r>
          </w:p>
        </w:tc>
        <w:tc>
          <w:tcPr>
            <w:tcW w:w="1173" w:type="dxa"/>
            <w:tcBorders>
              <w:top w:val="nil"/>
              <w:left w:val="nil"/>
              <w:bottom w:val="single" w:sz="4" w:space="0" w:color="auto"/>
              <w:right w:val="single" w:sz="4" w:space="0" w:color="auto"/>
            </w:tcBorders>
            <w:shd w:val="clear" w:color="auto" w:fill="auto"/>
            <w:noWrap/>
            <w:vAlign w:val="center"/>
          </w:tcPr>
          <w:p w14:paraId="36AA189F" w14:textId="7382673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39.6</w:t>
            </w:r>
          </w:p>
        </w:tc>
      </w:tr>
      <w:tr w:rsidR="0072387E" w:rsidRPr="008C72D8" w14:paraId="025BE4C2"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4C4D85F3" w14:textId="6CBDC21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301–400</w:t>
            </w:r>
          </w:p>
        </w:tc>
        <w:tc>
          <w:tcPr>
            <w:tcW w:w="3357" w:type="dxa"/>
            <w:tcBorders>
              <w:top w:val="nil"/>
              <w:left w:val="nil"/>
              <w:bottom w:val="single" w:sz="4" w:space="0" w:color="auto"/>
              <w:right w:val="single" w:sz="4" w:space="0" w:color="auto"/>
            </w:tcBorders>
            <w:shd w:val="clear" w:color="000000" w:fill="E7E6E6"/>
            <w:noWrap/>
            <w:vAlign w:val="center"/>
          </w:tcPr>
          <w:p w14:paraId="5518A0CE" w14:textId="46CC50A9"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Complutense de Madrid</w:t>
            </w:r>
          </w:p>
        </w:tc>
        <w:tc>
          <w:tcPr>
            <w:tcW w:w="896" w:type="dxa"/>
            <w:tcBorders>
              <w:top w:val="nil"/>
              <w:left w:val="nil"/>
              <w:bottom w:val="single" w:sz="4" w:space="0" w:color="auto"/>
              <w:right w:val="single" w:sz="4" w:space="0" w:color="auto"/>
            </w:tcBorders>
            <w:shd w:val="clear" w:color="000000" w:fill="E7E6E6"/>
            <w:vAlign w:val="center"/>
          </w:tcPr>
          <w:p w14:paraId="2CDDDD66" w14:textId="273F4EE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56834E5F" w14:textId="42C359F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28.6–33.9</w:t>
            </w:r>
          </w:p>
        </w:tc>
        <w:tc>
          <w:tcPr>
            <w:tcW w:w="841" w:type="dxa"/>
            <w:tcBorders>
              <w:top w:val="nil"/>
              <w:left w:val="nil"/>
              <w:bottom w:val="single" w:sz="4" w:space="0" w:color="auto"/>
              <w:right w:val="single" w:sz="4" w:space="0" w:color="auto"/>
            </w:tcBorders>
            <w:shd w:val="clear" w:color="000000" w:fill="E7E6E6"/>
            <w:noWrap/>
            <w:vAlign w:val="center"/>
          </w:tcPr>
          <w:p w14:paraId="066274D2" w14:textId="5B5E8B2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36.7</w:t>
            </w:r>
          </w:p>
        </w:tc>
        <w:tc>
          <w:tcPr>
            <w:tcW w:w="1126" w:type="dxa"/>
            <w:tcBorders>
              <w:top w:val="nil"/>
              <w:left w:val="nil"/>
              <w:bottom w:val="single" w:sz="4" w:space="0" w:color="auto"/>
              <w:right w:val="single" w:sz="4" w:space="0" w:color="auto"/>
            </w:tcBorders>
            <w:shd w:val="clear" w:color="000000" w:fill="E7E6E6"/>
            <w:noWrap/>
            <w:vAlign w:val="center"/>
          </w:tcPr>
          <w:p w14:paraId="0A285BC2" w14:textId="550E3DA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36.8</w:t>
            </w:r>
          </w:p>
        </w:tc>
        <w:tc>
          <w:tcPr>
            <w:tcW w:w="788" w:type="dxa"/>
            <w:tcBorders>
              <w:top w:val="nil"/>
              <w:left w:val="nil"/>
              <w:bottom w:val="single" w:sz="4" w:space="0" w:color="auto"/>
              <w:right w:val="single" w:sz="4" w:space="0" w:color="auto"/>
            </w:tcBorders>
            <w:shd w:val="clear" w:color="000000" w:fill="E7E6E6"/>
            <w:vAlign w:val="center"/>
          </w:tcPr>
          <w:p w14:paraId="4954CF2F" w14:textId="1E5EFBC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21.6</w:t>
            </w:r>
          </w:p>
        </w:tc>
        <w:tc>
          <w:tcPr>
            <w:tcW w:w="1295" w:type="dxa"/>
            <w:tcBorders>
              <w:top w:val="nil"/>
              <w:left w:val="nil"/>
              <w:bottom w:val="single" w:sz="4" w:space="0" w:color="auto"/>
              <w:right w:val="single" w:sz="4" w:space="0" w:color="auto"/>
            </w:tcBorders>
            <w:shd w:val="clear" w:color="000000" w:fill="E7E6E6"/>
            <w:noWrap/>
            <w:vAlign w:val="center"/>
          </w:tcPr>
          <w:p w14:paraId="559D1045" w14:textId="3CED637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12.1</w:t>
            </w:r>
          </w:p>
        </w:tc>
        <w:tc>
          <w:tcPr>
            <w:tcW w:w="1173" w:type="dxa"/>
            <w:tcBorders>
              <w:top w:val="nil"/>
              <w:left w:val="nil"/>
              <w:bottom w:val="single" w:sz="4" w:space="0" w:color="auto"/>
              <w:right w:val="single" w:sz="4" w:space="0" w:color="auto"/>
            </w:tcBorders>
            <w:shd w:val="clear" w:color="000000" w:fill="E7E6E6"/>
            <w:noWrap/>
            <w:vAlign w:val="center"/>
          </w:tcPr>
          <w:p w14:paraId="05860AE0" w14:textId="7A0DE78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45.4</w:t>
            </w:r>
          </w:p>
        </w:tc>
      </w:tr>
      <w:tr w:rsidR="0072387E" w:rsidRPr="008C72D8" w14:paraId="2D2C2B7F"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A638E7E" w14:textId="0279212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301–400</w:t>
            </w:r>
          </w:p>
        </w:tc>
        <w:tc>
          <w:tcPr>
            <w:tcW w:w="3357" w:type="dxa"/>
            <w:tcBorders>
              <w:top w:val="nil"/>
              <w:left w:val="nil"/>
              <w:bottom w:val="single" w:sz="4" w:space="0" w:color="auto"/>
              <w:right w:val="single" w:sz="4" w:space="0" w:color="auto"/>
            </w:tcBorders>
            <w:shd w:val="clear" w:color="auto" w:fill="auto"/>
            <w:noWrap/>
            <w:vAlign w:val="center"/>
          </w:tcPr>
          <w:p w14:paraId="785E2B19" w14:textId="7BFABF71"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Brasilia</w:t>
            </w:r>
          </w:p>
        </w:tc>
        <w:tc>
          <w:tcPr>
            <w:tcW w:w="896" w:type="dxa"/>
            <w:tcBorders>
              <w:top w:val="nil"/>
              <w:left w:val="nil"/>
              <w:bottom w:val="single" w:sz="4" w:space="0" w:color="auto"/>
              <w:right w:val="single" w:sz="4" w:space="0" w:color="auto"/>
            </w:tcBorders>
            <w:shd w:val="clear" w:color="auto" w:fill="auto"/>
            <w:vAlign w:val="center"/>
          </w:tcPr>
          <w:p w14:paraId="4FA85F2F" w14:textId="5D8F5B2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Brasil</w:t>
            </w:r>
          </w:p>
        </w:tc>
        <w:tc>
          <w:tcPr>
            <w:tcW w:w="1044" w:type="dxa"/>
            <w:tcBorders>
              <w:top w:val="nil"/>
              <w:left w:val="nil"/>
              <w:bottom w:val="single" w:sz="4" w:space="0" w:color="auto"/>
              <w:right w:val="single" w:sz="4" w:space="0" w:color="auto"/>
            </w:tcBorders>
            <w:shd w:val="clear" w:color="auto" w:fill="auto"/>
            <w:noWrap/>
            <w:vAlign w:val="center"/>
          </w:tcPr>
          <w:p w14:paraId="095866B8" w14:textId="5FA980F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28.6–33.9</w:t>
            </w:r>
          </w:p>
        </w:tc>
        <w:tc>
          <w:tcPr>
            <w:tcW w:w="841" w:type="dxa"/>
            <w:tcBorders>
              <w:top w:val="nil"/>
              <w:left w:val="nil"/>
              <w:bottom w:val="single" w:sz="4" w:space="0" w:color="auto"/>
              <w:right w:val="single" w:sz="4" w:space="0" w:color="auto"/>
            </w:tcBorders>
            <w:shd w:val="clear" w:color="auto" w:fill="auto"/>
            <w:noWrap/>
            <w:vAlign w:val="center"/>
          </w:tcPr>
          <w:p w14:paraId="1F694FC0" w14:textId="04C5B01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22.9</w:t>
            </w:r>
          </w:p>
        </w:tc>
        <w:tc>
          <w:tcPr>
            <w:tcW w:w="1126" w:type="dxa"/>
            <w:tcBorders>
              <w:top w:val="nil"/>
              <w:left w:val="nil"/>
              <w:bottom w:val="single" w:sz="4" w:space="0" w:color="auto"/>
              <w:right w:val="single" w:sz="4" w:space="0" w:color="auto"/>
            </w:tcBorders>
            <w:shd w:val="clear" w:color="auto" w:fill="auto"/>
            <w:noWrap/>
            <w:vAlign w:val="center"/>
          </w:tcPr>
          <w:p w14:paraId="2625475A" w14:textId="2F004D5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34.1</w:t>
            </w:r>
          </w:p>
        </w:tc>
        <w:tc>
          <w:tcPr>
            <w:tcW w:w="788" w:type="dxa"/>
            <w:tcBorders>
              <w:top w:val="nil"/>
              <w:left w:val="nil"/>
              <w:bottom w:val="single" w:sz="4" w:space="0" w:color="auto"/>
              <w:right w:val="single" w:sz="4" w:space="0" w:color="auto"/>
            </w:tcBorders>
            <w:shd w:val="clear" w:color="auto" w:fill="auto"/>
            <w:vAlign w:val="center"/>
          </w:tcPr>
          <w:p w14:paraId="7F2F0FEC" w14:textId="39A3382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44</w:t>
            </w:r>
          </w:p>
        </w:tc>
        <w:tc>
          <w:tcPr>
            <w:tcW w:w="1295" w:type="dxa"/>
            <w:tcBorders>
              <w:top w:val="nil"/>
              <w:left w:val="nil"/>
              <w:bottom w:val="single" w:sz="4" w:space="0" w:color="auto"/>
              <w:right w:val="single" w:sz="4" w:space="0" w:color="auto"/>
            </w:tcBorders>
            <w:shd w:val="clear" w:color="auto" w:fill="auto"/>
            <w:noWrap/>
            <w:vAlign w:val="center"/>
          </w:tcPr>
          <w:p w14:paraId="4B82D4D5" w14:textId="45AD0EB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22.9</w:t>
            </w:r>
          </w:p>
        </w:tc>
        <w:tc>
          <w:tcPr>
            <w:tcW w:w="1173" w:type="dxa"/>
            <w:tcBorders>
              <w:top w:val="nil"/>
              <w:left w:val="nil"/>
              <w:bottom w:val="single" w:sz="4" w:space="0" w:color="auto"/>
              <w:right w:val="single" w:sz="4" w:space="0" w:color="auto"/>
            </w:tcBorders>
            <w:shd w:val="clear" w:color="auto" w:fill="auto"/>
            <w:noWrap/>
            <w:vAlign w:val="center"/>
          </w:tcPr>
          <w:p w14:paraId="752BD235" w14:textId="1B19B22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23.5</w:t>
            </w:r>
          </w:p>
        </w:tc>
      </w:tr>
      <w:tr w:rsidR="0072387E" w:rsidRPr="008C72D8" w14:paraId="014F1ED7"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128D84E0" w14:textId="43D48D2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301–400</w:t>
            </w:r>
          </w:p>
        </w:tc>
        <w:tc>
          <w:tcPr>
            <w:tcW w:w="3357" w:type="dxa"/>
            <w:tcBorders>
              <w:top w:val="nil"/>
              <w:left w:val="nil"/>
              <w:bottom w:val="single" w:sz="4" w:space="0" w:color="auto"/>
              <w:right w:val="single" w:sz="4" w:space="0" w:color="auto"/>
            </w:tcBorders>
            <w:shd w:val="clear" w:color="000000" w:fill="E7E6E6"/>
            <w:noWrap/>
            <w:vAlign w:val="center"/>
          </w:tcPr>
          <w:p w14:paraId="5A2F41C4" w14:textId="4C38358F"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Coimbra</w:t>
            </w:r>
          </w:p>
        </w:tc>
        <w:tc>
          <w:tcPr>
            <w:tcW w:w="896" w:type="dxa"/>
            <w:tcBorders>
              <w:top w:val="nil"/>
              <w:left w:val="nil"/>
              <w:bottom w:val="single" w:sz="4" w:space="0" w:color="auto"/>
              <w:right w:val="single" w:sz="4" w:space="0" w:color="auto"/>
            </w:tcBorders>
            <w:shd w:val="clear" w:color="000000" w:fill="E7E6E6"/>
            <w:vAlign w:val="center"/>
          </w:tcPr>
          <w:p w14:paraId="61FAE57A" w14:textId="236B9CB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Portugal</w:t>
            </w:r>
          </w:p>
        </w:tc>
        <w:tc>
          <w:tcPr>
            <w:tcW w:w="1044" w:type="dxa"/>
            <w:tcBorders>
              <w:top w:val="nil"/>
              <w:left w:val="nil"/>
              <w:bottom w:val="single" w:sz="4" w:space="0" w:color="auto"/>
              <w:right w:val="single" w:sz="4" w:space="0" w:color="auto"/>
            </w:tcBorders>
            <w:shd w:val="clear" w:color="000000" w:fill="E7E6E6"/>
            <w:noWrap/>
            <w:vAlign w:val="center"/>
          </w:tcPr>
          <w:p w14:paraId="71425B06" w14:textId="72681CA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28.6–33.9</w:t>
            </w:r>
          </w:p>
        </w:tc>
        <w:tc>
          <w:tcPr>
            <w:tcW w:w="841" w:type="dxa"/>
            <w:tcBorders>
              <w:top w:val="nil"/>
              <w:left w:val="nil"/>
              <w:bottom w:val="single" w:sz="4" w:space="0" w:color="auto"/>
              <w:right w:val="single" w:sz="4" w:space="0" w:color="auto"/>
            </w:tcBorders>
            <w:shd w:val="clear" w:color="000000" w:fill="E7E6E6"/>
            <w:noWrap/>
            <w:vAlign w:val="center"/>
          </w:tcPr>
          <w:p w14:paraId="19AAEFFD" w14:textId="1F201C6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42.6</w:t>
            </w:r>
          </w:p>
        </w:tc>
        <w:tc>
          <w:tcPr>
            <w:tcW w:w="1126" w:type="dxa"/>
            <w:tcBorders>
              <w:top w:val="nil"/>
              <w:left w:val="nil"/>
              <w:bottom w:val="single" w:sz="4" w:space="0" w:color="auto"/>
              <w:right w:val="single" w:sz="4" w:space="0" w:color="auto"/>
            </w:tcBorders>
            <w:shd w:val="clear" w:color="000000" w:fill="E7E6E6"/>
            <w:noWrap/>
            <w:vAlign w:val="center"/>
          </w:tcPr>
          <w:p w14:paraId="4DC58BA9" w14:textId="2DEE0D8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44.3</w:t>
            </w:r>
          </w:p>
        </w:tc>
        <w:tc>
          <w:tcPr>
            <w:tcW w:w="788" w:type="dxa"/>
            <w:tcBorders>
              <w:top w:val="nil"/>
              <w:left w:val="nil"/>
              <w:bottom w:val="single" w:sz="4" w:space="0" w:color="auto"/>
              <w:right w:val="single" w:sz="4" w:space="0" w:color="auto"/>
            </w:tcBorders>
            <w:shd w:val="clear" w:color="000000" w:fill="E7E6E6"/>
            <w:vAlign w:val="center"/>
          </w:tcPr>
          <w:p w14:paraId="2E8BA890" w14:textId="208AE9A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27.1</w:t>
            </w:r>
          </w:p>
        </w:tc>
        <w:tc>
          <w:tcPr>
            <w:tcW w:w="1295" w:type="dxa"/>
            <w:tcBorders>
              <w:top w:val="nil"/>
              <w:left w:val="nil"/>
              <w:bottom w:val="single" w:sz="4" w:space="0" w:color="auto"/>
              <w:right w:val="single" w:sz="4" w:space="0" w:color="auto"/>
            </w:tcBorders>
            <w:shd w:val="clear" w:color="000000" w:fill="E7E6E6"/>
            <w:noWrap/>
            <w:vAlign w:val="center"/>
          </w:tcPr>
          <w:p w14:paraId="3ECE71CE" w14:textId="0C31DF0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16.5</w:t>
            </w:r>
          </w:p>
        </w:tc>
        <w:tc>
          <w:tcPr>
            <w:tcW w:w="1173" w:type="dxa"/>
            <w:tcBorders>
              <w:top w:val="nil"/>
              <w:left w:val="nil"/>
              <w:bottom w:val="single" w:sz="4" w:space="0" w:color="auto"/>
              <w:right w:val="single" w:sz="4" w:space="0" w:color="auto"/>
            </w:tcBorders>
            <w:shd w:val="clear" w:color="000000" w:fill="E7E6E6"/>
            <w:noWrap/>
            <w:vAlign w:val="center"/>
          </w:tcPr>
          <w:p w14:paraId="10F0CF58" w14:textId="70457D4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49.1</w:t>
            </w:r>
          </w:p>
        </w:tc>
      </w:tr>
      <w:tr w:rsidR="0072387E" w:rsidRPr="008C72D8" w14:paraId="10620295"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35ED69A" w14:textId="73A2FE5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301–400</w:t>
            </w:r>
          </w:p>
        </w:tc>
        <w:tc>
          <w:tcPr>
            <w:tcW w:w="3357" w:type="dxa"/>
            <w:tcBorders>
              <w:top w:val="nil"/>
              <w:left w:val="nil"/>
              <w:bottom w:val="single" w:sz="4" w:space="0" w:color="auto"/>
              <w:right w:val="single" w:sz="4" w:space="0" w:color="auto"/>
            </w:tcBorders>
            <w:shd w:val="clear" w:color="auto" w:fill="auto"/>
            <w:noWrap/>
            <w:vAlign w:val="center"/>
          </w:tcPr>
          <w:p w14:paraId="785BAA22" w14:textId="4F043E6C"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Nacional Autónoma de México</w:t>
            </w:r>
          </w:p>
        </w:tc>
        <w:tc>
          <w:tcPr>
            <w:tcW w:w="896" w:type="dxa"/>
            <w:tcBorders>
              <w:top w:val="nil"/>
              <w:left w:val="nil"/>
              <w:bottom w:val="single" w:sz="4" w:space="0" w:color="auto"/>
              <w:right w:val="single" w:sz="4" w:space="0" w:color="auto"/>
            </w:tcBorders>
            <w:shd w:val="clear" w:color="auto" w:fill="auto"/>
            <w:vAlign w:val="center"/>
          </w:tcPr>
          <w:p w14:paraId="6F9ADDFF" w14:textId="70DBA7F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México</w:t>
            </w:r>
          </w:p>
        </w:tc>
        <w:tc>
          <w:tcPr>
            <w:tcW w:w="1044" w:type="dxa"/>
            <w:tcBorders>
              <w:top w:val="nil"/>
              <w:left w:val="nil"/>
              <w:bottom w:val="single" w:sz="4" w:space="0" w:color="auto"/>
              <w:right w:val="single" w:sz="4" w:space="0" w:color="auto"/>
            </w:tcBorders>
            <w:shd w:val="clear" w:color="auto" w:fill="auto"/>
            <w:noWrap/>
            <w:vAlign w:val="center"/>
          </w:tcPr>
          <w:p w14:paraId="23438563" w14:textId="35C6F2A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28.6–33.9</w:t>
            </w:r>
          </w:p>
        </w:tc>
        <w:tc>
          <w:tcPr>
            <w:tcW w:w="841" w:type="dxa"/>
            <w:tcBorders>
              <w:top w:val="nil"/>
              <w:left w:val="nil"/>
              <w:bottom w:val="single" w:sz="4" w:space="0" w:color="auto"/>
              <w:right w:val="single" w:sz="4" w:space="0" w:color="auto"/>
            </w:tcBorders>
            <w:shd w:val="clear" w:color="auto" w:fill="auto"/>
            <w:noWrap/>
            <w:vAlign w:val="center"/>
          </w:tcPr>
          <w:p w14:paraId="7060E348" w14:textId="2C573DA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31.7</w:t>
            </w:r>
          </w:p>
        </w:tc>
        <w:tc>
          <w:tcPr>
            <w:tcW w:w="1126" w:type="dxa"/>
            <w:tcBorders>
              <w:top w:val="nil"/>
              <w:left w:val="nil"/>
              <w:bottom w:val="single" w:sz="4" w:space="0" w:color="auto"/>
              <w:right w:val="single" w:sz="4" w:space="0" w:color="auto"/>
            </w:tcBorders>
            <w:shd w:val="clear" w:color="auto" w:fill="auto"/>
            <w:noWrap/>
            <w:vAlign w:val="center"/>
          </w:tcPr>
          <w:p w14:paraId="4FFC2376" w14:textId="29E4A20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51.4</w:t>
            </w:r>
          </w:p>
        </w:tc>
        <w:tc>
          <w:tcPr>
            <w:tcW w:w="788" w:type="dxa"/>
            <w:tcBorders>
              <w:top w:val="nil"/>
              <w:left w:val="nil"/>
              <w:bottom w:val="single" w:sz="4" w:space="0" w:color="auto"/>
              <w:right w:val="single" w:sz="4" w:space="0" w:color="auto"/>
            </w:tcBorders>
            <w:shd w:val="clear" w:color="auto" w:fill="auto"/>
            <w:vAlign w:val="center"/>
          </w:tcPr>
          <w:p w14:paraId="16E94BB3" w14:textId="4328E47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38.8</w:t>
            </w:r>
          </w:p>
        </w:tc>
        <w:tc>
          <w:tcPr>
            <w:tcW w:w="1295" w:type="dxa"/>
            <w:tcBorders>
              <w:top w:val="nil"/>
              <w:left w:val="nil"/>
              <w:bottom w:val="single" w:sz="4" w:space="0" w:color="auto"/>
              <w:right w:val="single" w:sz="4" w:space="0" w:color="auto"/>
            </w:tcBorders>
            <w:shd w:val="clear" w:color="auto" w:fill="auto"/>
            <w:noWrap/>
            <w:vAlign w:val="center"/>
          </w:tcPr>
          <w:p w14:paraId="0F09BFBD" w14:textId="12D2C2F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25.1</w:t>
            </w:r>
          </w:p>
        </w:tc>
        <w:tc>
          <w:tcPr>
            <w:tcW w:w="1173" w:type="dxa"/>
            <w:tcBorders>
              <w:top w:val="nil"/>
              <w:left w:val="nil"/>
              <w:bottom w:val="single" w:sz="4" w:space="0" w:color="auto"/>
              <w:right w:val="single" w:sz="4" w:space="0" w:color="auto"/>
            </w:tcBorders>
            <w:shd w:val="clear" w:color="auto" w:fill="auto"/>
            <w:noWrap/>
            <w:vAlign w:val="center"/>
          </w:tcPr>
          <w:p w14:paraId="040D617F" w14:textId="3A8D531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29.1</w:t>
            </w:r>
          </w:p>
        </w:tc>
      </w:tr>
    </w:tbl>
    <w:p w14:paraId="2A1665A2" w14:textId="77777777" w:rsidR="0081233E" w:rsidRPr="008C72D8" w:rsidRDefault="0081233E" w:rsidP="0078703F">
      <w:pPr>
        <w:spacing w:line="240" w:lineRule="auto"/>
      </w:pPr>
    </w:p>
    <w:tbl>
      <w:tblPr>
        <w:tblW w:w="11321" w:type="dxa"/>
        <w:jc w:val="center"/>
        <w:tblCellMar>
          <w:left w:w="70" w:type="dxa"/>
          <w:right w:w="70" w:type="dxa"/>
        </w:tblCellMar>
        <w:tblLook w:val="04A0" w:firstRow="1" w:lastRow="0" w:firstColumn="1" w:lastColumn="0" w:noHBand="0" w:noVBand="1"/>
      </w:tblPr>
      <w:tblGrid>
        <w:gridCol w:w="801"/>
        <w:gridCol w:w="3357"/>
        <w:gridCol w:w="988"/>
        <w:gridCol w:w="1044"/>
        <w:gridCol w:w="841"/>
        <w:gridCol w:w="1126"/>
        <w:gridCol w:w="696"/>
        <w:gridCol w:w="1295"/>
        <w:gridCol w:w="1173"/>
      </w:tblGrid>
      <w:tr w:rsidR="00810B7C" w:rsidRPr="008C72D8" w14:paraId="6E7427D2" w14:textId="77777777" w:rsidTr="0081233E">
        <w:trPr>
          <w:trHeight w:val="298"/>
          <w:jc w:val="center"/>
        </w:trPr>
        <w:tc>
          <w:tcPr>
            <w:tcW w:w="11321" w:type="dxa"/>
            <w:gridSpan w:val="9"/>
            <w:tcBorders>
              <w:top w:val="nil"/>
              <w:left w:val="nil"/>
              <w:bottom w:val="single" w:sz="4" w:space="0" w:color="auto"/>
              <w:right w:val="nil"/>
            </w:tcBorders>
            <w:shd w:val="clear" w:color="auto" w:fill="auto"/>
            <w:vAlign w:val="center"/>
            <w:hideMark/>
          </w:tcPr>
          <w:p w14:paraId="7CDE1262" w14:textId="3178336E" w:rsidR="00810B7C" w:rsidRPr="008C72D8" w:rsidRDefault="00810B7C" w:rsidP="0078703F">
            <w:pPr>
              <w:spacing w:line="240" w:lineRule="auto"/>
              <w:jc w:val="center"/>
              <w:rPr>
                <w:rFonts w:ascii="Calibri" w:eastAsia="Times New Roman" w:hAnsi="Calibri" w:cs="Calibri"/>
                <w:b/>
                <w:bCs/>
                <w:color w:val="000000"/>
                <w:sz w:val="20"/>
                <w:szCs w:val="20"/>
                <w:lang w:eastAsia="es-MX"/>
              </w:rPr>
            </w:pPr>
            <w:r w:rsidRPr="008C72D8">
              <w:rPr>
                <w:rFonts w:ascii="Calibri" w:eastAsia="Times New Roman" w:hAnsi="Calibri" w:cs="Calibri"/>
                <w:b/>
                <w:bCs/>
                <w:color w:val="000000"/>
                <w:sz w:val="20"/>
                <w:szCs w:val="20"/>
                <w:lang w:eastAsia="es-MX"/>
              </w:rPr>
              <w:t xml:space="preserve">Tabla </w:t>
            </w:r>
            <w:r w:rsidR="0024082E" w:rsidRPr="008C72D8">
              <w:rPr>
                <w:rFonts w:ascii="Calibri" w:eastAsia="Times New Roman" w:hAnsi="Calibri" w:cs="Calibri"/>
                <w:b/>
                <w:bCs/>
                <w:color w:val="000000"/>
                <w:sz w:val="20"/>
                <w:szCs w:val="20"/>
                <w:lang w:eastAsia="es-MX"/>
              </w:rPr>
              <w:t>7</w:t>
            </w:r>
            <w:r w:rsidRPr="008C72D8">
              <w:rPr>
                <w:rFonts w:ascii="Calibri" w:eastAsia="Times New Roman" w:hAnsi="Calibri" w:cs="Calibri"/>
                <w:b/>
                <w:bCs/>
                <w:color w:val="000000"/>
                <w:sz w:val="20"/>
                <w:szCs w:val="20"/>
                <w:lang w:eastAsia="es-MX"/>
              </w:rPr>
              <w:t xml:space="preserve">. Posición de las universidades iberoamericanas </w:t>
            </w:r>
            <w:r w:rsidR="0072387E">
              <w:rPr>
                <w:rFonts w:ascii="Calibri" w:eastAsia="Times New Roman" w:hAnsi="Calibri" w:cs="Calibri"/>
                <w:b/>
                <w:bCs/>
                <w:color w:val="000000"/>
                <w:sz w:val="20"/>
                <w:szCs w:val="20"/>
                <w:lang w:eastAsia="es-MX"/>
              </w:rPr>
              <w:t xml:space="preserve">en el TOP 10 </w:t>
            </w:r>
            <w:r w:rsidRPr="008C72D8">
              <w:rPr>
                <w:rFonts w:ascii="Calibri" w:eastAsia="Times New Roman" w:hAnsi="Calibri" w:cs="Calibri"/>
                <w:b/>
                <w:bCs/>
                <w:color w:val="000000"/>
                <w:sz w:val="20"/>
                <w:szCs w:val="20"/>
                <w:lang w:eastAsia="es-MX"/>
              </w:rPr>
              <w:t xml:space="preserve">del ranking </w:t>
            </w:r>
            <w:r w:rsidR="0081233E" w:rsidRPr="008C72D8">
              <w:rPr>
                <w:rFonts w:ascii="Calibri" w:eastAsia="Times New Roman" w:hAnsi="Calibri" w:cs="Calibri"/>
                <w:b/>
                <w:bCs/>
                <w:color w:val="000000"/>
                <w:sz w:val="20"/>
                <w:szCs w:val="20"/>
                <w:lang w:eastAsia="es-MX"/>
              </w:rPr>
              <w:t xml:space="preserve">THE en el área de </w:t>
            </w:r>
            <w:r w:rsidRPr="008C72D8">
              <w:rPr>
                <w:rFonts w:ascii="Calibri" w:eastAsia="Times New Roman" w:hAnsi="Calibri" w:cs="Calibri"/>
                <w:b/>
                <w:bCs/>
                <w:color w:val="000000"/>
                <w:sz w:val="20"/>
                <w:szCs w:val="20"/>
                <w:lang w:eastAsia="es-MX"/>
              </w:rPr>
              <w:t>Clínica, Pre-Clínica y Salud, 2020.</w:t>
            </w:r>
          </w:p>
        </w:tc>
      </w:tr>
      <w:tr w:rsidR="00810B7C" w:rsidRPr="008C72D8" w14:paraId="6CE45607" w14:textId="77777777" w:rsidTr="0072387E">
        <w:trPr>
          <w:trHeight w:val="477"/>
          <w:jc w:val="center"/>
        </w:trPr>
        <w:tc>
          <w:tcPr>
            <w:tcW w:w="801" w:type="dxa"/>
            <w:tcBorders>
              <w:top w:val="nil"/>
              <w:left w:val="single" w:sz="4" w:space="0" w:color="auto"/>
              <w:bottom w:val="single" w:sz="4" w:space="0" w:color="auto"/>
              <w:right w:val="single" w:sz="4" w:space="0" w:color="auto"/>
            </w:tcBorders>
            <w:shd w:val="clear" w:color="000000" w:fill="BDD6EE"/>
            <w:vAlign w:val="center"/>
            <w:hideMark/>
          </w:tcPr>
          <w:p w14:paraId="7928849E"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Posición</w:t>
            </w:r>
          </w:p>
        </w:tc>
        <w:tc>
          <w:tcPr>
            <w:tcW w:w="3357" w:type="dxa"/>
            <w:tcBorders>
              <w:top w:val="nil"/>
              <w:left w:val="nil"/>
              <w:bottom w:val="single" w:sz="4" w:space="0" w:color="auto"/>
              <w:right w:val="single" w:sz="4" w:space="0" w:color="auto"/>
            </w:tcBorders>
            <w:shd w:val="clear" w:color="000000" w:fill="BDD6EE"/>
            <w:vAlign w:val="center"/>
            <w:hideMark/>
          </w:tcPr>
          <w:p w14:paraId="22749FCE"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Institución</w:t>
            </w:r>
          </w:p>
        </w:tc>
        <w:tc>
          <w:tcPr>
            <w:tcW w:w="988" w:type="dxa"/>
            <w:tcBorders>
              <w:top w:val="nil"/>
              <w:left w:val="nil"/>
              <w:bottom w:val="single" w:sz="4" w:space="0" w:color="auto"/>
              <w:right w:val="single" w:sz="4" w:space="0" w:color="auto"/>
            </w:tcBorders>
            <w:shd w:val="clear" w:color="000000" w:fill="BDD6EE"/>
            <w:vAlign w:val="center"/>
            <w:hideMark/>
          </w:tcPr>
          <w:p w14:paraId="6F2365CB"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País</w:t>
            </w:r>
          </w:p>
        </w:tc>
        <w:tc>
          <w:tcPr>
            <w:tcW w:w="1044" w:type="dxa"/>
            <w:tcBorders>
              <w:top w:val="nil"/>
              <w:left w:val="nil"/>
              <w:bottom w:val="single" w:sz="4" w:space="0" w:color="auto"/>
              <w:right w:val="single" w:sz="4" w:space="0" w:color="auto"/>
            </w:tcBorders>
            <w:shd w:val="clear" w:color="000000" w:fill="BDD6EE"/>
            <w:vAlign w:val="center"/>
            <w:hideMark/>
          </w:tcPr>
          <w:p w14:paraId="3C051349"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Puntaje General</w:t>
            </w:r>
          </w:p>
        </w:tc>
        <w:tc>
          <w:tcPr>
            <w:tcW w:w="841" w:type="dxa"/>
            <w:tcBorders>
              <w:top w:val="nil"/>
              <w:left w:val="nil"/>
              <w:bottom w:val="single" w:sz="4" w:space="0" w:color="auto"/>
              <w:right w:val="single" w:sz="4" w:space="0" w:color="auto"/>
            </w:tcBorders>
            <w:shd w:val="clear" w:color="000000" w:fill="BDD6EE"/>
            <w:vAlign w:val="center"/>
            <w:hideMark/>
          </w:tcPr>
          <w:p w14:paraId="29C198C9"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 xml:space="preserve">Docencia </w:t>
            </w:r>
          </w:p>
        </w:tc>
        <w:tc>
          <w:tcPr>
            <w:tcW w:w="1126" w:type="dxa"/>
            <w:tcBorders>
              <w:top w:val="nil"/>
              <w:left w:val="nil"/>
              <w:bottom w:val="single" w:sz="4" w:space="0" w:color="auto"/>
              <w:right w:val="single" w:sz="4" w:space="0" w:color="auto"/>
            </w:tcBorders>
            <w:shd w:val="clear" w:color="000000" w:fill="BDD6EE"/>
            <w:vAlign w:val="center"/>
            <w:hideMark/>
          </w:tcPr>
          <w:p w14:paraId="030F1284"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Investigación</w:t>
            </w:r>
          </w:p>
        </w:tc>
        <w:tc>
          <w:tcPr>
            <w:tcW w:w="696" w:type="dxa"/>
            <w:tcBorders>
              <w:top w:val="nil"/>
              <w:left w:val="nil"/>
              <w:bottom w:val="single" w:sz="4" w:space="0" w:color="auto"/>
              <w:right w:val="single" w:sz="4" w:space="0" w:color="auto"/>
            </w:tcBorders>
            <w:shd w:val="clear" w:color="000000" w:fill="BDD6EE"/>
            <w:vAlign w:val="center"/>
            <w:hideMark/>
          </w:tcPr>
          <w:p w14:paraId="74460DF8"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Citas</w:t>
            </w:r>
          </w:p>
        </w:tc>
        <w:tc>
          <w:tcPr>
            <w:tcW w:w="1295" w:type="dxa"/>
            <w:tcBorders>
              <w:top w:val="nil"/>
              <w:left w:val="nil"/>
              <w:bottom w:val="single" w:sz="4" w:space="0" w:color="auto"/>
              <w:right w:val="single" w:sz="4" w:space="0" w:color="auto"/>
            </w:tcBorders>
            <w:shd w:val="clear" w:color="000000" w:fill="BDD6EE"/>
            <w:vAlign w:val="center"/>
            <w:hideMark/>
          </w:tcPr>
          <w:p w14:paraId="3E92CFE4"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 xml:space="preserve">Financiamiento de la industria </w:t>
            </w:r>
          </w:p>
        </w:tc>
        <w:tc>
          <w:tcPr>
            <w:tcW w:w="1173" w:type="dxa"/>
            <w:tcBorders>
              <w:top w:val="nil"/>
              <w:left w:val="nil"/>
              <w:bottom w:val="single" w:sz="4" w:space="0" w:color="auto"/>
              <w:right w:val="single" w:sz="4" w:space="0" w:color="auto"/>
            </w:tcBorders>
            <w:shd w:val="clear" w:color="000000" w:fill="BDD6EE"/>
            <w:vAlign w:val="center"/>
            <w:hideMark/>
          </w:tcPr>
          <w:p w14:paraId="213E44DB"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Perspectiva internacional</w:t>
            </w:r>
          </w:p>
        </w:tc>
      </w:tr>
      <w:tr w:rsidR="0072387E" w:rsidRPr="008C72D8" w14:paraId="4FB98D93"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EC54DE5" w14:textId="08103F2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82</w:t>
            </w:r>
          </w:p>
        </w:tc>
        <w:tc>
          <w:tcPr>
            <w:tcW w:w="3357" w:type="dxa"/>
            <w:tcBorders>
              <w:top w:val="nil"/>
              <w:left w:val="nil"/>
              <w:bottom w:val="single" w:sz="4" w:space="0" w:color="auto"/>
              <w:right w:val="single" w:sz="4" w:space="0" w:color="auto"/>
            </w:tcBorders>
            <w:shd w:val="clear" w:color="auto" w:fill="auto"/>
            <w:noWrap/>
            <w:vAlign w:val="center"/>
          </w:tcPr>
          <w:p w14:paraId="424A0DB4" w14:textId="7252D962"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Sao Paulo</w:t>
            </w:r>
          </w:p>
        </w:tc>
        <w:tc>
          <w:tcPr>
            <w:tcW w:w="988" w:type="dxa"/>
            <w:tcBorders>
              <w:top w:val="nil"/>
              <w:left w:val="nil"/>
              <w:bottom w:val="single" w:sz="4" w:space="0" w:color="auto"/>
              <w:right w:val="single" w:sz="4" w:space="0" w:color="auto"/>
            </w:tcBorders>
            <w:shd w:val="clear" w:color="auto" w:fill="auto"/>
            <w:vAlign w:val="center"/>
          </w:tcPr>
          <w:p w14:paraId="2DFC7F1E" w14:textId="6F6A833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Brasil</w:t>
            </w:r>
          </w:p>
        </w:tc>
        <w:tc>
          <w:tcPr>
            <w:tcW w:w="1044" w:type="dxa"/>
            <w:tcBorders>
              <w:top w:val="nil"/>
              <w:left w:val="nil"/>
              <w:bottom w:val="single" w:sz="4" w:space="0" w:color="auto"/>
              <w:right w:val="single" w:sz="4" w:space="0" w:color="auto"/>
            </w:tcBorders>
            <w:shd w:val="clear" w:color="auto" w:fill="auto"/>
            <w:noWrap/>
            <w:vAlign w:val="center"/>
          </w:tcPr>
          <w:p w14:paraId="4AA57BBD" w14:textId="6439475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53.1</w:t>
            </w:r>
          </w:p>
        </w:tc>
        <w:tc>
          <w:tcPr>
            <w:tcW w:w="841" w:type="dxa"/>
            <w:tcBorders>
              <w:top w:val="nil"/>
              <w:left w:val="nil"/>
              <w:bottom w:val="single" w:sz="4" w:space="0" w:color="auto"/>
              <w:right w:val="single" w:sz="4" w:space="0" w:color="auto"/>
            </w:tcBorders>
            <w:shd w:val="clear" w:color="auto" w:fill="auto"/>
            <w:noWrap/>
            <w:vAlign w:val="center"/>
          </w:tcPr>
          <w:p w14:paraId="4988D355" w14:textId="0473F8B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62.3</w:t>
            </w:r>
          </w:p>
        </w:tc>
        <w:tc>
          <w:tcPr>
            <w:tcW w:w="1126" w:type="dxa"/>
            <w:tcBorders>
              <w:top w:val="nil"/>
              <w:left w:val="nil"/>
              <w:bottom w:val="single" w:sz="4" w:space="0" w:color="auto"/>
              <w:right w:val="single" w:sz="4" w:space="0" w:color="auto"/>
            </w:tcBorders>
            <w:shd w:val="clear" w:color="auto" w:fill="auto"/>
            <w:noWrap/>
            <w:vAlign w:val="center"/>
          </w:tcPr>
          <w:p w14:paraId="21203D45" w14:textId="7019E30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57.5</w:t>
            </w:r>
          </w:p>
        </w:tc>
        <w:tc>
          <w:tcPr>
            <w:tcW w:w="696" w:type="dxa"/>
            <w:tcBorders>
              <w:top w:val="nil"/>
              <w:left w:val="nil"/>
              <w:bottom w:val="single" w:sz="4" w:space="0" w:color="auto"/>
              <w:right w:val="single" w:sz="4" w:space="0" w:color="auto"/>
            </w:tcBorders>
            <w:shd w:val="clear" w:color="auto" w:fill="auto"/>
            <w:vAlign w:val="center"/>
          </w:tcPr>
          <w:p w14:paraId="6CDB4E4A" w14:textId="2C26FC6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47.4</w:t>
            </w:r>
          </w:p>
        </w:tc>
        <w:tc>
          <w:tcPr>
            <w:tcW w:w="1295" w:type="dxa"/>
            <w:tcBorders>
              <w:top w:val="nil"/>
              <w:left w:val="nil"/>
              <w:bottom w:val="single" w:sz="4" w:space="0" w:color="auto"/>
              <w:right w:val="single" w:sz="4" w:space="0" w:color="auto"/>
            </w:tcBorders>
            <w:shd w:val="clear" w:color="auto" w:fill="auto"/>
            <w:noWrap/>
            <w:vAlign w:val="center"/>
          </w:tcPr>
          <w:p w14:paraId="34575F00" w14:textId="6EAEB1B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43.5</w:t>
            </w:r>
          </w:p>
        </w:tc>
        <w:tc>
          <w:tcPr>
            <w:tcW w:w="1173" w:type="dxa"/>
            <w:tcBorders>
              <w:top w:val="nil"/>
              <w:left w:val="nil"/>
              <w:bottom w:val="single" w:sz="4" w:space="0" w:color="auto"/>
              <w:right w:val="single" w:sz="4" w:space="0" w:color="auto"/>
            </w:tcBorders>
            <w:shd w:val="clear" w:color="auto" w:fill="auto"/>
            <w:noWrap/>
            <w:vAlign w:val="center"/>
          </w:tcPr>
          <w:p w14:paraId="16E44F0E" w14:textId="3EE3DA2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32.4</w:t>
            </w:r>
          </w:p>
        </w:tc>
      </w:tr>
      <w:tr w:rsidR="0072387E" w:rsidRPr="008C72D8" w14:paraId="6EE51133"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1C7910CE" w14:textId="4635A20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101–125</w:t>
            </w:r>
          </w:p>
        </w:tc>
        <w:tc>
          <w:tcPr>
            <w:tcW w:w="3357" w:type="dxa"/>
            <w:tcBorders>
              <w:top w:val="nil"/>
              <w:left w:val="nil"/>
              <w:bottom w:val="single" w:sz="4" w:space="0" w:color="auto"/>
              <w:right w:val="single" w:sz="4" w:space="0" w:color="auto"/>
            </w:tcBorders>
            <w:shd w:val="clear" w:color="000000" w:fill="E7E6E6"/>
            <w:noWrap/>
            <w:vAlign w:val="center"/>
          </w:tcPr>
          <w:p w14:paraId="6B865E7D" w14:textId="1295AA6E"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Autónoma de Barcelona</w:t>
            </w:r>
          </w:p>
        </w:tc>
        <w:tc>
          <w:tcPr>
            <w:tcW w:w="988" w:type="dxa"/>
            <w:tcBorders>
              <w:top w:val="nil"/>
              <w:left w:val="nil"/>
              <w:bottom w:val="single" w:sz="4" w:space="0" w:color="auto"/>
              <w:right w:val="single" w:sz="4" w:space="0" w:color="auto"/>
            </w:tcBorders>
            <w:shd w:val="clear" w:color="000000" w:fill="E7E6E6"/>
            <w:vAlign w:val="center"/>
          </w:tcPr>
          <w:p w14:paraId="1CE3CF55" w14:textId="12B8072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6A95B556" w14:textId="38F7C1D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46.2–49.4</w:t>
            </w:r>
          </w:p>
        </w:tc>
        <w:tc>
          <w:tcPr>
            <w:tcW w:w="841" w:type="dxa"/>
            <w:tcBorders>
              <w:top w:val="nil"/>
              <w:left w:val="nil"/>
              <w:bottom w:val="single" w:sz="4" w:space="0" w:color="auto"/>
              <w:right w:val="single" w:sz="4" w:space="0" w:color="auto"/>
            </w:tcBorders>
            <w:shd w:val="clear" w:color="000000" w:fill="E7E6E6"/>
            <w:noWrap/>
            <w:vAlign w:val="center"/>
          </w:tcPr>
          <w:p w14:paraId="0C5A8CB2" w14:textId="13D4C21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34.4</w:t>
            </w:r>
          </w:p>
        </w:tc>
        <w:tc>
          <w:tcPr>
            <w:tcW w:w="1126" w:type="dxa"/>
            <w:tcBorders>
              <w:top w:val="nil"/>
              <w:left w:val="nil"/>
              <w:bottom w:val="single" w:sz="4" w:space="0" w:color="auto"/>
              <w:right w:val="single" w:sz="4" w:space="0" w:color="auto"/>
            </w:tcBorders>
            <w:shd w:val="clear" w:color="000000" w:fill="E7E6E6"/>
            <w:noWrap/>
            <w:vAlign w:val="center"/>
          </w:tcPr>
          <w:p w14:paraId="08D44416" w14:textId="64274D9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34.4</w:t>
            </w:r>
          </w:p>
        </w:tc>
        <w:tc>
          <w:tcPr>
            <w:tcW w:w="696" w:type="dxa"/>
            <w:tcBorders>
              <w:top w:val="nil"/>
              <w:left w:val="nil"/>
              <w:bottom w:val="single" w:sz="4" w:space="0" w:color="auto"/>
              <w:right w:val="single" w:sz="4" w:space="0" w:color="auto"/>
            </w:tcBorders>
            <w:shd w:val="clear" w:color="000000" w:fill="E7E6E6"/>
            <w:vAlign w:val="center"/>
          </w:tcPr>
          <w:p w14:paraId="5244B50A" w14:textId="52D8742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66.5</w:t>
            </w:r>
          </w:p>
        </w:tc>
        <w:tc>
          <w:tcPr>
            <w:tcW w:w="1295" w:type="dxa"/>
            <w:tcBorders>
              <w:top w:val="nil"/>
              <w:left w:val="nil"/>
              <w:bottom w:val="single" w:sz="4" w:space="0" w:color="auto"/>
              <w:right w:val="single" w:sz="4" w:space="0" w:color="auto"/>
            </w:tcBorders>
            <w:shd w:val="clear" w:color="000000" w:fill="E7E6E6"/>
            <w:noWrap/>
            <w:vAlign w:val="center"/>
          </w:tcPr>
          <w:p w14:paraId="30E2318D" w14:textId="54EC848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46.8</w:t>
            </w:r>
          </w:p>
        </w:tc>
        <w:tc>
          <w:tcPr>
            <w:tcW w:w="1173" w:type="dxa"/>
            <w:tcBorders>
              <w:top w:val="nil"/>
              <w:left w:val="nil"/>
              <w:bottom w:val="single" w:sz="4" w:space="0" w:color="auto"/>
              <w:right w:val="single" w:sz="4" w:space="0" w:color="auto"/>
            </w:tcBorders>
            <w:shd w:val="clear" w:color="000000" w:fill="E7E6E6"/>
            <w:noWrap/>
            <w:vAlign w:val="center"/>
          </w:tcPr>
          <w:p w14:paraId="7093BDCB" w14:textId="10A648F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52.8</w:t>
            </w:r>
          </w:p>
        </w:tc>
      </w:tr>
      <w:tr w:rsidR="0072387E" w:rsidRPr="008C72D8" w14:paraId="04F4DB79"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4D1C67D" w14:textId="564A6F4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151–175</w:t>
            </w:r>
          </w:p>
        </w:tc>
        <w:tc>
          <w:tcPr>
            <w:tcW w:w="3357" w:type="dxa"/>
            <w:tcBorders>
              <w:top w:val="nil"/>
              <w:left w:val="nil"/>
              <w:bottom w:val="single" w:sz="4" w:space="0" w:color="auto"/>
              <w:right w:val="single" w:sz="4" w:space="0" w:color="auto"/>
            </w:tcBorders>
            <w:shd w:val="clear" w:color="auto" w:fill="auto"/>
            <w:noWrap/>
            <w:vAlign w:val="center"/>
          </w:tcPr>
          <w:p w14:paraId="5EB89814" w14:textId="009C6D3C"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Pontificia Universidad Javeriana</w:t>
            </w:r>
          </w:p>
        </w:tc>
        <w:tc>
          <w:tcPr>
            <w:tcW w:w="988" w:type="dxa"/>
            <w:tcBorders>
              <w:top w:val="nil"/>
              <w:left w:val="nil"/>
              <w:bottom w:val="single" w:sz="4" w:space="0" w:color="auto"/>
              <w:right w:val="single" w:sz="4" w:space="0" w:color="auto"/>
            </w:tcBorders>
            <w:shd w:val="clear" w:color="auto" w:fill="auto"/>
            <w:vAlign w:val="center"/>
          </w:tcPr>
          <w:p w14:paraId="6AAF1BF8" w14:textId="0C175A3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Colombia</w:t>
            </w:r>
          </w:p>
        </w:tc>
        <w:tc>
          <w:tcPr>
            <w:tcW w:w="1044" w:type="dxa"/>
            <w:tcBorders>
              <w:top w:val="nil"/>
              <w:left w:val="nil"/>
              <w:bottom w:val="single" w:sz="4" w:space="0" w:color="auto"/>
              <w:right w:val="single" w:sz="4" w:space="0" w:color="auto"/>
            </w:tcBorders>
            <w:shd w:val="clear" w:color="auto" w:fill="auto"/>
            <w:noWrap/>
            <w:vAlign w:val="center"/>
          </w:tcPr>
          <w:p w14:paraId="5AD0D7BA" w14:textId="76ED758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42.9–44.8</w:t>
            </w:r>
          </w:p>
        </w:tc>
        <w:tc>
          <w:tcPr>
            <w:tcW w:w="841" w:type="dxa"/>
            <w:tcBorders>
              <w:top w:val="nil"/>
              <w:left w:val="nil"/>
              <w:bottom w:val="single" w:sz="4" w:space="0" w:color="auto"/>
              <w:right w:val="single" w:sz="4" w:space="0" w:color="auto"/>
            </w:tcBorders>
            <w:shd w:val="clear" w:color="auto" w:fill="auto"/>
            <w:noWrap/>
            <w:vAlign w:val="center"/>
          </w:tcPr>
          <w:p w14:paraId="18F0E439" w14:textId="0EC3B20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15.2</w:t>
            </w:r>
          </w:p>
        </w:tc>
        <w:tc>
          <w:tcPr>
            <w:tcW w:w="1126" w:type="dxa"/>
            <w:tcBorders>
              <w:top w:val="nil"/>
              <w:left w:val="nil"/>
              <w:bottom w:val="single" w:sz="4" w:space="0" w:color="auto"/>
              <w:right w:val="single" w:sz="4" w:space="0" w:color="auto"/>
            </w:tcBorders>
            <w:shd w:val="clear" w:color="auto" w:fill="auto"/>
            <w:noWrap/>
            <w:vAlign w:val="center"/>
          </w:tcPr>
          <w:p w14:paraId="6C701687" w14:textId="0492565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11.4</w:t>
            </w:r>
          </w:p>
        </w:tc>
        <w:tc>
          <w:tcPr>
            <w:tcW w:w="696" w:type="dxa"/>
            <w:tcBorders>
              <w:top w:val="nil"/>
              <w:left w:val="nil"/>
              <w:bottom w:val="single" w:sz="4" w:space="0" w:color="auto"/>
              <w:right w:val="single" w:sz="4" w:space="0" w:color="auto"/>
            </w:tcBorders>
            <w:shd w:val="clear" w:color="auto" w:fill="auto"/>
            <w:vAlign w:val="center"/>
          </w:tcPr>
          <w:p w14:paraId="231D1F3F" w14:textId="7D073B9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94</w:t>
            </w:r>
          </w:p>
        </w:tc>
        <w:tc>
          <w:tcPr>
            <w:tcW w:w="1295" w:type="dxa"/>
            <w:tcBorders>
              <w:top w:val="nil"/>
              <w:left w:val="nil"/>
              <w:bottom w:val="single" w:sz="4" w:space="0" w:color="auto"/>
              <w:right w:val="single" w:sz="4" w:space="0" w:color="auto"/>
            </w:tcBorders>
            <w:shd w:val="clear" w:color="auto" w:fill="auto"/>
            <w:noWrap/>
            <w:vAlign w:val="center"/>
          </w:tcPr>
          <w:p w14:paraId="2F448470" w14:textId="198616F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41.6</w:t>
            </w:r>
          </w:p>
        </w:tc>
        <w:tc>
          <w:tcPr>
            <w:tcW w:w="1173" w:type="dxa"/>
            <w:tcBorders>
              <w:top w:val="nil"/>
              <w:left w:val="nil"/>
              <w:bottom w:val="single" w:sz="4" w:space="0" w:color="auto"/>
              <w:right w:val="single" w:sz="4" w:space="0" w:color="auto"/>
            </w:tcBorders>
            <w:shd w:val="clear" w:color="auto" w:fill="auto"/>
            <w:noWrap/>
            <w:vAlign w:val="center"/>
          </w:tcPr>
          <w:p w14:paraId="72997A47" w14:textId="482B554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45.4</w:t>
            </w:r>
          </w:p>
        </w:tc>
      </w:tr>
      <w:tr w:rsidR="0072387E" w:rsidRPr="008C72D8" w14:paraId="31DFF5BB"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4094772A" w14:textId="4174297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151–175</w:t>
            </w:r>
          </w:p>
        </w:tc>
        <w:tc>
          <w:tcPr>
            <w:tcW w:w="3357" w:type="dxa"/>
            <w:tcBorders>
              <w:top w:val="nil"/>
              <w:left w:val="nil"/>
              <w:bottom w:val="single" w:sz="4" w:space="0" w:color="auto"/>
              <w:right w:val="single" w:sz="4" w:space="0" w:color="auto"/>
            </w:tcBorders>
            <w:shd w:val="clear" w:color="000000" w:fill="E7E6E6"/>
            <w:noWrap/>
            <w:vAlign w:val="center"/>
          </w:tcPr>
          <w:p w14:paraId="1AAC67AB" w14:textId="20678071"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Autónoma de Madrid</w:t>
            </w:r>
          </w:p>
        </w:tc>
        <w:tc>
          <w:tcPr>
            <w:tcW w:w="988" w:type="dxa"/>
            <w:tcBorders>
              <w:top w:val="nil"/>
              <w:left w:val="nil"/>
              <w:bottom w:val="single" w:sz="4" w:space="0" w:color="auto"/>
              <w:right w:val="single" w:sz="4" w:space="0" w:color="auto"/>
            </w:tcBorders>
            <w:shd w:val="clear" w:color="000000" w:fill="E7E6E6"/>
            <w:vAlign w:val="center"/>
          </w:tcPr>
          <w:p w14:paraId="6311C3B1" w14:textId="3DB72A1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3B8D3C76" w14:textId="36D6B9A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42.9–44.8</w:t>
            </w:r>
          </w:p>
        </w:tc>
        <w:tc>
          <w:tcPr>
            <w:tcW w:w="841" w:type="dxa"/>
            <w:tcBorders>
              <w:top w:val="nil"/>
              <w:left w:val="nil"/>
              <w:bottom w:val="single" w:sz="4" w:space="0" w:color="auto"/>
              <w:right w:val="single" w:sz="4" w:space="0" w:color="auto"/>
            </w:tcBorders>
            <w:shd w:val="clear" w:color="000000" w:fill="E7E6E6"/>
            <w:noWrap/>
            <w:vAlign w:val="center"/>
          </w:tcPr>
          <w:p w14:paraId="34554892" w14:textId="669D1AD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37.6</w:t>
            </w:r>
          </w:p>
        </w:tc>
        <w:tc>
          <w:tcPr>
            <w:tcW w:w="1126" w:type="dxa"/>
            <w:tcBorders>
              <w:top w:val="nil"/>
              <w:left w:val="nil"/>
              <w:bottom w:val="single" w:sz="4" w:space="0" w:color="auto"/>
              <w:right w:val="single" w:sz="4" w:space="0" w:color="auto"/>
            </w:tcBorders>
            <w:shd w:val="clear" w:color="000000" w:fill="E7E6E6"/>
            <w:noWrap/>
            <w:vAlign w:val="center"/>
          </w:tcPr>
          <w:p w14:paraId="46CDCA60" w14:textId="341B04B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30.5</w:t>
            </w:r>
          </w:p>
        </w:tc>
        <w:tc>
          <w:tcPr>
            <w:tcW w:w="696" w:type="dxa"/>
            <w:tcBorders>
              <w:top w:val="nil"/>
              <w:left w:val="nil"/>
              <w:bottom w:val="single" w:sz="4" w:space="0" w:color="auto"/>
              <w:right w:val="single" w:sz="4" w:space="0" w:color="auto"/>
            </w:tcBorders>
            <w:shd w:val="clear" w:color="000000" w:fill="E7E6E6"/>
            <w:vAlign w:val="center"/>
          </w:tcPr>
          <w:p w14:paraId="5FD9ADB3" w14:textId="0B90C82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57.5</w:t>
            </w:r>
          </w:p>
        </w:tc>
        <w:tc>
          <w:tcPr>
            <w:tcW w:w="1295" w:type="dxa"/>
            <w:tcBorders>
              <w:top w:val="nil"/>
              <w:left w:val="nil"/>
              <w:bottom w:val="single" w:sz="4" w:space="0" w:color="auto"/>
              <w:right w:val="single" w:sz="4" w:space="0" w:color="auto"/>
            </w:tcBorders>
            <w:shd w:val="clear" w:color="000000" w:fill="E7E6E6"/>
            <w:noWrap/>
            <w:vAlign w:val="center"/>
          </w:tcPr>
          <w:p w14:paraId="3CE98A4A" w14:textId="4C5C758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45</w:t>
            </w:r>
          </w:p>
        </w:tc>
        <w:tc>
          <w:tcPr>
            <w:tcW w:w="1173" w:type="dxa"/>
            <w:tcBorders>
              <w:top w:val="nil"/>
              <w:left w:val="nil"/>
              <w:bottom w:val="single" w:sz="4" w:space="0" w:color="auto"/>
              <w:right w:val="single" w:sz="4" w:space="0" w:color="auto"/>
            </w:tcBorders>
            <w:shd w:val="clear" w:color="000000" w:fill="E7E6E6"/>
            <w:noWrap/>
            <w:vAlign w:val="center"/>
          </w:tcPr>
          <w:p w14:paraId="666AFFB0" w14:textId="1215E70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46.5</w:t>
            </w:r>
          </w:p>
        </w:tc>
      </w:tr>
      <w:tr w:rsidR="0072387E" w:rsidRPr="008C72D8" w14:paraId="3B1D9E17"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7E2C4E5" w14:textId="6D4CE4B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151–175</w:t>
            </w:r>
          </w:p>
        </w:tc>
        <w:tc>
          <w:tcPr>
            <w:tcW w:w="3357" w:type="dxa"/>
            <w:tcBorders>
              <w:top w:val="nil"/>
              <w:left w:val="nil"/>
              <w:bottom w:val="single" w:sz="4" w:space="0" w:color="auto"/>
              <w:right w:val="single" w:sz="4" w:space="0" w:color="auto"/>
            </w:tcBorders>
            <w:shd w:val="clear" w:color="auto" w:fill="auto"/>
            <w:noWrap/>
            <w:vAlign w:val="center"/>
          </w:tcPr>
          <w:p w14:paraId="51A88DB6" w14:textId="39EF0CE8"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Autónoma Metropolitana</w:t>
            </w:r>
          </w:p>
        </w:tc>
        <w:tc>
          <w:tcPr>
            <w:tcW w:w="988" w:type="dxa"/>
            <w:tcBorders>
              <w:top w:val="nil"/>
              <w:left w:val="nil"/>
              <w:bottom w:val="single" w:sz="4" w:space="0" w:color="auto"/>
              <w:right w:val="single" w:sz="4" w:space="0" w:color="auto"/>
            </w:tcBorders>
            <w:shd w:val="clear" w:color="auto" w:fill="auto"/>
            <w:vAlign w:val="center"/>
          </w:tcPr>
          <w:p w14:paraId="4A515728" w14:textId="22CF049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México</w:t>
            </w:r>
          </w:p>
        </w:tc>
        <w:tc>
          <w:tcPr>
            <w:tcW w:w="1044" w:type="dxa"/>
            <w:tcBorders>
              <w:top w:val="nil"/>
              <w:left w:val="nil"/>
              <w:bottom w:val="single" w:sz="4" w:space="0" w:color="auto"/>
              <w:right w:val="single" w:sz="4" w:space="0" w:color="auto"/>
            </w:tcBorders>
            <w:shd w:val="clear" w:color="auto" w:fill="auto"/>
            <w:noWrap/>
            <w:vAlign w:val="center"/>
          </w:tcPr>
          <w:p w14:paraId="2D8983C8" w14:textId="7AF0B6D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42.9–44.8</w:t>
            </w:r>
          </w:p>
        </w:tc>
        <w:tc>
          <w:tcPr>
            <w:tcW w:w="841" w:type="dxa"/>
            <w:tcBorders>
              <w:top w:val="nil"/>
              <w:left w:val="nil"/>
              <w:bottom w:val="single" w:sz="4" w:space="0" w:color="auto"/>
              <w:right w:val="single" w:sz="4" w:space="0" w:color="auto"/>
            </w:tcBorders>
            <w:shd w:val="clear" w:color="auto" w:fill="auto"/>
            <w:noWrap/>
            <w:vAlign w:val="center"/>
          </w:tcPr>
          <w:p w14:paraId="0F9158DD" w14:textId="7FA2BAE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12.5</w:t>
            </w:r>
          </w:p>
        </w:tc>
        <w:tc>
          <w:tcPr>
            <w:tcW w:w="1126" w:type="dxa"/>
            <w:tcBorders>
              <w:top w:val="nil"/>
              <w:left w:val="nil"/>
              <w:bottom w:val="single" w:sz="4" w:space="0" w:color="auto"/>
              <w:right w:val="single" w:sz="4" w:space="0" w:color="auto"/>
            </w:tcBorders>
            <w:shd w:val="clear" w:color="auto" w:fill="auto"/>
            <w:noWrap/>
            <w:vAlign w:val="center"/>
          </w:tcPr>
          <w:p w14:paraId="560ADB85" w14:textId="20E932A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10.6</w:t>
            </w:r>
          </w:p>
        </w:tc>
        <w:tc>
          <w:tcPr>
            <w:tcW w:w="696" w:type="dxa"/>
            <w:tcBorders>
              <w:top w:val="nil"/>
              <w:left w:val="nil"/>
              <w:bottom w:val="single" w:sz="4" w:space="0" w:color="auto"/>
              <w:right w:val="single" w:sz="4" w:space="0" w:color="auto"/>
            </w:tcBorders>
            <w:shd w:val="clear" w:color="auto" w:fill="auto"/>
            <w:vAlign w:val="center"/>
          </w:tcPr>
          <w:p w14:paraId="799450DC" w14:textId="2D49A29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97.7</w:t>
            </w:r>
          </w:p>
        </w:tc>
        <w:tc>
          <w:tcPr>
            <w:tcW w:w="1295" w:type="dxa"/>
            <w:tcBorders>
              <w:top w:val="nil"/>
              <w:left w:val="nil"/>
              <w:bottom w:val="single" w:sz="4" w:space="0" w:color="auto"/>
              <w:right w:val="single" w:sz="4" w:space="0" w:color="auto"/>
            </w:tcBorders>
            <w:shd w:val="clear" w:color="auto" w:fill="auto"/>
            <w:noWrap/>
            <w:vAlign w:val="center"/>
          </w:tcPr>
          <w:p w14:paraId="49EEF611" w14:textId="7CF0285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42.2</w:t>
            </w:r>
          </w:p>
        </w:tc>
        <w:tc>
          <w:tcPr>
            <w:tcW w:w="1173" w:type="dxa"/>
            <w:tcBorders>
              <w:top w:val="nil"/>
              <w:left w:val="nil"/>
              <w:bottom w:val="single" w:sz="4" w:space="0" w:color="auto"/>
              <w:right w:val="single" w:sz="4" w:space="0" w:color="auto"/>
            </w:tcBorders>
            <w:shd w:val="clear" w:color="auto" w:fill="auto"/>
            <w:noWrap/>
            <w:vAlign w:val="center"/>
          </w:tcPr>
          <w:p w14:paraId="6F62C49D" w14:textId="244974F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27.6</w:t>
            </w:r>
          </w:p>
        </w:tc>
      </w:tr>
      <w:tr w:rsidR="0072387E" w:rsidRPr="008C72D8" w14:paraId="6898B143"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7A46B749" w14:textId="3119FBD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176–200</w:t>
            </w:r>
          </w:p>
        </w:tc>
        <w:tc>
          <w:tcPr>
            <w:tcW w:w="3357" w:type="dxa"/>
            <w:tcBorders>
              <w:top w:val="nil"/>
              <w:left w:val="nil"/>
              <w:bottom w:val="single" w:sz="4" w:space="0" w:color="auto"/>
              <w:right w:val="single" w:sz="4" w:space="0" w:color="auto"/>
            </w:tcBorders>
            <w:shd w:val="clear" w:color="000000" w:fill="E7E6E6"/>
            <w:noWrap/>
            <w:vAlign w:val="center"/>
          </w:tcPr>
          <w:p w14:paraId="05F2710C" w14:textId="4CDEDFC3"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Barcelona</w:t>
            </w:r>
          </w:p>
        </w:tc>
        <w:tc>
          <w:tcPr>
            <w:tcW w:w="988" w:type="dxa"/>
            <w:tcBorders>
              <w:top w:val="nil"/>
              <w:left w:val="nil"/>
              <w:bottom w:val="single" w:sz="4" w:space="0" w:color="auto"/>
              <w:right w:val="single" w:sz="4" w:space="0" w:color="auto"/>
            </w:tcBorders>
            <w:shd w:val="clear" w:color="000000" w:fill="E7E6E6"/>
            <w:vAlign w:val="center"/>
          </w:tcPr>
          <w:p w14:paraId="40E780D9" w14:textId="1D3B1D5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0C46D41C" w14:textId="7FE0B8B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41.6–42.8</w:t>
            </w:r>
          </w:p>
        </w:tc>
        <w:tc>
          <w:tcPr>
            <w:tcW w:w="841" w:type="dxa"/>
            <w:tcBorders>
              <w:top w:val="nil"/>
              <w:left w:val="nil"/>
              <w:bottom w:val="single" w:sz="4" w:space="0" w:color="auto"/>
              <w:right w:val="single" w:sz="4" w:space="0" w:color="auto"/>
            </w:tcBorders>
            <w:shd w:val="clear" w:color="000000" w:fill="E7E6E6"/>
            <w:noWrap/>
            <w:vAlign w:val="center"/>
          </w:tcPr>
          <w:p w14:paraId="1443F065" w14:textId="6B1A395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28.2</w:t>
            </w:r>
          </w:p>
        </w:tc>
        <w:tc>
          <w:tcPr>
            <w:tcW w:w="1126" w:type="dxa"/>
            <w:tcBorders>
              <w:top w:val="nil"/>
              <w:left w:val="nil"/>
              <w:bottom w:val="single" w:sz="4" w:space="0" w:color="auto"/>
              <w:right w:val="single" w:sz="4" w:space="0" w:color="auto"/>
            </w:tcBorders>
            <w:shd w:val="clear" w:color="000000" w:fill="E7E6E6"/>
            <w:noWrap/>
            <w:vAlign w:val="center"/>
          </w:tcPr>
          <w:p w14:paraId="0D6A0B57" w14:textId="68168CC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29.1</w:t>
            </w:r>
          </w:p>
        </w:tc>
        <w:tc>
          <w:tcPr>
            <w:tcW w:w="696" w:type="dxa"/>
            <w:tcBorders>
              <w:top w:val="nil"/>
              <w:left w:val="nil"/>
              <w:bottom w:val="single" w:sz="4" w:space="0" w:color="auto"/>
              <w:right w:val="single" w:sz="4" w:space="0" w:color="auto"/>
            </w:tcBorders>
            <w:shd w:val="clear" w:color="000000" w:fill="E7E6E6"/>
            <w:vAlign w:val="center"/>
          </w:tcPr>
          <w:p w14:paraId="3841C85F" w14:textId="4422B35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62.4</w:t>
            </w:r>
          </w:p>
        </w:tc>
        <w:tc>
          <w:tcPr>
            <w:tcW w:w="1295" w:type="dxa"/>
            <w:tcBorders>
              <w:top w:val="nil"/>
              <w:left w:val="nil"/>
              <w:bottom w:val="single" w:sz="4" w:space="0" w:color="auto"/>
              <w:right w:val="single" w:sz="4" w:space="0" w:color="auto"/>
            </w:tcBorders>
            <w:shd w:val="clear" w:color="000000" w:fill="E7E6E6"/>
            <w:noWrap/>
            <w:vAlign w:val="center"/>
          </w:tcPr>
          <w:p w14:paraId="4EB0AE17" w14:textId="0246C15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46.3</w:t>
            </w:r>
          </w:p>
        </w:tc>
        <w:tc>
          <w:tcPr>
            <w:tcW w:w="1173" w:type="dxa"/>
            <w:tcBorders>
              <w:top w:val="nil"/>
              <w:left w:val="nil"/>
              <w:bottom w:val="single" w:sz="4" w:space="0" w:color="auto"/>
              <w:right w:val="single" w:sz="4" w:space="0" w:color="auto"/>
            </w:tcBorders>
            <w:shd w:val="clear" w:color="000000" w:fill="E7E6E6"/>
            <w:noWrap/>
            <w:vAlign w:val="center"/>
          </w:tcPr>
          <w:p w14:paraId="6B13906E" w14:textId="6F72D01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53.2</w:t>
            </w:r>
          </w:p>
        </w:tc>
      </w:tr>
      <w:tr w:rsidR="0072387E" w:rsidRPr="008C72D8" w14:paraId="014F7EC1"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4D5475C" w14:textId="22A5B46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201–250</w:t>
            </w:r>
          </w:p>
        </w:tc>
        <w:tc>
          <w:tcPr>
            <w:tcW w:w="3357" w:type="dxa"/>
            <w:tcBorders>
              <w:top w:val="nil"/>
              <w:left w:val="nil"/>
              <w:bottom w:val="single" w:sz="4" w:space="0" w:color="auto"/>
              <w:right w:val="single" w:sz="4" w:space="0" w:color="auto"/>
            </w:tcBorders>
            <w:shd w:val="clear" w:color="auto" w:fill="auto"/>
            <w:noWrap/>
            <w:vAlign w:val="center"/>
          </w:tcPr>
          <w:p w14:paraId="451F5D1A" w14:textId="4A06F796"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Costa Rica</w:t>
            </w:r>
          </w:p>
        </w:tc>
        <w:tc>
          <w:tcPr>
            <w:tcW w:w="988" w:type="dxa"/>
            <w:tcBorders>
              <w:top w:val="nil"/>
              <w:left w:val="nil"/>
              <w:bottom w:val="single" w:sz="4" w:space="0" w:color="auto"/>
              <w:right w:val="single" w:sz="4" w:space="0" w:color="auto"/>
            </w:tcBorders>
            <w:shd w:val="clear" w:color="auto" w:fill="auto"/>
            <w:vAlign w:val="center"/>
          </w:tcPr>
          <w:p w14:paraId="5F438FA0" w14:textId="08550E5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Costa Rica</w:t>
            </w:r>
          </w:p>
        </w:tc>
        <w:tc>
          <w:tcPr>
            <w:tcW w:w="1044" w:type="dxa"/>
            <w:tcBorders>
              <w:top w:val="nil"/>
              <w:left w:val="nil"/>
              <w:bottom w:val="single" w:sz="4" w:space="0" w:color="auto"/>
              <w:right w:val="single" w:sz="4" w:space="0" w:color="auto"/>
            </w:tcBorders>
            <w:shd w:val="clear" w:color="auto" w:fill="auto"/>
            <w:noWrap/>
            <w:vAlign w:val="center"/>
          </w:tcPr>
          <w:p w14:paraId="3DE9DD85" w14:textId="4214A33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38.9–41.5</w:t>
            </w:r>
          </w:p>
        </w:tc>
        <w:tc>
          <w:tcPr>
            <w:tcW w:w="841" w:type="dxa"/>
            <w:tcBorders>
              <w:top w:val="nil"/>
              <w:left w:val="nil"/>
              <w:bottom w:val="single" w:sz="4" w:space="0" w:color="auto"/>
              <w:right w:val="single" w:sz="4" w:space="0" w:color="auto"/>
            </w:tcBorders>
            <w:shd w:val="clear" w:color="auto" w:fill="auto"/>
            <w:noWrap/>
            <w:vAlign w:val="center"/>
          </w:tcPr>
          <w:p w14:paraId="4FE3FC79" w14:textId="2CC6F70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11.6</w:t>
            </w:r>
          </w:p>
        </w:tc>
        <w:tc>
          <w:tcPr>
            <w:tcW w:w="1126" w:type="dxa"/>
            <w:tcBorders>
              <w:top w:val="nil"/>
              <w:left w:val="nil"/>
              <w:bottom w:val="single" w:sz="4" w:space="0" w:color="auto"/>
              <w:right w:val="single" w:sz="4" w:space="0" w:color="auto"/>
            </w:tcBorders>
            <w:shd w:val="clear" w:color="auto" w:fill="auto"/>
            <w:noWrap/>
            <w:vAlign w:val="center"/>
          </w:tcPr>
          <w:p w14:paraId="7859A0E5" w14:textId="67FFDD9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7.9</w:t>
            </w:r>
          </w:p>
        </w:tc>
        <w:tc>
          <w:tcPr>
            <w:tcW w:w="696" w:type="dxa"/>
            <w:tcBorders>
              <w:top w:val="nil"/>
              <w:left w:val="nil"/>
              <w:bottom w:val="single" w:sz="4" w:space="0" w:color="auto"/>
              <w:right w:val="single" w:sz="4" w:space="0" w:color="auto"/>
            </w:tcBorders>
            <w:shd w:val="clear" w:color="auto" w:fill="auto"/>
            <w:vAlign w:val="center"/>
          </w:tcPr>
          <w:p w14:paraId="217E6376" w14:textId="5DE6164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84.6</w:t>
            </w:r>
          </w:p>
        </w:tc>
        <w:tc>
          <w:tcPr>
            <w:tcW w:w="1295" w:type="dxa"/>
            <w:tcBorders>
              <w:top w:val="nil"/>
              <w:left w:val="nil"/>
              <w:bottom w:val="single" w:sz="4" w:space="0" w:color="auto"/>
              <w:right w:val="single" w:sz="4" w:space="0" w:color="auto"/>
            </w:tcBorders>
            <w:shd w:val="clear" w:color="auto" w:fill="auto"/>
            <w:noWrap/>
            <w:vAlign w:val="center"/>
          </w:tcPr>
          <w:p w14:paraId="08BA597F" w14:textId="5EF22CE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41.6</w:t>
            </w:r>
          </w:p>
        </w:tc>
        <w:tc>
          <w:tcPr>
            <w:tcW w:w="1173" w:type="dxa"/>
            <w:tcBorders>
              <w:top w:val="nil"/>
              <w:left w:val="nil"/>
              <w:bottom w:val="single" w:sz="4" w:space="0" w:color="auto"/>
              <w:right w:val="single" w:sz="4" w:space="0" w:color="auto"/>
            </w:tcBorders>
            <w:shd w:val="clear" w:color="auto" w:fill="auto"/>
            <w:noWrap/>
            <w:vAlign w:val="center"/>
          </w:tcPr>
          <w:p w14:paraId="70081661" w14:textId="0BB1D58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49.2</w:t>
            </w:r>
          </w:p>
        </w:tc>
      </w:tr>
      <w:tr w:rsidR="0072387E" w:rsidRPr="008C72D8" w14:paraId="52DFEC2E"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61BE5ACC" w14:textId="4059E26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201–250</w:t>
            </w:r>
          </w:p>
        </w:tc>
        <w:tc>
          <w:tcPr>
            <w:tcW w:w="3357" w:type="dxa"/>
            <w:tcBorders>
              <w:top w:val="nil"/>
              <w:left w:val="nil"/>
              <w:bottom w:val="single" w:sz="4" w:space="0" w:color="auto"/>
              <w:right w:val="single" w:sz="4" w:space="0" w:color="auto"/>
            </w:tcBorders>
            <w:shd w:val="clear" w:color="000000" w:fill="E7E6E6"/>
            <w:noWrap/>
            <w:vAlign w:val="center"/>
          </w:tcPr>
          <w:p w14:paraId="5EAE3626" w14:textId="534E7582"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Pompeu Fabra</w:t>
            </w:r>
          </w:p>
        </w:tc>
        <w:tc>
          <w:tcPr>
            <w:tcW w:w="988" w:type="dxa"/>
            <w:tcBorders>
              <w:top w:val="nil"/>
              <w:left w:val="nil"/>
              <w:bottom w:val="single" w:sz="4" w:space="0" w:color="auto"/>
              <w:right w:val="single" w:sz="4" w:space="0" w:color="auto"/>
            </w:tcBorders>
            <w:shd w:val="clear" w:color="000000" w:fill="E7E6E6"/>
            <w:vAlign w:val="center"/>
          </w:tcPr>
          <w:p w14:paraId="5C6046A4" w14:textId="03FEE70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7482DE90" w14:textId="64F0BE9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38.9–41.5</w:t>
            </w:r>
          </w:p>
        </w:tc>
        <w:tc>
          <w:tcPr>
            <w:tcW w:w="841" w:type="dxa"/>
            <w:tcBorders>
              <w:top w:val="nil"/>
              <w:left w:val="nil"/>
              <w:bottom w:val="single" w:sz="4" w:space="0" w:color="auto"/>
              <w:right w:val="single" w:sz="4" w:space="0" w:color="auto"/>
            </w:tcBorders>
            <w:shd w:val="clear" w:color="000000" w:fill="E7E6E6"/>
            <w:noWrap/>
            <w:vAlign w:val="center"/>
          </w:tcPr>
          <w:p w14:paraId="5BA1241C" w14:textId="02CDA88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26.7</w:t>
            </w:r>
          </w:p>
        </w:tc>
        <w:tc>
          <w:tcPr>
            <w:tcW w:w="1126" w:type="dxa"/>
            <w:tcBorders>
              <w:top w:val="nil"/>
              <w:left w:val="nil"/>
              <w:bottom w:val="single" w:sz="4" w:space="0" w:color="auto"/>
              <w:right w:val="single" w:sz="4" w:space="0" w:color="auto"/>
            </w:tcBorders>
            <w:shd w:val="clear" w:color="000000" w:fill="E7E6E6"/>
            <w:noWrap/>
            <w:vAlign w:val="center"/>
          </w:tcPr>
          <w:p w14:paraId="4FF3324B" w14:textId="26C67FC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21.3</w:t>
            </w:r>
          </w:p>
        </w:tc>
        <w:tc>
          <w:tcPr>
            <w:tcW w:w="696" w:type="dxa"/>
            <w:tcBorders>
              <w:top w:val="nil"/>
              <w:left w:val="nil"/>
              <w:bottom w:val="single" w:sz="4" w:space="0" w:color="auto"/>
              <w:right w:val="single" w:sz="4" w:space="0" w:color="auto"/>
            </w:tcBorders>
            <w:shd w:val="clear" w:color="000000" w:fill="E7E6E6"/>
            <w:vAlign w:val="center"/>
          </w:tcPr>
          <w:p w14:paraId="3FDD4535" w14:textId="28200AF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61.8</w:t>
            </w:r>
          </w:p>
        </w:tc>
        <w:tc>
          <w:tcPr>
            <w:tcW w:w="1295" w:type="dxa"/>
            <w:tcBorders>
              <w:top w:val="nil"/>
              <w:left w:val="nil"/>
              <w:bottom w:val="single" w:sz="4" w:space="0" w:color="auto"/>
              <w:right w:val="single" w:sz="4" w:space="0" w:color="auto"/>
            </w:tcBorders>
            <w:shd w:val="clear" w:color="000000" w:fill="E7E6E6"/>
            <w:noWrap/>
            <w:vAlign w:val="center"/>
          </w:tcPr>
          <w:p w14:paraId="26B4D38E" w14:textId="7051C69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52</w:t>
            </w:r>
          </w:p>
        </w:tc>
        <w:tc>
          <w:tcPr>
            <w:tcW w:w="1173" w:type="dxa"/>
            <w:tcBorders>
              <w:top w:val="nil"/>
              <w:left w:val="nil"/>
              <w:bottom w:val="single" w:sz="4" w:space="0" w:color="auto"/>
              <w:right w:val="single" w:sz="4" w:space="0" w:color="auto"/>
            </w:tcBorders>
            <w:shd w:val="clear" w:color="000000" w:fill="E7E6E6"/>
            <w:noWrap/>
            <w:vAlign w:val="center"/>
          </w:tcPr>
          <w:p w14:paraId="0224A523" w14:textId="0C3CDB1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64.9</w:t>
            </w:r>
          </w:p>
        </w:tc>
      </w:tr>
      <w:tr w:rsidR="0072387E" w:rsidRPr="008C72D8" w14:paraId="737CCF7D"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37490F4" w14:textId="15AEA10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251–300</w:t>
            </w:r>
          </w:p>
        </w:tc>
        <w:tc>
          <w:tcPr>
            <w:tcW w:w="3357" w:type="dxa"/>
            <w:tcBorders>
              <w:top w:val="nil"/>
              <w:left w:val="nil"/>
              <w:bottom w:val="single" w:sz="4" w:space="0" w:color="auto"/>
              <w:right w:val="single" w:sz="4" w:space="0" w:color="auto"/>
            </w:tcBorders>
            <w:shd w:val="clear" w:color="auto" w:fill="auto"/>
            <w:noWrap/>
            <w:vAlign w:val="center"/>
          </w:tcPr>
          <w:p w14:paraId="59E9D53A" w14:textId="6763896A"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Complutense de Madrid</w:t>
            </w:r>
          </w:p>
        </w:tc>
        <w:tc>
          <w:tcPr>
            <w:tcW w:w="988" w:type="dxa"/>
            <w:tcBorders>
              <w:top w:val="nil"/>
              <w:left w:val="nil"/>
              <w:bottom w:val="single" w:sz="4" w:space="0" w:color="auto"/>
              <w:right w:val="single" w:sz="4" w:space="0" w:color="auto"/>
            </w:tcBorders>
            <w:shd w:val="clear" w:color="auto" w:fill="auto"/>
            <w:vAlign w:val="center"/>
          </w:tcPr>
          <w:p w14:paraId="7AA6042F" w14:textId="709B907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4DFB716A" w14:textId="1B02AAE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36.4–38.8</w:t>
            </w:r>
          </w:p>
        </w:tc>
        <w:tc>
          <w:tcPr>
            <w:tcW w:w="841" w:type="dxa"/>
            <w:tcBorders>
              <w:top w:val="nil"/>
              <w:left w:val="nil"/>
              <w:bottom w:val="single" w:sz="4" w:space="0" w:color="auto"/>
              <w:right w:val="single" w:sz="4" w:space="0" w:color="auto"/>
            </w:tcBorders>
            <w:shd w:val="clear" w:color="auto" w:fill="auto"/>
            <w:noWrap/>
            <w:vAlign w:val="center"/>
          </w:tcPr>
          <w:p w14:paraId="423AD08A" w14:textId="50625EA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27.9</w:t>
            </w:r>
          </w:p>
        </w:tc>
        <w:tc>
          <w:tcPr>
            <w:tcW w:w="1126" w:type="dxa"/>
            <w:tcBorders>
              <w:top w:val="nil"/>
              <w:left w:val="nil"/>
              <w:bottom w:val="single" w:sz="4" w:space="0" w:color="auto"/>
              <w:right w:val="single" w:sz="4" w:space="0" w:color="auto"/>
            </w:tcBorders>
            <w:shd w:val="clear" w:color="auto" w:fill="auto"/>
            <w:noWrap/>
            <w:vAlign w:val="center"/>
          </w:tcPr>
          <w:p w14:paraId="655F2096" w14:textId="68D6934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31.5</w:t>
            </w:r>
          </w:p>
        </w:tc>
        <w:tc>
          <w:tcPr>
            <w:tcW w:w="696" w:type="dxa"/>
            <w:tcBorders>
              <w:top w:val="nil"/>
              <w:left w:val="nil"/>
              <w:bottom w:val="single" w:sz="4" w:space="0" w:color="auto"/>
              <w:right w:val="single" w:sz="4" w:space="0" w:color="auto"/>
            </w:tcBorders>
            <w:shd w:val="clear" w:color="auto" w:fill="auto"/>
            <w:vAlign w:val="center"/>
          </w:tcPr>
          <w:p w14:paraId="0D720E43" w14:textId="0ADDA7E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48.6</w:t>
            </w:r>
          </w:p>
        </w:tc>
        <w:tc>
          <w:tcPr>
            <w:tcW w:w="1295" w:type="dxa"/>
            <w:tcBorders>
              <w:top w:val="nil"/>
              <w:left w:val="nil"/>
              <w:bottom w:val="single" w:sz="4" w:space="0" w:color="auto"/>
              <w:right w:val="single" w:sz="4" w:space="0" w:color="auto"/>
            </w:tcBorders>
            <w:shd w:val="clear" w:color="auto" w:fill="auto"/>
            <w:noWrap/>
            <w:vAlign w:val="center"/>
          </w:tcPr>
          <w:p w14:paraId="6B99C5CD" w14:textId="747EDB7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42.1</w:t>
            </w:r>
          </w:p>
        </w:tc>
        <w:tc>
          <w:tcPr>
            <w:tcW w:w="1173" w:type="dxa"/>
            <w:tcBorders>
              <w:top w:val="nil"/>
              <w:left w:val="nil"/>
              <w:bottom w:val="single" w:sz="4" w:space="0" w:color="auto"/>
              <w:right w:val="single" w:sz="4" w:space="0" w:color="auto"/>
            </w:tcBorders>
            <w:shd w:val="clear" w:color="auto" w:fill="auto"/>
            <w:noWrap/>
            <w:vAlign w:val="center"/>
          </w:tcPr>
          <w:p w14:paraId="054642C9" w14:textId="41B7992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33.7</w:t>
            </w:r>
          </w:p>
        </w:tc>
      </w:tr>
      <w:tr w:rsidR="0072387E" w:rsidRPr="008C72D8" w14:paraId="58F85266"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1630F0A3" w14:textId="3B7AB34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251–300</w:t>
            </w:r>
          </w:p>
        </w:tc>
        <w:tc>
          <w:tcPr>
            <w:tcW w:w="3357" w:type="dxa"/>
            <w:tcBorders>
              <w:top w:val="nil"/>
              <w:left w:val="nil"/>
              <w:bottom w:val="single" w:sz="4" w:space="0" w:color="auto"/>
              <w:right w:val="single" w:sz="4" w:space="0" w:color="auto"/>
            </w:tcBorders>
            <w:shd w:val="clear" w:color="000000" w:fill="E7E6E6"/>
            <w:noWrap/>
            <w:vAlign w:val="center"/>
          </w:tcPr>
          <w:p w14:paraId="6E8C6B5D" w14:textId="6D3B686D"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Navarra</w:t>
            </w:r>
          </w:p>
        </w:tc>
        <w:tc>
          <w:tcPr>
            <w:tcW w:w="988" w:type="dxa"/>
            <w:tcBorders>
              <w:top w:val="nil"/>
              <w:left w:val="nil"/>
              <w:bottom w:val="single" w:sz="4" w:space="0" w:color="auto"/>
              <w:right w:val="single" w:sz="4" w:space="0" w:color="auto"/>
            </w:tcBorders>
            <w:shd w:val="clear" w:color="000000" w:fill="E7E6E6"/>
            <w:vAlign w:val="center"/>
          </w:tcPr>
          <w:p w14:paraId="1BFFB9EF" w14:textId="1B22170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3C8CD613" w14:textId="05DB5ED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36.4–38.8</w:t>
            </w:r>
          </w:p>
        </w:tc>
        <w:tc>
          <w:tcPr>
            <w:tcW w:w="841" w:type="dxa"/>
            <w:tcBorders>
              <w:top w:val="nil"/>
              <w:left w:val="nil"/>
              <w:bottom w:val="single" w:sz="4" w:space="0" w:color="auto"/>
              <w:right w:val="single" w:sz="4" w:space="0" w:color="auto"/>
            </w:tcBorders>
            <w:shd w:val="clear" w:color="000000" w:fill="E7E6E6"/>
            <w:noWrap/>
            <w:vAlign w:val="center"/>
          </w:tcPr>
          <w:p w14:paraId="01FD5EFD" w14:textId="4BD2F18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17.7</w:t>
            </w:r>
          </w:p>
        </w:tc>
        <w:tc>
          <w:tcPr>
            <w:tcW w:w="1126" w:type="dxa"/>
            <w:tcBorders>
              <w:top w:val="nil"/>
              <w:left w:val="nil"/>
              <w:bottom w:val="single" w:sz="4" w:space="0" w:color="auto"/>
              <w:right w:val="single" w:sz="4" w:space="0" w:color="auto"/>
            </w:tcBorders>
            <w:shd w:val="clear" w:color="000000" w:fill="E7E6E6"/>
            <w:noWrap/>
            <w:vAlign w:val="center"/>
          </w:tcPr>
          <w:p w14:paraId="7031B958" w14:textId="7689303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18.6</w:t>
            </w:r>
          </w:p>
        </w:tc>
        <w:tc>
          <w:tcPr>
            <w:tcW w:w="696" w:type="dxa"/>
            <w:tcBorders>
              <w:top w:val="nil"/>
              <w:left w:val="nil"/>
              <w:bottom w:val="single" w:sz="4" w:space="0" w:color="auto"/>
              <w:right w:val="single" w:sz="4" w:space="0" w:color="auto"/>
            </w:tcBorders>
            <w:shd w:val="clear" w:color="000000" w:fill="E7E6E6"/>
            <w:vAlign w:val="center"/>
          </w:tcPr>
          <w:p w14:paraId="3EA04FF8" w14:textId="080CB70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63.5</w:t>
            </w:r>
          </w:p>
        </w:tc>
        <w:tc>
          <w:tcPr>
            <w:tcW w:w="1295" w:type="dxa"/>
            <w:tcBorders>
              <w:top w:val="nil"/>
              <w:left w:val="nil"/>
              <w:bottom w:val="single" w:sz="4" w:space="0" w:color="auto"/>
              <w:right w:val="single" w:sz="4" w:space="0" w:color="auto"/>
            </w:tcBorders>
            <w:shd w:val="clear" w:color="000000" w:fill="E7E6E6"/>
            <w:noWrap/>
            <w:vAlign w:val="center"/>
          </w:tcPr>
          <w:p w14:paraId="2728B656" w14:textId="6AD769B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64.4</w:t>
            </w:r>
          </w:p>
        </w:tc>
        <w:tc>
          <w:tcPr>
            <w:tcW w:w="1173" w:type="dxa"/>
            <w:tcBorders>
              <w:top w:val="nil"/>
              <w:left w:val="nil"/>
              <w:bottom w:val="single" w:sz="4" w:space="0" w:color="auto"/>
              <w:right w:val="single" w:sz="4" w:space="0" w:color="auto"/>
            </w:tcBorders>
            <w:shd w:val="clear" w:color="000000" w:fill="E7E6E6"/>
            <w:noWrap/>
            <w:vAlign w:val="center"/>
          </w:tcPr>
          <w:p w14:paraId="5FE7C187" w14:textId="64FFF60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45.2</w:t>
            </w:r>
          </w:p>
        </w:tc>
      </w:tr>
      <w:tr w:rsidR="0072387E" w:rsidRPr="008C72D8" w14:paraId="65A86779"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97E04A5" w14:textId="6F706E2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401–500</w:t>
            </w:r>
          </w:p>
        </w:tc>
        <w:tc>
          <w:tcPr>
            <w:tcW w:w="3357" w:type="dxa"/>
            <w:tcBorders>
              <w:top w:val="nil"/>
              <w:left w:val="nil"/>
              <w:bottom w:val="single" w:sz="4" w:space="0" w:color="auto"/>
              <w:right w:val="single" w:sz="4" w:space="0" w:color="auto"/>
            </w:tcBorders>
            <w:shd w:val="clear" w:color="auto" w:fill="auto"/>
            <w:noWrap/>
            <w:vAlign w:val="center"/>
          </w:tcPr>
          <w:p w14:paraId="028515DF" w14:textId="473E1D51"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Nacional Autónoma de México</w:t>
            </w:r>
          </w:p>
        </w:tc>
        <w:tc>
          <w:tcPr>
            <w:tcW w:w="988" w:type="dxa"/>
            <w:tcBorders>
              <w:top w:val="nil"/>
              <w:left w:val="nil"/>
              <w:bottom w:val="single" w:sz="4" w:space="0" w:color="auto"/>
              <w:right w:val="single" w:sz="4" w:space="0" w:color="auto"/>
            </w:tcBorders>
            <w:shd w:val="clear" w:color="auto" w:fill="auto"/>
            <w:vAlign w:val="center"/>
          </w:tcPr>
          <w:p w14:paraId="46A4BD04" w14:textId="34F775C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México</w:t>
            </w:r>
          </w:p>
        </w:tc>
        <w:tc>
          <w:tcPr>
            <w:tcW w:w="1044" w:type="dxa"/>
            <w:tcBorders>
              <w:top w:val="nil"/>
              <w:left w:val="nil"/>
              <w:bottom w:val="single" w:sz="4" w:space="0" w:color="auto"/>
              <w:right w:val="single" w:sz="4" w:space="0" w:color="auto"/>
            </w:tcBorders>
            <w:shd w:val="clear" w:color="auto" w:fill="auto"/>
            <w:noWrap/>
            <w:vAlign w:val="center"/>
          </w:tcPr>
          <w:p w14:paraId="38F4145A" w14:textId="146E4CD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29.2–32.3</w:t>
            </w:r>
          </w:p>
        </w:tc>
        <w:tc>
          <w:tcPr>
            <w:tcW w:w="841" w:type="dxa"/>
            <w:tcBorders>
              <w:top w:val="nil"/>
              <w:left w:val="nil"/>
              <w:bottom w:val="single" w:sz="4" w:space="0" w:color="auto"/>
              <w:right w:val="single" w:sz="4" w:space="0" w:color="auto"/>
            </w:tcBorders>
            <w:shd w:val="clear" w:color="auto" w:fill="auto"/>
            <w:noWrap/>
            <w:vAlign w:val="center"/>
          </w:tcPr>
          <w:p w14:paraId="06BD9FA2" w14:textId="66862C5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28.9</w:t>
            </w:r>
          </w:p>
        </w:tc>
        <w:tc>
          <w:tcPr>
            <w:tcW w:w="1126" w:type="dxa"/>
            <w:tcBorders>
              <w:top w:val="nil"/>
              <w:left w:val="nil"/>
              <w:bottom w:val="single" w:sz="4" w:space="0" w:color="auto"/>
              <w:right w:val="single" w:sz="4" w:space="0" w:color="auto"/>
            </w:tcBorders>
            <w:shd w:val="clear" w:color="auto" w:fill="auto"/>
            <w:noWrap/>
            <w:vAlign w:val="center"/>
          </w:tcPr>
          <w:p w14:paraId="33A1C2A6" w14:textId="445F0E5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23.8</w:t>
            </w:r>
          </w:p>
        </w:tc>
        <w:tc>
          <w:tcPr>
            <w:tcW w:w="696" w:type="dxa"/>
            <w:tcBorders>
              <w:top w:val="nil"/>
              <w:left w:val="nil"/>
              <w:bottom w:val="single" w:sz="4" w:space="0" w:color="auto"/>
              <w:right w:val="single" w:sz="4" w:space="0" w:color="auto"/>
            </w:tcBorders>
            <w:shd w:val="clear" w:color="auto" w:fill="auto"/>
            <w:vAlign w:val="center"/>
          </w:tcPr>
          <w:p w14:paraId="5FB52801" w14:textId="0DB5330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35.2</w:t>
            </w:r>
          </w:p>
        </w:tc>
        <w:tc>
          <w:tcPr>
            <w:tcW w:w="1295" w:type="dxa"/>
            <w:tcBorders>
              <w:top w:val="nil"/>
              <w:left w:val="nil"/>
              <w:bottom w:val="single" w:sz="4" w:space="0" w:color="auto"/>
              <w:right w:val="single" w:sz="4" w:space="0" w:color="auto"/>
            </w:tcBorders>
            <w:shd w:val="clear" w:color="auto" w:fill="auto"/>
            <w:noWrap/>
            <w:vAlign w:val="center"/>
          </w:tcPr>
          <w:p w14:paraId="43CC9610" w14:textId="7B73B28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44.1</w:t>
            </w:r>
          </w:p>
        </w:tc>
        <w:tc>
          <w:tcPr>
            <w:tcW w:w="1173" w:type="dxa"/>
            <w:tcBorders>
              <w:top w:val="nil"/>
              <w:left w:val="nil"/>
              <w:bottom w:val="single" w:sz="4" w:space="0" w:color="auto"/>
              <w:right w:val="single" w:sz="4" w:space="0" w:color="auto"/>
            </w:tcBorders>
            <w:shd w:val="clear" w:color="auto" w:fill="auto"/>
            <w:noWrap/>
            <w:vAlign w:val="center"/>
          </w:tcPr>
          <w:p w14:paraId="1AA5CCA4" w14:textId="209542E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31.5</w:t>
            </w:r>
          </w:p>
        </w:tc>
      </w:tr>
    </w:tbl>
    <w:p w14:paraId="3845C9D3" w14:textId="77777777" w:rsidR="0081233E" w:rsidRPr="008C72D8" w:rsidRDefault="0081233E" w:rsidP="0078703F">
      <w:pPr>
        <w:spacing w:line="240" w:lineRule="auto"/>
      </w:pPr>
    </w:p>
    <w:tbl>
      <w:tblPr>
        <w:tblW w:w="11321" w:type="dxa"/>
        <w:jc w:val="center"/>
        <w:tblCellMar>
          <w:left w:w="70" w:type="dxa"/>
          <w:right w:w="70" w:type="dxa"/>
        </w:tblCellMar>
        <w:tblLook w:val="04A0" w:firstRow="1" w:lastRow="0" w:firstColumn="1" w:lastColumn="0" w:noHBand="0" w:noVBand="1"/>
      </w:tblPr>
      <w:tblGrid>
        <w:gridCol w:w="801"/>
        <w:gridCol w:w="3357"/>
        <w:gridCol w:w="896"/>
        <w:gridCol w:w="1044"/>
        <w:gridCol w:w="841"/>
        <w:gridCol w:w="1126"/>
        <w:gridCol w:w="788"/>
        <w:gridCol w:w="1295"/>
        <w:gridCol w:w="1173"/>
      </w:tblGrid>
      <w:tr w:rsidR="00810B7C" w:rsidRPr="008C72D8" w14:paraId="6FAFE089" w14:textId="77777777" w:rsidTr="004D7D0E">
        <w:trPr>
          <w:trHeight w:val="298"/>
          <w:tblHeader/>
          <w:jc w:val="center"/>
        </w:trPr>
        <w:tc>
          <w:tcPr>
            <w:tcW w:w="11321" w:type="dxa"/>
            <w:gridSpan w:val="9"/>
            <w:tcBorders>
              <w:top w:val="nil"/>
              <w:left w:val="nil"/>
              <w:bottom w:val="single" w:sz="4" w:space="0" w:color="auto"/>
              <w:right w:val="nil"/>
            </w:tcBorders>
            <w:shd w:val="clear" w:color="auto" w:fill="auto"/>
            <w:vAlign w:val="center"/>
            <w:hideMark/>
          </w:tcPr>
          <w:p w14:paraId="7AF04C66" w14:textId="71223A06" w:rsidR="00810B7C" w:rsidRPr="008C72D8" w:rsidRDefault="00810B7C" w:rsidP="0078703F">
            <w:pPr>
              <w:spacing w:line="240" w:lineRule="auto"/>
              <w:jc w:val="center"/>
              <w:rPr>
                <w:rFonts w:ascii="Calibri" w:eastAsia="Times New Roman" w:hAnsi="Calibri" w:cs="Calibri"/>
                <w:b/>
                <w:bCs/>
                <w:color w:val="000000"/>
                <w:sz w:val="20"/>
                <w:szCs w:val="20"/>
                <w:lang w:eastAsia="es-MX"/>
              </w:rPr>
            </w:pPr>
            <w:r w:rsidRPr="008C72D8">
              <w:rPr>
                <w:rFonts w:ascii="Calibri" w:eastAsia="Times New Roman" w:hAnsi="Calibri" w:cs="Calibri"/>
                <w:b/>
                <w:bCs/>
                <w:color w:val="000000"/>
                <w:sz w:val="20"/>
                <w:szCs w:val="20"/>
                <w:lang w:eastAsia="es-MX"/>
              </w:rPr>
              <w:t xml:space="preserve">Tabla </w:t>
            </w:r>
            <w:r w:rsidR="0024082E" w:rsidRPr="008C72D8">
              <w:rPr>
                <w:rFonts w:ascii="Calibri" w:eastAsia="Times New Roman" w:hAnsi="Calibri" w:cs="Calibri"/>
                <w:b/>
                <w:bCs/>
                <w:color w:val="000000"/>
                <w:sz w:val="20"/>
                <w:szCs w:val="20"/>
                <w:lang w:eastAsia="es-MX"/>
              </w:rPr>
              <w:t>8</w:t>
            </w:r>
            <w:r w:rsidRPr="008C72D8">
              <w:rPr>
                <w:rFonts w:ascii="Calibri" w:eastAsia="Times New Roman" w:hAnsi="Calibri" w:cs="Calibri"/>
                <w:b/>
                <w:bCs/>
                <w:color w:val="000000"/>
                <w:sz w:val="20"/>
                <w:szCs w:val="20"/>
                <w:lang w:eastAsia="es-MX"/>
              </w:rPr>
              <w:t xml:space="preserve">. Posición de las universidades iberoamericanas </w:t>
            </w:r>
            <w:r w:rsidR="0072387E">
              <w:rPr>
                <w:rFonts w:ascii="Calibri" w:eastAsia="Times New Roman" w:hAnsi="Calibri" w:cs="Calibri"/>
                <w:b/>
                <w:bCs/>
                <w:color w:val="000000"/>
                <w:sz w:val="20"/>
                <w:szCs w:val="20"/>
                <w:lang w:eastAsia="es-MX"/>
              </w:rPr>
              <w:t xml:space="preserve">en el TOP 10 </w:t>
            </w:r>
            <w:r w:rsidRPr="008C72D8">
              <w:rPr>
                <w:rFonts w:ascii="Calibri" w:eastAsia="Times New Roman" w:hAnsi="Calibri" w:cs="Calibri"/>
                <w:b/>
                <w:bCs/>
                <w:color w:val="000000"/>
                <w:sz w:val="20"/>
                <w:szCs w:val="20"/>
                <w:lang w:eastAsia="es-MX"/>
              </w:rPr>
              <w:t xml:space="preserve">del ranking </w:t>
            </w:r>
            <w:r w:rsidR="0081233E" w:rsidRPr="008C72D8">
              <w:rPr>
                <w:rFonts w:ascii="Calibri" w:eastAsia="Times New Roman" w:hAnsi="Calibri" w:cs="Calibri"/>
                <w:b/>
                <w:bCs/>
                <w:color w:val="000000"/>
                <w:sz w:val="20"/>
                <w:szCs w:val="20"/>
                <w:lang w:eastAsia="es-MX"/>
              </w:rPr>
              <w:t xml:space="preserve">THE en el área de </w:t>
            </w:r>
            <w:r w:rsidRPr="008C72D8">
              <w:rPr>
                <w:rFonts w:ascii="Calibri" w:eastAsia="Times New Roman" w:hAnsi="Calibri" w:cs="Calibri"/>
                <w:b/>
                <w:bCs/>
                <w:color w:val="000000"/>
                <w:sz w:val="20"/>
                <w:szCs w:val="20"/>
                <w:lang w:eastAsia="es-MX"/>
              </w:rPr>
              <w:t>Ciencias de la Vida, 2020.</w:t>
            </w:r>
          </w:p>
        </w:tc>
      </w:tr>
      <w:tr w:rsidR="00810B7C" w:rsidRPr="008C72D8" w14:paraId="3EDCCB19" w14:textId="77777777" w:rsidTr="0072387E">
        <w:trPr>
          <w:trHeight w:val="477"/>
          <w:tblHeader/>
          <w:jc w:val="center"/>
        </w:trPr>
        <w:tc>
          <w:tcPr>
            <w:tcW w:w="801" w:type="dxa"/>
            <w:tcBorders>
              <w:top w:val="nil"/>
              <w:left w:val="single" w:sz="4" w:space="0" w:color="auto"/>
              <w:bottom w:val="single" w:sz="4" w:space="0" w:color="auto"/>
              <w:right w:val="single" w:sz="4" w:space="0" w:color="auto"/>
            </w:tcBorders>
            <w:shd w:val="clear" w:color="000000" w:fill="BDD6EE"/>
            <w:vAlign w:val="center"/>
            <w:hideMark/>
          </w:tcPr>
          <w:p w14:paraId="4945CECC"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Posición</w:t>
            </w:r>
          </w:p>
        </w:tc>
        <w:tc>
          <w:tcPr>
            <w:tcW w:w="3357" w:type="dxa"/>
            <w:tcBorders>
              <w:top w:val="nil"/>
              <w:left w:val="nil"/>
              <w:bottom w:val="single" w:sz="4" w:space="0" w:color="auto"/>
              <w:right w:val="single" w:sz="4" w:space="0" w:color="auto"/>
            </w:tcBorders>
            <w:shd w:val="clear" w:color="000000" w:fill="BDD6EE"/>
            <w:vAlign w:val="center"/>
            <w:hideMark/>
          </w:tcPr>
          <w:p w14:paraId="161B38A9"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Institución</w:t>
            </w:r>
          </w:p>
        </w:tc>
        <w:tc>
          <w:tcPr>
            <w:tcW w:w="896" w:type="dxa"/>
            <w:tcBorders>
              <w:top w:val="nil"/>
              <w:left w:val="nil"/>
              <w:bottom w:val="single" w:sz="4" w:space="0" w:color="auto"/>
              <w:right w:val="single" w:sz="4" w:space="0" w:color="auto"/>
            </w:tcBorders>
            <w:shd w:val="clear" w:color="000000" w:fill="BDD6EE"/>
            <w:vAlign w:val="center"/>
            <w:hideMark/>
          </w:tcPr>
          <w:p w14:paraId="2D5968FD"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País</w:t>
            </w:r>
          </w:p>
        </w:tc>
        <w:tc>
          <w:tcPr>
            <w:tcW w:w="1044" w:type="dxa"/>
            <w:tcBorders>
              <w:top w:val="nil"/>
              <w:left w:val="nil"/>
              <w:bottom w:val="single" w:sz="4" w:space="0" w:color="auto"/>
              <w:right w:val="single" w:sz="4" w:space="0" w:color="auto"/>
            </w:tcBorders>
            <w:shd w:val="clear" w:color="000000" w:fill="BDD6EE"/>
            <w:vAlign w:val="center"/>
            <w:hideMark/>
          </w:tcPr>
          <w:p w14:paraId="5A1D7139"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Puntaje General</w:t>
            </w:r>
          </w:p>
        </w:tc>
        <w:tc>
          <w:tcPr>
            <w:tcW w:w="841" w:type="dxa"/>
            <w:tcBorders>
              <w:top w:val="nil"/>
              <w:left w:val="nil"/>
              <w:bottom w:val="single" w:sz="4" w:space="0" w:color="auto"/>
              <w:right w:val="single" w:sz="4" w:space="0" w:color="auto"/>
            </w:tcBorders>
            <w:shd w:val="clear" w:color="000000" w:fill="BDD6EE"/>
            <w:vAlign w:val="center"/>
            <w:hideMark/>
          </w:tcPr>
          <w:p w14:paraId="368D8434"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 xml:space="preserve">Docencia </w:t>
            </w:r>
          </w:p>
        </w:tc>
        <w:tc>
          <w:tcPr>
            <w:tcW w:w="1126" w:type="dxa"/>
            <w:tcBorders>
              <w:top w:val="nil"/>
              <w:left w:val="nil"/>
              <w:bottom w:val="single" w:sz="4" w:space="0" w:color="auto"/>
              <w:right w:val="single" w:sz="4" w:space="0" w:color="auto"/>
            </w:tcBorders>
            <w:shd w:val="clear" w:color="000000" w:fill="BDD6EE"/>
            <w:vAlign w:val="center"/>
            <w:hideMark/>
          </w:tcPr>
          <w:p w14:paraId="6E159954"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Investigación</w:t>
            </w:r>
          </w:p>
        </w:tc>
        <w:tc>
          <w:tcPr>
            <w:tcW w:w="788" w:type="dxa"/>
            <w:tcBorders>
              <w:top w:val="nil"/>
              <w:left w:val="nil"/>
              <w:bottom w:val="single" w:sz="4" w:space="0" w:color="auto"/>
              <w:right w:val="single" w:sz="4" w:space="0" w:color="auto"/>
            </w:tcBorders>
            <w:shd w:val="clear" w:color="000000" w:fill="BDD6EE"/>
            <w:vAlign w:val="center"/>
            <w:hideMark/>
          </w:tcPr>
          <w:p w14:paraId="4DA80E92"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Citas</w:t>
            </w:r>
          </w:p>
        </w:tc>
        <w:tc>
          <w:tcPr>
            <w:tcW w:w="1295" w:type="dxa"/>
            <w:tcBorders>
              <w:top w:val="nil"/>
              <w:left w:val="nil"/>
              <w:bottom w:val="single" w:sz="4" w:space="0" w:color="auto"/>
              <w:right w:val="single" w:sz="4" w:space="0" w:color="auto"/>
            </w:tcBorders>
            <w:shd w:val="clear" w:color="000000" w:fill="BDD6EE"/>
            <w:vAlign w:val="center"/>
            <w:hideMark/>
          </w:tcPr>
          <w:p w14:paraId="4343D5F9"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 xml:space="preserve">Financiamiento de la industria </w:t>
            </w:r>
          </w:p>
        </w:tc>
        <w:tc>
          <w:tcPr>
            <w:tcW w:w="1173" w:type="dxa"/>
            <w:tcBorders>
              <w:top w:val="nil"/>
              <w:left w:val="nil"/>
              <w:bottom w:val="single" w:sz="4" w:space="0" w:color="auto"/>
              <w:right w:val="single" w:sz="4" w:space="0" w:color="auto"/>
            </w:tcBorders>
            <w:shd w:val="clear" w:color="000000" w:fill="BDD6EE"/>
            <w:vAlign w:val="center"/>
            <w:hideMark/>
          </w:tcPr>
          <w:p w14:paraId="1C74909E"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Perspectiva internacional</w:t>
            </w:r>
          </w:p>
        </w:tc>
      </w:tr>
      <w:tr w:rsidR="0072387E" w:rsidRPr="008C72D8" w14:paraId="5E4026DC"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76865C9" w14:textId="6073835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176–200</w:t>
            </w:r>
          </w:p>
        </w:tc>
        <w:tc>
          <w:tcPr>
            <w:tcW w:w="3357" w:type="dxa"/>
            <w:tcBorders>
              <w:top w:val="nil"/>
              <w:left w:val="nil"/>
              <w:bottom w:val="single" w:sz="4" w:space="0" w:color="auto"/>
              <w:right w:val="single" w:sz="4" w:space="0" w:color="auto"/>
            </w:tcBorders>
            <w:shd w:val="clear" w:color="auto" w:fill="auto"/>
            <w:noWrap/>
            <w:vAlign w:val="center"/>
          </w:tcPr>
          <w:p w14:paraId="3B15927B" w14:textId="4A832E0C"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Sao Paulo</w:t>
            </w:r>
          </w:p>
        </w:tc>
        <w:tc>
          <w:tcPr>
            <w:tcW w:w="896" w:type="dxa"/>
            <w:tcBorders>
              <w:top w:val="nil"/>
              <w:left w:val="nil"/>
              <w:bottom w:val="single" w:sz="4" w:space="0" w:color="auto"/>
              <w:right w:val="single" w:sz="4" w:space="0" w:color="auto"/>
            </w:tcBorders>
            <w:shd w:val="clear" w:color="auto" w:fill="auto"/>
            <w:vAlign w:val="center"/>
          </w:tcPr>
          <w:p w14:paraId="45A156F2" w14:textId="258A631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Brasil</w:t>
            </w:r>
          </w:p>
        </w:tc>
        <w:tc>
          <w:tcPr>
            <w:tcW w:w="1044" w:type="dxa"/>
            <w:tcBorders>
              <w:top w:val="nil"/>
              <w:left w:val="nil"/>
              <w:bottom w:val="single" w:sz="4" w:space="0" w:color="auto"/>
              <w:right w:val="single" w:sz="4" w:space="0" w:color="auto"/>
            </w:tcBorders>
            <w:shd w:val="clear" w:color="auto" w:fill="auto"/>
            <w:noWrap/>
            <w:vAlign w:val="center"/>
          </w:tcPr>
          <w:p w14:paraId="599148B8" w14:textId="4908564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49.0–51.0</w:t>
            </w:r>
          </w:p>
        </w:tc>
        <w:tc>
          <w:tcPr>
            <w:tcW w:w="841" w:type="dxa"/>
            <w:tcBorders>
              <w:top w:val="nil"/>
              <w:left w:val="nil"/>
              <w:bottom w:val="single" w:sz="4" w:space="0" w:color="auto"/>
              <w:right w:val="single" w:sz="4" w:space="0" w:color="auto"/>
            </w:tcBorders>
            <w:shd w:val="clear" w:color="auto" w:fill="auto"/>
            <w:noWrap/>
            <w:vAlign w:val="center"/>
          </w:tcPr>
          <w:p w14:paraId="359FADA3" w14:textId="5FE3A5D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62.7</w:t>
            </w:r>
          </w:p>
        </w:tc>
        <w:tc>
          <w:tcPr>
            <w:tcW w:w="1126" w:type="dxa"/>
            <w:tcBorders>
              <w:top w:val="nil"/>
              <w:left w:val="nil"/>
              <w:bottom w:val="single" w:sz="4" w:space="0" w:color="auto"/>
              <w:right w:val="single" w:sz="4" w:space="0" w:color="auto"/>
            </w:tcBorders>
            <w:shd w:val="clear" w:color="auto" w:fill="auto"/>
            <w:noWrap/>
            <w:vAlign w:val="center"/>
          </w:tcPr>
          <w:p w14:paraId="49D5042E" w14:textId="3B5EB34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55.6</w:t>
            </w:r>
          </w:p>
        </w:tc>
        <w:tc>
          <w:tcPr>
            <w:tcW w:w="788" w:type="dxa"/>
            <w:tcBorders>
              <w:top w:val="nil"/>
              <w:left w:val="nil"/>
              <w:bottom w:val="single" w:sz="4" w:space="0" w:color="auto"/>
              <w:right w:val="single" w:sz="4" w:space="0" w:color="auto"/>
            </w:tcBorders>
            <w:shd w:val="clear" w:color="auto" w:fill="auto"/>
            <w:vAlign w:val="center"/>
          </w:tcPr>
          <w:p w14:paraId="0C0E3ADF" w14:textId="3B0F7F4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38.8</w:t>
            </w:r>
          </w:p>
        </w:tc>
        <w:tc>
          <w:tcPr>
            <w:tcW w:w="1295" w:type="dxa"/>
            <w:tcBorders>
              <w:top w:val="nil"/>
              <w:left w:val="nil"/>
              <w:bottom w:val="single" w:sz="4" w:space="0" w:color="auto"/>
              <w:right w:val="single" w:sz="4" w:space="0" w:color="auto"/>
            </w:tcBorders>
            <w:shd w:val="clear" w:color="auto" w:fill="auto"/>
            <w:noWrap/>
            <w:vAlign w:val="center"/>
          </w:tcPr>
          <w:p w14:paraId="18F52E8B" w14:textId="5C92CF9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31.4</w:t>
            </w:r>
          </w:p>
        </w:tc>
        <w:tc>
          <w:tcPr>
            <w:tcW w:w="1173" w:type="dxa"/>
            <w:tcBorders>
              <w:top w:val="nil"/>
              <w:left w:val="nil"/>
              <w:bottom w:val="single" w:sz="4" w:space="0" w:color="auto"/>
              <w:right w:val="single" w:sz="4" w:space="0" w:color="auto"/>
            </w:tcBorders>
            <w:shd w:val="clear" w:color="auto" w:fill="auto"/>
            <w:noWrap/>
            <w:vAlign w:val="center"/>
          </w:tcPr>
          <w:p w14:paraId="11074073" w14:textId="0733877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31.1</w:t>
            </w:r>
          </w:p>
        </w:tc>
      </w:tr>
      <w:tr w:rsidR="0072387E" w:rsidRPr="008C72D8" w14:paraId="16106B92"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5E1FB0C5" w14:textId="5EDF9F8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201–250</w:t>
            </w:r>
          </w:p>
        </w:tc>
        <w:tc>
          <w:tcPr>
            <w:tcW w:w="3357" w:type="dxa"/>
            <w:tcBorders>
              <w:top w:val="nil"/>
              <w:left w:val="nil"/>
              <w:bottom w:val="single" w:sz="4" w:space="0" w:color="auto"/>
              <w:right w:val="single" w:sz="4" w:space="0" w:color="auto"/>
            </w:tcBorders>
            <w:shd w:val="clear" w:color="000000" w:fill="E7E6E6"/>
            <w:noWrap/>
            <w:vAlign w:val="center"/>
          </w:tcPr>
          <w:p w14:paraId="00CD5029" w14:textId="43F75DE6"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Autónoma de Barcelona</w:t>
            </w:r>
          </w:p>
        </w:tc>
        <w:tc>
          <w:tcPr>
            <w:tcW w:w="896" w:type="dxa"/>
            <w:tcBorders>
              <w:top w:val="nil"/>
              <w:left w:val="nil"/>
              <w:bottom w:val="single" w:sz="4" w:space="0" w:color="auto"/>
              <w:right w:val="single" w:sz="4" w:space="0" w:color="auto"/>
            </w:tcBorders>
            <w:shd w:val="clear" w:color="000000" w:fill="E7E6E6"/>
            <w:vAlign w:val="center"/>
          </w:tcPr>
          <w:p w14:paraId="5F88D929" w14:textId="03DA1D5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1FFFD071" w14:textId="61A3815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45.5–48.8</w:t>
            </w:r>
          </w:p>
        </w:tc>
        <w:tc>
          <w:tcPr>
            <w:tcW w:w="841" w:type="dxa"/>
            <w:tcBorders>
              <w:top w:val="nil"/>
              <w:left w:val="nil"/>
              <w:bottom w:val="single" w:sz="4" w:space="0" w:color="auto"/>
              <w:right w:val="single" w:sz="4" w:space="0" w:color="auto"/>
            </w:tcBorders>
            <w:shd w:val="clear" w:color="000000" w:fill="E7E6E6"/>
            <w:noWrap/>
            <w:vAlign w:val="center"/>
          </w:tcPr>
          <w:p w14:paraId="33EC3620" w14:textId="58A4F8E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24.4</w:t>
            </w:r>
          </w:p>
        </w:tc>
        <w:tc>
          <w:tcPr>
            <w:tcW w:w="1126" w:type="dxa"/>
            <w:tcBorders>
              <w:top w:val="nil"/>
              <w:left w:val="nil"/>
              <w:bottom w:val="single" w:sz="4" w:space="0" w:color="auto"/>
              <w:right w:val="single" w:sz="4" w:space="0" w:color="auto"/>
            </w:tcBorders>
            <w:shd w:val="clear" w:color="000000" w:fill="E7E6E6"/>
            <w:noWrap/>
            <w:vAlign w:val="center"/>
          </w:tcPr>
          <w:p w14:paraId="07E53083" w14:textId="4BEDDF7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26.3</w:t>
            </w:r>
          </w:p>
        </w:tc>
        <w:tc>
          <w:tcPr>
            <w:tcW w:w="788" w:type="dxa"/>
            <w:tcBorders>
              <w:top w:val="nil"/>
              <w:left w:val="nil"/>
              <w:bottom w:val="single" w:sz="4" w:space="0" w:color="auto"/>
              <w:right w:val="single" w:sz="4" w:space="0" w:color="auto"/>
            </w:tcBorders>
            <w:shd w:val="clear" w:color="000000" w:fill="E7E6E6"/>
            <w:vAlign w:val="center"/>
          </w:tcPr>
          <w:p w14:paraId="7E82BE9E" w14:textId="7FA34D8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76.9</w:t>
            </w:r>
          </w:p>
        </w:tc>
        <w:tc>
          <w:tcPr>
            <w:tcW w:w="1295" w:type="dxa"/>
            <w:tcBorders>
              <w:top w:val="nil"/>
              <w:left w:val="nil"/>
              <w:bottom w:val="single" w:sz="4" w:space="0" w:color="auto"/>
              <w:right w:val="single" w:sz="4" w:space="0" w:color="auto"/>
            </w:tcBorders>
            <w:shd w:val="clear" w:color="000000" w:fill="E7E6E6"/>
            <w:noWrap/>
            <w:vAlign w:val="center"/>
          </w:tcPr>
          <w:p w14:paraId="78D7B9F7" w14:textId="36E2C1D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70</w:t>
            </w:r>
          </w:p>
        </w:tc>
        <w:tc>
          <w:tcPr>
            <w:tcW w:w="1173" w:type="dxa"/>
            <w:tcBorders>
              <w:top w:val="nil"/>
              <w:left w:val="nil"/>
              <w:bottom w:val="single" w:sz="4" w:space="0" w:color="auto"/>
              <w:right w:val="single" w:sz="4" w:space="0" w:color="auto"/>
            </w:tcBorders>
            <w:shd w:val="clear" w:color="000000" w:fill="E7E6E6"/>
            <w:noWrap/>
            <w:vAlign w:val="center"/>
          </w:tcPr>
          <w:p w14:paraId="070641A1" w14:textId="3433F23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52.6</w:t>
            </w:r>
          </w:p>
        </w:tc>
      </w:tr>
      <w:tr w:rsidR="0072387E" w:rsidRPr="008C72D8" w14:paraId="251F5CE9"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0EFB8EB8" w14:textId="47DFBA9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201–250</w:t>
            </w:r>
          </w:p>
        </w:tc>
        <w:tc>
          <w:tcPr>
            <w:tcW w:w="3357" w:type="dxa"/>
            <w:tcBorders>
              <w:top w:val="nil"/>
              <w:left w:val="nil"/>
              <w:bottom w:val="single" w:sz="4" w:space="0" w:color="auto"/>
              <w:right w:val="single" w:sz="4" w:space="0" w:color="auto"/>
            </w:tcBorders>
            <w:shd w:val="clear" w:color="auto" w:fill="auto"/>
            <w:noWrap/>
            <w:vAlign w:val="center"/>
          </w:tcPr>
          <w:p w14:paraId="639ED1AE" w14:textId="6D0501F3"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Barcelona</w:t>
            </w:r>
          </w:p>
        </w:tc>
        <w:tc>
          <w:tcPr>
            <w:tcW w:w="896" w:type="dxa"/>
            <w:tcBorders>
              <w:top w:val="nil"/>
              <w:left w:val="nil"/>
              <w:bottom w:val="single" w:sz="4" w:space="0" w:color="auto"/>
              <w:right w:val="single" w:sz="4" w:space="0" w:color="auto"/>
            </w:tcBorders>
            <w:shd w:val="clear" w:color="auto" w:fill="auto"/>
            <w:vAlign w:val="center"/>
          </w:tcPr>
          <w:p w14:paraId="5EDED9D3" w14:textId="7428A6B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265756C9" w14:textId="5691640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45.5–48.8</w:t>
            </w:r>
          </w:p>
        </w:tc>
        <w:tc>
          <w:tcPr>
            <w:tcW w:w="841" w:type="dxa"/>
            <w:tcBorders>
              <w:top w:val="nil"/>
              <w:left w:val="nil"/>
              <w:bottom w:val="single" w:sz="4" w:space="0" w:color="auto"/>
              <w:right w:val="single" w:sz="4" w:space="0" w:color="auto"/>
            </w:tcBorders>
            <w:shd w:val="clear" w:color="auto" w:fill="auto"/>
            <w:noWrap/>
            <w:vAlign w:val="center"/>
          </w:tcPr>
          <w:p w14:paraId="7FA91C68" w14:textId="22B6F90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41.4</w:t>
            </w:r>
          </w:p>
        </w:tc>
        <w:tc>
          <w:tcPr>
            <w:tcW w:w="1126" w:type="dxa"/>
            <w:tcBorders>
              <w:top w:val="nil"/>
              <w:left w:val="nil"/>
              <w:bottom w:val="single" w:sz="4" w:space="0" w:color="auto"/>
              <w:right w:val="single" w:sz="4" w:space="0" w:color="auto"/>
            </w:tcBorders>
            <w:shd w:val="clear" w:color="auto" w:fill="auto"/>
            <w:noWrap/>
            <w:vAlign w:val="center"/>
          </w:tcPr>
          <w:p w14:paraId="15B3B540" w14:textId="607D040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22.5</w:t>
            </w:r>
          </w:p>
        </w:tc>
        <w:tc>
          <w:tcPr>
            <w:tcW w:w="788" w:type="dxa"/>
            <w:tcBorders>
              <w:top w:val="nil"/>
              <w:left w:val="nil"/>
              <w:bottom w:val="single" w:sz="4" w:space="0" w:color="auto"/>
              <w:right w:val="single" w:sz="4" w:space="0" w:color="auto"/>
            </w:tcBorders>
            <w:shd w:val="clear" w:color="auto" w:fill="auto"/>
            <w:vAlign w:val="center"/>
          </w:tcPr>
          <w:p w14:paraId="2A3D0848" w14:textId="37110D2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71.3</w:t>
            </w:r>
          </w:p>
        </w:tc>
        <w:tc>
          <w:tcPr>
            <w:tcW w:w="1295" w:type="dxa"/>
            <w:tcBorders>
              <w:top w:val="nil"/>
              <w:left w:val="nil"/>
              <w:bottom w:val="single" w:sz="4" w:space="0" w:color="auto"/>
              <w:right w:val="single" w:sz="4" w:space="0" w:color="auto"/>
            </w:tcBorders>
            <w:shd w:val="clear" w:color="auto" w:fill="auto"/>
            <w:noWrap/>
            <w:vAlign w:val="center"/>
          </w:tcPr>
          <w:p w14:paraId="02737632" w14:textId="2432BEB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42.6</w:t>
            </w:r>
          </w:p>
        </w:tc>
        <w:tc>
          <w:tcPr>
            <w:tcW w:w="1173" w:type="dxa"/>
            <w:tcBorders>
              <w:top w:val="nil"/>
              <w:left w:val="nil"/>
              <w:bottom w:val="single" w:sz="4" w:space="0" w:color="auto"/>
              <w:right w:val="single" w:sz="4" w:space="0" w:color="auto"/>
            </w:tcBorders>
            <w:shd w:val="clear" w:color="auto" w:fill="auto"/>
            <w:noWrap/>
            <w:vAlign w:val="center"/>
          </w:tcPr>
          <w:p w14:paraId="228A0CF2" w14:textId="49CACCF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55.8</w:t>
            </w:r>
          </w:p>
        </w:tc>
      </w:tr>
      <w:tr w:rsidR="0072387E" w:rsidRPr="008C72D8" w14:paraId="3CF68514"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3F3C1B94" w14:textId="0425135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251–300</w:t>
            </w:r>
          </w:p>
        </w:tc>
        <w:tc>
          <w:tcPr>
            <w:tcW w:w="3357" w:type="dxa"/>
            <w:tcBorders>
              <w:top w:val="nil"/>
              <w:left w:val="nil"/>
              <w:bottom w:val="single" w:sz="4" w:space="0" w:color="auto"/>
              <w:right w:val="single" w:sz="4" w:space="0" w:color="auto"/>
            </w:tcBorders>
            <w:shd w:val="clear" w:color="000000" w:fill="E7E6E6"/>
            <w:noWrap/>
            <w:vAlign w:val="center"/>
          </w:tcPr>
          <w:p w14:paraId="7FFADACC" w14:textId="1D62D522"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Autónoma de Madrid</w:t>
            </w:r>
          </w:p>
        </w:tc>
        <w:tc>
          <w:tcPr>
            <w:tcW w:w="896" w:type="dxa"/>
            <w:tcBorders>
              <w:top w:val="nil"/>
              <w:left w:val="nil"/>
              <w:bottom w:val="single" w:sz="4" w:space="0" w:color="auto"/>
              <w:right w:val="single" w:sz="4" w:space="0" w:color="auto"/>
            </w:tcBorders>
            <w:shd w:val="clear" w:color="000000" w:fill="E7E6E6"/>
            <w:vAlign w:val="center"/>
          </w:tcPr>
          <w:p w14:paraId="55A8C2BD" w14:textId="7397307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4643A59A" w14:textId="0A2C6C5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42.0–45.4</w:t>
            </w:r>
          </w:p>
        </w:tc>
        <w:tc>
          <w:tcPr>
            <w:tcW w:w="841" w:type="dxa"/>
            <w:tcBorders>
              <w:top w:val="nil"/>
              <w:left w:val="nil"/>
              <w:bottom w:val="single" w:sz="4" w:space="0" w:color="auto"/>
              <w:right w:val="single" w:sz="4" w:space="0" w:color="auto"/>
            </w:tcBorders>
            <w:shd w:val="clear" w:color="000000" w:fill="E7E6E6"/>
            <w:noWrap/>
            <w:vAlign w:val="center"/>
          </w:tcPr>
          <w:p w14:paraId="2C34CFBA" w14:textId="6545880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36.3</w:t>
            </w:r>
          </w:p>
        </w:tc>
        <w:tc>
          <w:tcPr>
            <w:tcW w:w="1126" w:type="dxa"/>
            <w:tcBorders>
              <w:top w:val="nil"/>
              <w:left w:val="nil"/>
              <w:bottom w:val="single" w:sz="4" w:space="0" w:color="auto"/>
              <w:right w:val="single" w:sz="4" w:space="0" w:color="auto"/>
            </w:tcBorders>
            <w:shd w:val="clear" w:color="000000" w:fill="E7E6E6"/>
            <w:noWrap/>
            <w:vAlign w:val="center"/>
          </w:tcPr>
          <w:p w14:paraId="0111D0B1" w14:textId="3780F58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17.5</w:t>
            </w:r>
          </w:p>
        </w:tc>
        <w:tc>
          <w:tcPr>
            <w:tcW w:w="788" w:type="dxa"/>
            <w:tcBorders>
              <w:top w:val="nil"/>
              <w:left w:val="nil"/>
              <w:bottom w:val="single" w:sz="4" w:space="0" w:color="auto"/>
              <w:right w:val="single" w:sz="4" w:space="0" w:color="auto"/>
            </w:tcBorders>
            <w:shd w:val="clear" w:color="000000" w:fill="E7E6E6"/>
            <w:vAlign w:val="center"/>
          </w:tcPr>
          <w:p w14:paraId="237FB9AB" w14:textId="6958D6B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65.1</w:t>
            </w:r>
          </w:p>
        </w:tc>
        <w:tc>
          <w:tcPr>
            <w:tcW w:w="1295" w:type="dxa"/>
            <w:tcBorders>
              <w:top w:val="nil"/>
              <w:left w:val="nil"/>
              <w:bottom w:val="single" w:sz="4" w:space="0" w:color="auto"/>
              <w:right w:val="single" w:sz="4" w:space="0" w:color="auto"/>
            </w:tcBorders>
            <w:shd w:val="clear" w:color="000000" w:fill="E7E6E6"/>
            <w:noWrap/>
            <w:vAlign w:val="center"/>
          </w:tcPr>
          <w:p w14:paraId="7602A4C5" w14:textId="103343E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30.2</w:t>
            </w:r>
          </w:p>
        </w:tc>
        <w:tc>
          <w:tcPr>
            <w:tcW w:w="1173" w:type="dxa"/>
            <w:tcBorders>
              <w:top w:val="nil"/>
              <w:left w:val="nil"/>
              <w:bottom w:val="single" w:sz="4" w:space="0" w:color="auto"/>
              <w:right w:val="single" w:sz="4" w:space="0" w:color="auto"/>
            </w:tcBorders>
            <w:shd w:val="clear" w:color="000000" w:fill="E7E6E6"/>
            <w:noWrap/>
            <w:vAlign w:val="center"/>
          </w:tcPr>
          <w:p w14:paraId="5E780221" w14:textId="19C047E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48.3</w:t>
            </w:r>
          </w:p>
        </w:tc>
      </w:tr>
      <w:tr w:rsidR="0072387E" w:rsidRPr="008C72D8" w14:paraId="58A6F0BA"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85C28FB" w14:textId="0092A2F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251–300</w:t>
            </w:r>
          </w:p>
        </w:tc>
        <w:tc>
          <w:tcPr>
            <w:tcW w:w="3357" w:type="dxa"/>
            <w:tcBorders>
              <w:top w:val="nil"/>
              <w:left w:val="nil"/>
              <w:bottom w:val="single" w:sz="4" w:space="0" w:color="auto"/>
              <w:right w:val="single" w:sz="4" w:space="0" w:color="auto"/>
            </w:tcBorders>
            <w:shd w:val="clear" w:color="auto" w:fill="auto"/>
            <w:noWrap/>
            <w:vAlign w:val="center"/>
          </w:tcPr>
          <w:p w14:paraId="629D016B" w14:textId="14819201"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Rovira i Virgili</w:t>
            </w:r>
          </w:p>
        </w:tc>
        <w:tc>
          <w:tcPr>
            <w:tcW w:w="896" w:type="dxa"/>
            <w:tcBorders>
              <w:top w:val="nil"/>
              <w:left w:val="nil"/>
              <w:bottom w:val="single" w:sz="4" w:space="0" w:color="auto"/>
              <w:right w:val="single" w:sz="4" w:space="0" w:color="auto"/>
            </w:tcBorders>
            <w:shd w:val="clear" w:color="auto" w:fill="auto"/>
            <w:vAlign w:val="center"/>
          </w:tcPr>
          <w:p w14:paraId="3C4C56B7" w14:textId="49CAE86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57A77316" w14:textId="0842E46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42.0–45.4</w:t>
            </w:r>
          </w:p>
        </w:tc>
        <w:tc>
          <w:tcPr>
            <w:tcW w:w="841" w:type="dxa"/>
            <w:tcBorders>
              <w:top w:val="nil"/>
              <w:left w:val="nil"/>
              <w:bottom w:val="single" w:sz="4" w:space="0" w:color="auto"/>
              <w:right w:val="single" w:sz="4" w:space="0" w:color="auto"/>
            </w:tcBorders>
            <w:shd w:val="clear" w:color="auto" w:fill="auto"/>
            <w:noWrap/>
            <w:vAlign w:val="center"/>
          </w:tcPr>
          <w:p w14:paraId="4DF6ED35" w14:textId="0940A33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13.8</w:t>
            </w:r>
          </w:p>
        </w:tc>
        <w:tc>
          <w:tcPr>
            <w:tcW w:w="1126" w:type="dxa"/>
            <w:tcBorders>
              <w:top w:val="nil"/>
              <w:left w:val="nil"/>
              <w:bottom w:val="single" w:sz="4" w:space="0" w:color="auto"/>
              <w:right w:val="single" w:sz="4" w:space="0" w:color="auto"/>
            </w:tcBorders>
            <w:shd w:val="clear" w:color="auto" w:fill="auto"/>
            <w:noWrap/>
            <w:vAlign w:val="center"/>
          </w:tcPr>
          <w:p w14:paraId="14F6D868" w14:textId="0FC1B15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17.5</w:t>
            </w:r>
          </w:p>
        </w:tc>
        <w:tc>
          <w:tcPr>
            <w:tcW w:w="788" w:type="dxa"/>
            <w:tcBorders>
              <w:top w:val="nil"/>
              <w:left w:val="nil"/>
              <w:bottom w:val="single" w:sz="4" w:space="0" w:color="auto"/>
              <w:right w:val="single" w:sz="4" w:space="0" w:color="auto"/>
            </w:tcBorders>
            <w:shd w:val="clear" w:color="auto" w:fill="auto"/>
            <w:vAlign w:val="center"/>
          </w:tcPr>
          <w:p w14:paraId="5CD8D290" w14:textId="14BC6FC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86.7</w:t>
            </w:r>
          </w:p>
        </w:tc>
        <w:tc>
          <w:tcPr>
            <w:tcW w:w="1295" w:type="dxa"/>
            <w:tcBorders>
              <w:top w:val="nil"/>
              <w:left w:val="nil"/>
              <w:bottom w:val="single" w:sz="4" w:space="0" w:color="auto"/>
              <w:right w:val="single" w:sz="4" w:space="0" w:color="auto"/>
            </w:tcBorders>
            <w:shd w:val="clear" w:color="auto" w:fill="auto"/>
            <w:noWrap/>
            <w:vAlign w:val="center"/>
          </w:tcPr>
          <w:p w14:paraId="0512D4C7" w14:textId="1C1A039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36</w:t>
            </w:r>
          </w:p>
        </w:tc>
        <w:tc>
          <w:tcPr>
            <w:tcW w:w="1173" w:type="dxa"/>
            <w:tcBorders>
              <w:top w:val="nil"/>
              <w:left w:val="nil"/>
              <w:bottom w:val="single" w:sz="4" w:space="0" w:color="auto"/>
              <w:right w:val="single" w:sz="4" w:space="0" w:color="auto"/>
            </w:tcBorders>
            <w:shd w:val="clear" w:color="auto" w:fill="auto"/>
            <w:noWrap/>
            <w:vAlign w:val="center"/>
          </w:tcPr>
          <w:p w14:paraId="3E799070" w14:textId="2D084B7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43.6</w:t>
            </w:r>
          </w:p>
        </w:tc>
      </w:tr>
      <w:tr w:rsidR="0072387E" w:rsidRPr="008C72D8" w14:paraId="05AD7102"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176DF9D2" w14:textId="3244C48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301–400</w:t>
            </w:r>
          </w:p>
        </w:tc>
        <w:tc>
          <w:tcPr>
            <w:tcW w:w="3357" w:type="dxa"/>
            <w:tcBorders>
              <w:top w:val="nil"/>
              <w:left w:val="nil"/>
              <w:bottom w:val="single" w:sz="4" w:space="0" w:color="auto"/>
              <w:right w:val="single" w:sz="4" w:space="0" w:color="auto"/>
            </w:tcBorders>
            <w:shd w:val="clear" w:color="000000" w:fill="E7E6E6"/>
            <w:noWrap/>
            <w:vAlign w:val="center"/>
          </w:tcPr>
          <w:p w14:paraId="7115B67E" w14:textId="1333C815"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Campinas</w:t>
            </w:r>
          </w:p>
        </w:tc>
        <w:tc>
          <w:tcPr>
            <w:tcW w:w="896" w:type="dxa"/>
            <w:tcBorders>
              <w:top w:val="nil"/>
              <w:left w:val="nil"/>
              <w:bottom w:val="single" w:sz="4" w:space="0" w:color="auto"/>
              <w:right w:val="single" w:sz="4" w:space="0" w:color="auto"/>
            </w:tcBorders>
            <w:shd w:val="clear" w:color="000000" w:fill="E7E6E6"/>
            <w:vAlign w:val="center"/>
          </w:tcPr>
          <w:p w14:paraId="6906EB5E" w14:textId="448F961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Brasil</w:t>
            </w:r>
          </w:p>
        </w:tc>
        <w:tc>
          <w:tcPr>
            <w:tcW w:w="1044" w:type="dxa"/>
            <w:tcBorders>
              <w:top w:val="nil"/>
              <w:left w:val="nil"/>
              <w:bottom w:val="single" w:sz="4" w:space="0" w:color="auto"/>
              <w:right w:val="single" w:sz="4" w:space="0" w:color="auto"/>
            </w:tcBorders>
            <w:shd w:val="clear" w:color="000000" w:fill="E7E6E6"/>
            <w:noWrap/>
            <w:vAlign w:val="center"/>
          </w:tcPr>
          <w:p w14:paraId="49806F0E" w14:textId="537D964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35.9–41.9</w:t>
            </w:r>
          </w:p>
        </w:tc>
        <w:tc>
          <w:tcPr>
            <w:tcW w:w="841" w:type="dxa"/>
            <w:tcBorders>
              <w:top w:val="nil"/>
              <w:left w:val="nil"/>
              <w:bottom w:val="single" w:sz="4" w:space="0" w:color="auto"/>
              <w:right w:val="single" w:sz="4" w:space="0" w:color="auto"/>
            </w:tcBorders>
            <w:shd w:val="clear" w:color="000000" w:fill="E7E6E6"/>
            <w:noWrap/>
            <w:vAlign w:val="center"/>
          </w:tcPr>
          <w:p w14:paraId="5F315A3B" w14:textId="13FAAB7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37.6</w:t>
            </w:r>
          </w:p>
        </w:tc>
        <w:tc>
          <w:tcPr>
            <w:tcW w:w="1126" w:type="dxa"/>
            <w:tcBorders>
              <w:top w:val="nil"/>
              <w:left w:val="nil"/>
              <w:bottom w:val="single" w:sz="4" w:space="0" w:color="auto"/>
              <w:right w:val="single" w:sz="4" w:space="0" w:color="auto"/>
            </w:tcBorders>
            <w:shd w:val="clear" w:color="000000" w:fill="E7E6E6"/>
            <w:noWrap/>
            <w:vAlign w:val="center"/>
          </w:tcPr>
          <w:p w14:paraId="035F63BA" w14:textId="129091E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33</w:t>
            </w:r>
          </w:p>
        </w:tc>
        <w:tc>
          <w:tcPr>
            <w:tcW w:w="788" w:type="dxa"/>
            <w:tcBorders>
              <w:top w:val="nil"/>
              <w:left w:val="nil"/>
              <w:bottom w:val="single" w:sz="4" w:space="0" w:color="auto"/>
              <w:right w:val="single" w:sz="4" w:space="0" w:color="auto"/>
            </w:tcBorders>
            <w:shd w:val="clear" w:color="000000" w:fill="E7E6E6"/>
            <w:vAlign w:val="center"/>
          </w:tcPr>
          <w:p w14:paraId="7D818552" w14:textId="4F3A220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52.1</w:t>
            </w:r>
          </w:p>
        </w:tc>
        <w:tc>
          <w:tcPr>
            <w:tcW w:w="1295" w:type="dxa"/>
            <w:tcBorders>
              <w:top w:val="nil"/>
              <w:left w:val="nil"/>
              <w:bottom w:val="single" w:sz="4" w:space="0" w:color="auto"/>
              <w:right w:val="single" w:sz="4" w:space="0" w:color="auto"/>
            </w:tcBorders>
            <w:shd w:val="clear" w:color="000000" w:fill="E7E6E6"/>
            <w:noWrap/>
            <w:vAlign w:val="center"/>
          </w:tcPr>
          <w:p w14:paraId="6CE4A82D" w14:textId="04397CC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27.8</w:t>
            </w:r>
          </w:p>
        </w:tc>
        <w:tc>
          <w:tcPr>
            <w:tcW w:w="1173" w:type="dxa"/>
            <w:tcBorders>
              <w:top w:val="nil"/>
              <w:left w:val="nil"/>
              <w:bottom w:val="single" w:sz="4" w:space="0" w:color="auto"/>
              <w:right w:val="single" w:sz="4" w:space="0" w:color="auto"/>
            </w:tcBorders>
            <w:shd w:val="clear" w:color="000000" w:fill="E7E6E6"/>
            <w:noWrap/>
            <w:vAlign w:val="center"/>
          </w:tcPr>
          <w:p w14:paraId="1B14BD43" w14:textId="2C75BF2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24.4</w:t>
            </w:r>
          </w:p>
        </w:tc>
      </w:tr>
      <w:tr w:rsidR="0072387E" w:rsidRPr="008C72D8" w14:paraId="0FBA2266"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9D52002" w14:textId="3C323C1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301–400</w:t>
            </w:r>
          </w:p>
        </w:tc>
        <w:tc>
          <w:tcPr>
            <w:tcW w:w="3357" w:type="dxa"/>
            <w:tcBorders>
              <w:top w:val="nil"/>
              <w:left w:val="nil"/>
              <w:bottom w:val="single" w:sz="4" w:space="0" w:color="auto"/>
              <w:right w:val="single" w:sz="4" w:space="0" w:color="auto"/>
            </w:tcBorders>
            <w:shd w:val="clear" w:color="auto" w:fill="auto"/>
            <w:noWrap/>
            <w:vAlign w:val="center"/>
          </w:tcPr>
          <w:p w14:paraId="3039D51A" w14:textId="6E3815CB"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Coimbra</w:t>
            </w:r>
          </w:p>
        </w:tc>
        <w:tc>
          <w:tcPr>
            <w:tcW w:w="896" w:type="dxa"/>
            <w:tcBorders>
              <w:top w:val="nil"/>
              <w:left w:val="nil"/>
              <w:bottom w:val="single" w:sz="4" w:space="0" w:color="auto"/>
              <w:right w:val="single" w:sz="4" w:space="0" w:color="auto"/>
            </w:tcBorders>
            <w:shd w:val="clear" w:color="auto" w:fill="auto"/>
            <w:vAlign w:val="center"/>
          </w:tcPr>
          <w:p w14:paraId="35B12142" w14:textId="78A90BF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Portugal</w:t>
            </w:r>
          </w:p>
        </w:tc>
        <w:tc>
          <w:tcPr>
            <w:tcW w:w="1044" w:type="dxa"/>
            <w:tcBorders>
              <w:top w:val="nil"/>
              <w:left w:val="nil"/>
              <w:bottom w:val="single" w:sz="4" w:space="0" w:color="auto"/>
              <w:right w:val="single" w:sz="4" w:space="0" w:color="auto"/>
            </w:tcBorders>
            <w:shd w:val="clear" w:color="auto" w:fill="auto"/>
            <w:noWrap/>
            <w:vAlign w:val="center"/>
          </w:tcPr>
          <w:p w14:paraId="6755C082" w14:textId="083D39C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35.9–41.9</w:t>
            </w:r>
          </w:p>
        </w:tc>
        <w:tc>
          <w:tcPr>
            <w:tcW w:w="841" w:type="dxa"/>
            <w:tcBorders>
              <w:top w:val="nil"/>
              <w:left w:val="nil"/>
              <w:bottom w:val="single" w:sz="4" w:space="0" w:color="auto"/>
              <w:right w:val="single" w:sz="4" w:space="0" w:color="auto"/>
            </w:tcBorders>
            <w:shd w:val="clear" w:color="auto" w:fill="auto"/>
            <w:noWrap/>
            <w:vAlign w:val="center"/>
          </w:tcPr>
          <w:p w14:paraId="5FC72BC4" w14:textId="2FDE7DE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20.8</w:t>
            </w:r>
          </w:p>
        </w:tc>
        <w:tc>
          <w:tcPr>
            <w:tcW w:w="1126" w:type="dxa"/>
            <w:tcBorders>
              <w:top w:val="nil"/>
              <w:left w:val="nil"/>
              <w:bottom w:val="single" w:sz="4" w:space="0" w:color="auto"/>
              <w:right w:val="single" w:sz="4" w:space="0" w:color="auto"/>
            </w:tcBorders>
            <w:shd w:val="clear" w:color="auto" w:fill="auto"/>
            <w:noWrap/>
            <w:vAlign w:val="center"/>
          </w:tcPr>
          <w:p w14:paraId="76E6F7A9" w14:textId="0590F55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19.8</w:t>
            </w:r>
          </w:p>
        </w:tc>
        <w:tc>
          <w:tcPr>
            <w:tcW w:w="788" w:type="dxa"/>
            <w:tcBorders>
              <w:top w:val="nil"/>
              <w:left w:val="nil"/>
              <w:bottom w:val="single" w:sz="4" w:space="0" w:color="auto"/>
              <w:right w:val="single" w:sz="4" w:space="0" w:color="auto"/>
            </w:tcBorders>
            <w:shd w:val="clear" w:color="auto" w:fill="auto"/>
            <w:vAlign w:val="center"/>
          </w:tcPr>
          <w:p w14:paraId="15B7F918" w14:textId="2521C09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70.2</w:t>
            </w:r>
          </w:p>
        </w:tc>
        <w:tc>
          <w:tcPr>
            <w:tcW w:w="1295" w:type="dxa"/>
            <w:tcBorders>
              <w:top w:val="nil"/>
              <w:left w:val="nil"/>
              <w:bottom w:val="single" w:sz="4" w:space="0" w:color="auto"/>
              <w:right w:val="single" w:sz="4" w:space="0" w:color="auto"/>
            </w:tcBorders>
            <w:shd w:val="clear" w:color="auto" w:fill="auto"/>
            <w:noWrap/>
            <w:vAlign w:val="center"/>
          </w:tcPr>
          <w:p w14:paraId="4DDBDA5F" w14:textId="1AE5FF2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35.2</w:t>
            </w:r>
          </w:p>
        </w:tc>
        <w:tc>
          <w:tcPr>
            <w:tcW w:w="1173" w:type="dxa"/>
            <w:tcBorders>
              <w:top w:val="nil"/>
              <w:left w:val="nil"/>
              <w:bottom w:val="single" w:sz="4" w:space="0" w:color="auto"/>
              <w:right w:val="single" w:sz="4" w:space="0" w:color="auto"/>
            </w:tcBorders>
            <w:shd w:val="clear" w:color="auto" w:fill="auto"/>
            <w:noWrap/>
            <w:vAlign w:val="center"/>
          </w:tcPr>
          <w:p w14:paraId="06554163" w14:textId="0479572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56.1</w:t>
            </w:r>
          </w:p>
        </w:tc>
      </w:tr>
      <w:tr w:rsidR="0072387E" w:rsidRPr="008C72D8" w14:paraId="22CD38C7"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72C655B4" w14:textId="3E11358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301–400</w:t>
            </w:r>
          </w:p>
        </w:tc>
        <w:tc>
          <w:tcPr>
            <w:tcW w:w="3357" w:type="dxa"/>
            <w:tcBorders>
              <w:top w:val="nil"/>
              <w:left w:val="nil"/>
              <w:bottom w:val="single" w:sz="4" w:space="0" w:color="auto"/>
              <w:right w:val="single" w:sz="4" w:space="0" w:color="auto"/>
            </w:tcBorders>
            <w:shd w:val="clear" w:color="000000" w:fill="E7E6E6"/>
            <w:noWrap/>
            <w:vAlign w:val="center"/>
          </w:tcPr>
          <w:p w14:paraId="3DD2D280" w14:textId="35405FE1"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Lisboa</w:t>
            </w:r>
          </w:p>
        </w:tc>
        <w:tc>
          <w:tcPr>
            <w:tcW w:w="896" w:type="dxa"/>
            <w:tcBorders>
              <w:top w:val="nil"/>
              <w:left w:val="nil"/>
              <w:bottom w:val="single" w:sz="4" w:space="0" w:color="auto"/>
              <w:right w:val="single" w:sz="4" w:space="0" w:color="auto"/>
            </w:tcBorders>
            <w:shd w:val="clear" w:color="000000" w:fill="E7E6E6"/>
            <w:vAlign w:val="center"/>
          </w:tcPr>
          <w:p w14:paraId="5BE258EE" w14:textId="01AB05A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Portugal</w:t>
            </w:r>
          </w:p>
        </w:tc>
        <w:tc>
          <w:tcPr>
            <w:tcW w:w="1044" w:type="dxa"/>
            <w:tcBorders>
              <w:top w:val="nil"/>
              <w:left w:val="nil"/>
              <w:bottom w:val="single" w:sz="4" w:space="0" w:color="auto"/>
              <w:right w:val="single" w:sz="4" w:space="0" w:color="auto"/>
            </w:tcBorders>
            <w:shd w:val="clear" w:color="000000" w:fill="E7E6E6"/>
            <w:noWrap/>
            <w:vAlign w:val="center"/>
          </w:tcPr>
          <w:p w14:paraId="157A99E6" w14:textId="19053D2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35.9–41.9</w:t>
            </w:r>
          </w:p>
        </w:tc>
        <w:tc>
          <w:tcPr>
            <w:tcW w:w="841" w:type="dxa"/>
            <w:tcBorders>
              <w:top w:val="nil"/>
              <w:left w:val="nil"/>
              <w:bottom w:val="single" w:sz="4" w:space="0" w:color="auto"/>
              <w:right w:val="single" w:sz="4" w:space="0" w:color="auto"/>
            </w:tcBorders>
            <w:shd w:val="clear" w:color="000000" w:fill="E7E6E6"/>
            <w:noWrap/>
            <w:vAlign w:val="center"/>
          </w:tcPr>
          <w:p w14:paraId="1B6ED490" w14:textId="7908A8D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19.2</w:t>
            </w:r>
          </w:p>
        </w:tc>
        <w:tc>
          <w:tcPr>
            <w:tcW w:w="1126" w:type="dxa"/>
            <w:tcBorders>
              <w:top w:val="nil"/>
              <w:left w:val="nil"/>
              <w:bottom w:val="single" w:sz="4" w:space="0" w:color="auto"/>
              <w:right w:val="single" w:sz="4" w:space="0" w:color="auto"/>
            </w:tcBorders>
            <w:shd w:val="clear" w:color="000000" w:fill="E7E6E6"/>
            <w:noWrap/>
            <w:vAlign w:val="center"/>
          </w:tcPr>
          <w:p w14:paraId="05DD6126" w14:textId="5C42012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22.5</w:t>
            </w:r>
          </w:p>
        </w:tc>
        <w:tc>
          <w:tcPr>
            <w:tcW w:w="788" w:type="dxa"/>
            <w:tcBorders>
              <w:top w:val="nil"/>
              <w:left w:val="nil"/>
              <w:bottom w:val="single" w:sz="4" w:space="0" w:color="auto"/>
              <w:right w:val="single" w:sz="4" w:space="0" w:color="auto"/>
            </w:tcBorders>
            <w:shd w:val="clear" w:color="000000" w:fill="E7E6E6"/>
            <w:vAlign w:val="center"/>
          </w:tcPr>
          <w:p w14:paraId="18E49133" w14:textId="6B32B56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66.5</w:t>
            </w:r>
          </w:p>
        </w:tc>
        <w:tc>
          <w:tcPr>
            <w:tcW w:w="1295" w:type="dxa"/>
            <w:tcBorders>
              <w:top w:val="nil"/>
              <w:left w:val="nil"/>
              <w:bottom w:val="single" w:sz="4" w:space="0" w:color="auto"/>
              <w:right w:val="single" w:sz="4" w:space="0" w:color="auto"/>
            </w:tcBorders>
            <w:shd w:val="clear" w:color="000000" w:fill="E7E6E6"/>
            <w:noWrap/>
            <w:vAlign w:val="center"/>
          </w:tcPr>
          <w:p w14:paraId="13A31351" w14:textId="1365AC1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38.6</w:t>
            </w:r>
          </w:p>
        </w:tc>
        <w:tc>
          <w:tcPr>
            <w:tcW w:w="1173" w:type="dxa"/>
            <w:tcBorders>
              <w:top w:val="nil"/>
              <w:left w:val="nil"/>
              <w:bottom w:val="single" w:sz="4" w:space="0" w:color="auto"/>
              <w:right w:val="single" w:sz="4" w:space="0" w:color="auto"/>
            </w:tcBorders>
            <w:shd w:val="clear" w:color="000000" w:fill="E7E6E6"/>
            <w:noWrap/>
            <w:vAlign w:val="center"/>
          </w:tcPr>
          <w:p w14:paraId="7228D055" w14:textId="3E871A5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49.8</w:t>
            </w:r>
          </w:p>
        </w:tc>
      </w:tr>
      <w:tr w:rsidR="0072387E" w:rsidRPr="008C72D8" w14:paraId="51B84AB1"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607F359" w14:textId="600B23D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301–400</w:t>
            </w:r>
          </w:p>
        </w:tc>
        <w:tc>
          <w:tcPr>
            <w:tcW w:w="3357" w:type="dxa"/>
            <w:tcBorders>
              <w:top w:val="nil"/>
              <w:left w:val="nil"/>
              <w:bottom w:val="single" w:sz="4" w:space="0" w:color="auto"/>
              <w:right w:val="single" w:sz="4" w:space="0" w:color="auto"/>
            </w:tcBorders>
            <w:shd w:val="clear" w:color="auto" w:fill="auto"/>
            <w:noWrap/>
            <w:vAlign w:val="center"/>
          </w:tcPr>
          <w:p w14:paraId="6A0F7AFD" w14:textId="266C03CC"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Navarra</w:t>
            </w:r>
          </w:p>
        </w:tc>
        <w:tc>
          <w:tcPr>
            <w:tcW w:w="896" w:type="dxa"/>
            <w:tcBorders>
              <w:top w:val="nil"/>
              <w:left w:val="nil"/>
              <w:bottom w:val="single" w:sz="4" w:space="0" w:color="auto"/>
              <w:right w:val="single" w:sz="4" w:space="0" w:color="auto"/>
            </w:tcBorders>
            <w:shd w:val="clear" w:color="auto" w:fill="auto"/>
            <w:vAlign w:val="center"/>
          </w:tcPr>
          <w:p w14:paraId="6EEE3E0F" w14:textId="18DA5E2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44CFB2D8" w14:textId="0C5B157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35.9–41.9</w:t>
            </w:r>
          </w:p>
        </w:tc>
        <w:tc>
          <w:tcPr>
            <w:tcW w:w="841" w:type="dxa"/>
            <w:tcBorders>
              <w:top w:val="nil"/>
              <w:left w:val="nil"/>
              <w:bottom w:val="single" w:sz="4" w:space="0" w:color="auto"/>
              <w:right w:val="single" w:sz="4" w:space="0" w:color="auto"/>
            </w:tcBorders>
            <w:shd w:val="clear" w:color="auto" w:fill="auto"/>
            <w:noWrap/>
            <w:vAlign w:val="center"/>
          </w:tcPr>
          <w:p w14:paraId="6F0CE9CC" w14:textId="1D52AC5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15.8</w:t>
            </w:r>
          </w:p>
        </w:tc>
        <w:tc>
          <w:tcPr>
            <w:tcW w:w="1126" w:type="dxa"/>
            <w:tcBorders>
              <w:top w:val="nil"/>
              <w:left w:val="nil"/>
              <w:bottom w:val="single" w:sz="4" w:space="0" w:color="auto"/>
              <w:right w:val="single" w:sz="4" w:space="0" w:color="auto"/>
            </w:tcBorders>
            <w:shd w:val="clear" w:color="auto" w:fill="auto"/>
            <w:noWrap/>
            <w:vAlign w:val="center"/>
          </w:tcPr>
          <w:p w14:paraId="5D723570" w14:textId="07AACEC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12.1</w:t>
            </w:r>
          </w:p>
        </w:tc>
        <w:tc>
          <w:tcPr>
            <w:tcW w:w="788" w:type="dxa"/>
            <w:tcBorders>
              <w:top w:val="nil"/>
              <w:left w:val="nil"/>
              <w:bottom w:val="single" w:sz="4" w:space="0" w:color="auto"/>
              <w:right w:val="single" w:sz="4" w:space="0" w:color="auto"/>
            </w:tcBorders>
            <w:shd w:val="clear" w:color="auto" w:fill="auto"/>
            <w:vAlign w:val="center"/>
          </w:tcPr>
          <w:p w14:paraId="0178ED1F" w14:textId="3ECBE9E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78</w:t>
            </w:r>
          </w:p>
        </w:tc>
        <w:tc>
          <w:tcPr>
            <w:tcW w:w="1295" w:type="dxa"/>
            <w:tcBorders>
              <w:top w:val="nil"/>
              <w:left w:val="nil"/>
              <w:bottom w:val="single" w:sz="4" w:space="0" w:color="auto"/>
              <w:right w:val="single" w:sz="4" w:space="0" w:color="auto"/>
            </w:tcBorders>
            <w:shd w:val="clear" w:color="auto" w:fill="auto"/>
            <w:noWrap/>
            <w:vAlign w:val="center"/>
          </w:tcPr>
          <w:p w14:paraId="172D732A" w14:textId="2FD950E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35.9</w:t>
            </w:r>
          </w:p>
        </w:tc>
        <w:tc>
          <w:tcPr>
            <w:tcW w:w="1173" w:type="dxa"/>
            <w:tcBorders>
              <w:top w:val="nil"/>
              <w:left w:val="nil"/>
              <w:bottom w:val="single" w:sz="4" w:space="0" w:color="auto"/>
              <w:right w:val="single" w:sz="4" w:space="0" w:color="auto"/>
            </w:tcBorders>
            <w:shd w:val="clear" w:color="auto" w:fill="auto"/>
            <w:noWrap/>
            <w:vAlign w:val="center"/>
          </w:tcPr>
          <w:p w14:paraId="45A7CEE0" w14:textId="3F01B62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40.2</w:t>
            </w:r>
          </w:p>
        </w:tc>
      </w:tr>
      <w:tr w:rsidR="0072387E" w:rsidRPr="008C72D8" w14:paraId="5DB9B44E"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26164C42" w14:textId="3FB53F1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lastRenderedPageBreak/>
              <w:t>301–400</w:t>
            </w:r>
          </w:p>
        </w:tc>
        <w:tc>
          <w:tcPr>
            <w:tcW w:w="3357" w:type="dxa"/>
            <w:tcBorders>
              <w:top w:val="nil"/>
              <w:left w:val="nil"/>
              <w:bottom w:val="single" w:sz="4" w:space="0" w:color="auto"/>
              <w:right w:val="single" w:sz="4" w:space="0" w:color="auto"/>
            </w:tcBorders>
            <w:shd w:val="clear" w:color="000000" w:fill="E7E6E6"/>
            <w:noWrap/>
            <w:vAlign w:val="center"/>
          </w:tcPr>
          <w:p w14:paraId="40783F4B" w14:textId="27426884"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Oporto</w:t>
            </w:r>
          </w:p>
        </w:tc>
        <w:tc>
          <w:tcPr>
            <w:tcW w:w="896" w:type="dxa"/>
            <w:tcBorders>
              <w:top w:val="nil"/>
              <w:left w:val="nil"/>
              <w:bottom w:val="single" w:sz="4" w:space="0" w:color="auto"/>
              <w:right w:val="single" w:sz="4" w:space="0" w:color="auto"/>
            </w:tcBorders>
            <w:shd w:val="clear" w:color="000000" w:fill="E7E6E6"/>
            <w:vAlign w:val="center"/>
          </w:tcPr>
          <w:p w14:paraId="6020E661" w14:textId="39B05FE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Portugal</w:t>
            </w:r>
          </w:p>
        </w:tc>
        <w:tc>
          <w:tcPr>
            <w:tcW w:w="1044" w:type="dxa"/>
            <w:tcBorders>
              <w:top w:val="nil"/>
              <w:left w:val="nil"/>
              <w:bottom w:val="single" w:sz="4" w:space="0" w:color="auto"/>
              <w:right w:val="single" w:sz="4" w:space="0" w:color="auto"/>
            </w:tcBorders>
            <w:shd w:val="clear" w:color="000000" w:fill="E7E6E6"/>
            <w:noWrap/>
            <w:vAlign w:val="center"/>
          </w:tcPr>
          <w:p w14:paraId="6932F1AD" w14:textId="3E5BF37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35.9–41.9</w:t>
            </w:r>
          </w:p>
        </w:tc>
        <w:tc>
          <w:tcPr>
            <w:tcW w:w="841" w:type="dxa"/>
            <w:tcBorders>
              <w:top w:val="nil"/>
              <w:left w:val="nil"/>
              <w:bottom w:val="single" w:sz="4" w:space="0" w:color="auto"/>
              <w:right w:val="single" w:sz="4" w:space="0" w:color="auto"/>
            </w:tcBorders>
            <w:shd w:val="clear" w:color="000000" w:fill="E7E6E6"/>
            <w:noWrap/>
            <w:vAlign w:val="center"/>
          </w:tcPr>
          <w:p w14:paraId="626E5CE7" w14:textId="6898E2B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23.8</w:t>
            </w:r>
          </w:p>
        </w:tc>
        <w:tc>
          <w:tcPr>
            <w:tcW w:w="1126" w:type="dxa"/>
            <w:tcBorders>
              <w:top w:val="nil"/>
              <w:left w:val="nil"/>
              <w:bottom w:val="single" w:sz="4" w:space="0" w:color="auto"/>
              <w:right w:val="single" w:sz="4" w:space="0" w:color="auto"/>
            </w:tcBorders>
            <w:shd w:val="clear" w:color="000000" w:fill="E7E6E6"/>
            <w:noWrap/>
            <w:vAlign w:val="center"/>
          </w:tcPr>
          <w:p w14:paraId="3EEEE8B4" w14:textId="4C3D89C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28.2</w:t>
            </w:r>
          </w:p>
        </w:tc>
        <w:tc>
          <w:tcPr>
            <w:tcW w:w="788" w:type="dxa"/>
            <w:tcBorders>
              <w:top w:val="nil"/>
              <w:left w:val="nil"/>
              <w:bottom w:val="single" w:sz="4" w:space="0" w:color="auto"/>
              <w:right w:val="single" w:sz="4" w:space="0" w:color="auto"/>
            </w:tcBorders>
            <w:shd w:val="clear" w:color="000000" w:fill="E7E6E6"/>
            <w:vAlign w:val="center"/>
          </w:tcPr>
          <w:p w14:paraId="6E62129C" w14:textId="6FDC4DB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59.6</w:t>
            </w:r>
          </w:p>
        </w:tc>
        <w:tc>
          <w:tcPr>
            <w:tcW w:w="1295" w:type="dxa"/>
            <w:tcBorders>
              <w:top w:val="nil"/>
              <w:left w:val="nil"/>
              <w:bottom w:val="single" w:sz="4" w:space="0" w:color="auto"/>
              <w:right w:val="single" w:sz="4" w:space="0" w:color="auto"/>
            </w:tcBorders>
            <w:shd w:val="clear" w:color="000000" w:fill="E7E6E6"/>
            <w:noWrap/>
            <w:vAlign w:val="center"/>
          </w:tcPr>
          <w:p w14:paraId="4370E6FA" w14:textId="719E7A4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33.7</w:t>
            </w:r>
          </w:p>
        </w:tc>
        <w:tc>
          <w:tcPr>
            <w:tcW w:w="1173" w:type="dxa"/>
            <w:tcBorders>
              <w:top w:val="nil"/>
              <w:left w:val="nil"/>
              <w:bottom w:val="single" w:sz="4" w:space="0" w:color="auto"/>
              <w:right w:val="single" w:sz="4" w:space="0" w:color="auto"/>
            </w:tcBorders>
            <w:shd w:val="clear" w:color="000000" w:fill="E7E6E6"/>
            <w:noWrap/>
            <w:vAlign w:val="center"/>
          </w:tcPr>
          <w:p w14:paraId="5D59EBD8" w14:textId="67C638D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57.7</w:t>
            </w:r>
          </w:p>
        </w:tc>
      </w:tr>
      <w:tr w:rsidR="0072387E" w:rsidRPr="008C72D8" w14:paraId="0AE9E4B2"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846F153" w14:textId="3E4B9D8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501–600</w:t>
            </w:r>
          </w:p>
        </w:tc>
        <w:tc>
          <w:tcPr>
            <w:tcW w:w="3357" w:type="dxa"/>
            <w:tcBorders>
              <w:top w:val="nil"/>
              <w:left w:val="nil"/>
              <w:bottom w:val="single" w:sz="4" w:space="0" w:color="auto"/>
              <w:right w:val="single" w:sz="4" w:space="0" w:color="auto"/>
            </w:tcBorders>
            <w:shd w:val="clear" w:color="auto" w:fill="auto"/>
            <w:noWrap/>
            <w:vAlign w:val="center"/>
          </w:tcPr>
          <w:p w14:paraId="14A4C097" w14:textId="75E753FA"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Nacional Autónoma de México</w:t>
            </w:r>
          </w:p>
        </w:tc>
        <w:tc>
          <w:tcPr>
            <w:tcW w:w="896" w:type="dxa"/>
            <w:tcBorders>
              <w:top w:val="nil"/>
              <w:left w:val="nil"/>
              <w:bottom w:val="single" w:sz="4" w:space="0" w:color="auto"/>
              <w:right w:val="single" w:sz="4" w:space="0" w:color="auto"/>
            </w:tcBorders>
            <w:shd w:val="clear" w:color="auto" w:fill="auto"/>
            <w:vAlign w:val="center"/>
          </w:tcPr>
          <w:p w14:paraId="0F7D269E" w14:textId="468D9B6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México</w:t>
            </w:r>
          </w:p>
        </w:tc>
        <w:tc>
          <w:tcPr>
            <w:tcW w:w="1044" w:type="dxa"/>
            <w:tcBorders>
              <w:top w:val="nil"/>
              <w:left w:val="nil"/>
              <w:bottom w:val="single" w:sz="4" w:space="0" w:color="auto"/>
              <w:right w:val="single" w:sz="4" w:space="0" w:color="auto"/>
            </w:tcBorders>
            <w:shd w:val="clear" w:color="auto" w:fill="auto"/>
            <w:noWrap/>
            <w:vAlign w:val="center"/>
          </w:tcPr>
          <w:p w14:paraId="4F3F32FF" w14:textId="418F826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23.3–29.5</w:t>
            </w:r>
          </w:p>
        </w:tc>
        <w:tc>
          <w:tcPr>
            <w:tcW w:w="841" w:type="dxa"/>
            <w:tcBorders>
              <w:top w:val="nil"/>
              <w:left w:val="nil"/>
              <w:bottom w:val="single" w:sz="4" w:space="0" w:color="auto"/>
              <w:right w:val="single" w:sz="4" w:space="0" w:color="auto"/>
            </w:tcBorders>
            <w:shd w:val="clear" w:color="auto" w:fill="auto"/>
            <w:noWrap/>
            <w:vAlign w:val="center"/>
          </w:tcPr>
          <w:p w14:paraId="469431EF" w14:textId="3989936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32.1</w:t>
            </w:r>
          </w:p>
        </w:tc>
        <w:tc>
          <w:tcPr>
            <w:tcW w:w="1126" w:type="dxa"/>
            <w:tcBorders>
              <w:top w:val="nil"/>
              <w:left w:val="nil"/>
              <w:bottom w:val="single" w:sz="4" w:space="0" w:color="auto"/>
              <w:right w:val="single" w:sz="4" w:space="0" w:color="auto"/>
            </w:tcBorders>
            <w:shd w:val="clear" w:color="auto" w:fill="auto"/>
            <w:noWrap/>
            <w:vAlign w:val="center"/>
          </w:tcPr>
          <w:p w14:paraId="3E4C7ABC" w14:textId="6DE90A9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28.1</w:t>
            </w:r>
          </w:p>
        </w:tc>
        <w:tc>
          <w:tcPr>
            <w:tcW w:w="788" w:type="dxa"/>
            <w:tcBorders>
              <w:top w:val="nil"/>
              <w:left w:val="nil"/>
              <w:bottom w:val="single" w:sz="4" w:space="0" w:color="auto"/>
              <w:right w:val="single" w:sz="4" w:space="0" w:color="auto"/>
            </w:tcBorders>
            <w:shd w:val="clear" w:color="auto" w:fill="auto"/>
            <w:vAlign w:val="center"/>
          </w:tcPr>
          <w:p w14:paraId="170D6121" w14:textId="204949A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22.9</w:t>
            </w:r>
          </w:p>
        </w:tc>
        <w:tc>
          <w:tcPr>
            <w:tcW w:w="1295" w:type="dxa"/>
            <w:tcBorders>
              <w:top w:val="nil"/>
              <w:left w:val="nil"/>
              <w:bottom w:val="single" w:sz="4" w:space="0" w:color="auto"/>
              <w:right w:val="single" w:sz="4" w:space="0" w:color="auto"/>
            </w:tcBorders>
            <w:shd w:val="clear" w:color="auto" w:fill="auto"/>
            <w:noWrap/>
            <w:vAlign w:val="center"/>
          </w:tcPr>
          <w:p w14:paraId="7753F8DD" w14:textId="369C82D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69.9</w:t>
            </w:r>
          </w:p>
        </w:tc>
        <w:tc>
          <w:tcPr>
            <w:tcW w:w="1173" w:type="dxa"/>
            <w:tcBorders>
              <w:top w:val="nil"/>
              <w:left w:val="nil"/>
              <w:bottom w:val="single" w:sz="4" w:space="0" w:color="auto"/>
              <w:right w:val="single" w:sz="4" w:space="0" w:color="auto"/>
            </w:tcBorders>
            <w:shd w:val="clear" w:color="auto" w:fill="auto"/>
            <w:noWrap/>
            <w:vAlign w:val="center"/>
          </w:tcPr>
          <w:p w14:paraId="6B7F3A3B" w14:textId="2D54116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42.5</w:t>
            </w:r>
          </w:p>
        </w:tc>
      </w:tr>
    </w:tbl>
    <w:p w14:paraId="685C728D" w14:textId="77777777" w:rsidR="0081233E" w:rsidRPr="008C72D8" w:rsidRDefault="0081233E" w:rsidP="0078703F">
      <w:pPr>
        <w:spacing w:line="240" w:lineRule="auto"/>
      </w:pPr>
    </w:p>
    <w:tbl>
      <w:tblPr>
        <w:tblW w:w="11321" w:type="dxa"/>
        <w:jc w:val="center"/>
        <w:tblCellMar>
          <w:left w:w="70" w:type="dxa"/>
          <w:right w:w="70" w:type="dxa"/>
        </w:tblCellMar>
        <w:tblLook w:val="04A0" w:firstRow="1" w:lastRow="0" w:firstColumn="1" w:lastColumn="0" w:noHBand="0" w:noVBand="1"/>
      </w:tblPr>
      <w:tblGrid>
        <w:gridCol w:w="801"/>
        <w:gridCol w:w="3357"/>
        <w:gridCol w:w="896"/>
        <w:gridCol w:w="1044"/>
        <w:gridCol w:w="841"/>
        <w:gridCol w:w="1126"/>
        <w:gridCol w:w="788"/>
        <w:gridCol w:w="1295"/>
        <w:gridCol w:w="1173"/>
      </w:tblGrid>
      <w:tr w:rsidR="00810B7C" w:rsidRPr="008C72D8" w14:paraId="352A8299" w14:textId="77777777" w:rsidTr="0081233E">
        <w:trPr>
          <w:trHeight w:val="298"/>
          <w:tblHeader/>
          <w:jc w:val="center"/>
        </w:trPr>
        <w:tc>
          <w:tcPr>
            <w:tcW w:w="11321" w:type="dxa"/>
            <w:gridSpan w:val="9"/>
            <w:tcBorders>
              <w:top w:val="nil"/>
              <w:left w:val="nil"/>
              <w:bottom w:val="single" w:sz="4" w:space="0" w:color="auto"/>
              <w:right w:val="nil"/>
            </w:tcBorders>
            <w:shd w:val="clear" w:color="auto" w:fill="auto"/>
            <w:vAlign w:val="center"/>
            <w:hideMark/>
          </w:tcPr>
          <w:p w14:paraId="48FD36C2" w14:textId="59744D98" w:rsidR="00810B7C" w:rsidRPr="008C72D8" w:rsidRDefault="0024082E" w:rsidP="0078703F">
            <w:pPr>
              <w:spacing w:line="240" w:lineRule="auto"/>
              <w:jc w:val="center"/>
              <w:rPr>
                <w:rFonts w:ascii="Calibri" w:eastAsia="Times New Roman" w:hAnsi="Calibri" w:cs="Calibri"/>
                <w:b/>
                <w:bCs/>
                <w:color w:val="000000"/>
                <w:sz w:val="20"/>
                <w:szCs w:val="20"/>
                <w:lang w:eastAsia="es-MX"/>
              </w:rPr>
            </w:pPr>
            <w:r w:rsidRPr="008C72D8">
              <w:rPr>
                <w:rFonts w:ascii="Calibri" w:eastAsia="Times New Roman" w:hAnsi="Calibri" w:cs="Calibri"/>
                <w:b/>
                <w:bCs/>
                <w:color w:val="000000"/>
                <w:sz w:val="20"/>
                <w:szCs w:val="20"/>
                <w:lang w:eastAsia="es-MX"/>
              </w:rPr>
              <w:t>Tabla 9</w:t>
            </w:r>
            <w:r w:rsidR="00810B7C" w:rsidRPr="008C72D8">
              <w:rPr>
                <w:rFonts w:ascii="Calibri" w:eastAsia="Times New Roman" w:hAnsi="Calibri" w:cs="Calibri"/>
                <w:b/>
                <w:bCs/>
                <w:color w:val="000000"/>
                <w:sz w:val="20"/>
                <w:szCs w:val="20"/>
                <w:lang w:eastAsia="es-MX"/>
              </w:rPr>
              <w:t xml:space="preserve">. Posición de las universidades iberoamericanas </w:t>
            </w:r>
            <w:r w:rsidR="0072387E">
              <w:rPr>
                <w:rFonts w:ascii="Calibri" w:eastAsia="Times New Roman" w:hAnsi="Calibri" w:cs="Calibri"/>
                <w:b/>
                <w:bCs/>
                <w:color w:val="000000"/>
                <w:sz w:val="20"/>
                <w:szCs w:val="20"/>
                <w:lang w:eastAsia="es-MX"/>
              </w:rPr>
              <w:t xml:space="preserve">en el TOP 10 </w:t>
            </w:r>
            <w:r w:rsidR="00810B7C" w:rsidRPr="008C72D8">
              <w:rPr>
                <w:rFonts w:ascii="Calibri" w:eastAsia="Times New Roman" w:hAnsi="Calibri" w:cs="Calibri"/>
                <w:b/>
                <w:bCs/>
                <w:color w:val="000000"/>
                <w:sz w:val="20"/>
                <w:szCs w:val="20"/>
                <w:lang w:eastAsia="es-MX"/>
              </w:rPr>
              <w:t xml:space="preserve">del ranking </w:t>
            </w:r>
            <w:r w:rsidR="0081233E" w:rsidRPr="008C72D8">
              <w:rPr>
                <w:rFonts w:ascii="Calibri" w:eastAsia="Times New Roman" w:hAnsi="Calibri" w:cs="Calibri"/>
                <w:b/>
                <w:bCs/>
                <w:color w:val="000000"/>
                <w:sz w:val="20"/>
                <w:szCs w:val="20"/>
                <w:lang w:eastAsia="es-MX"/>
              </w:rPr>
              <w:t xml:space="preserve">THE en el área de </w:t>
            </w:r>
            <w:r w:rsidR="00810B7C" w:rsidRPr="008C72D8">
              <w:rPr>
                <w:rFonts w:ascii="Calibri" w:eastAsia="Times New Roman" w:hAnsi="Calibri" w:cs="Calibri"/>
                <w:b/>
                <w:bCs/>
                <w:color w:val="000000"/>
                <w:sz w:val="20"/>
                <w:szCs w:val="20"/>
                <w:lang w:eastAsia="es-MX"/>
              </w:rPr>
              <w:t>Negocios y Economía, 2020.</w:t>
            </w:r>
          </w:p>
        </w:tc>
      </w:tr>
      <w:tr w:rsidR="00810B7C" w:rsidRPr="008C72D8" w14:paraId="4DD0196D" w14:textId="77777777" w:rsidTr="0072387E">
        <w:trPr>
          <w:trHeight w:val="477"/>
          <w:tblHeader/>
          <w:jc w:val="center"/>
        </w:trPr>
        <w:tc>
          <w:tcPr>
            <w:tcW w:w="801" w:type="dxa"/>
            <w:tcBorders>
              <w:top w:val="nil"/>
              <w:left w:val="single" w:sz="4" w:space="0" w:color="auto"/>
              <w:bottom w:val="single" w:sz="4" w:space="0" w:color="auto"/>
              <w:right w:val="single" w:sz="4" w:space="0" w:color="auto"/>
            </w:tcBorders>
            <w:shd w:val="clear" w:color="000000" w:fill="BDD6EE"/>
            <w:vAlign w:val="center"/>
            <w:hideMark/>
          </w:tcPr>
          <w:p w14:paraId="3AE1046B"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Posición</w:t>
            </w:r>
          </w:p>
        </w:tc>
        <w:tc>
          <w:tcPr>
            <w:tcW w:w="3357" w:type="dxa"/>
            <w:tcBorders>
              <w:top w:val="nil"/>
              <w:left w:val="nil"/>
              <w:bottom w:val="single" w:sz="4" w:space="0" w:color="auto"/>
              <w:right w:val="single" w:sz="4" w:space="0" w:color="auto"/>
            </w:tcBorders>
            <w:shd w:val="clear" w:color="000000" w:fill="BDD6EE"/>
            <w:vAlign w:val="center"/>
            <w:hideMark/>
          </w:tcPr>
          <w:p w14:paraId="657358BB"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Institución</w:t>
            </w:r>
          </w:p>
        </w:tc>
        <w:tc>
          <w:tcPr>
            <w:tcW w:w="896" w:type="dxa"/>
            <w:tcBorders>
              <w:top w:val="nil"/>
              <w:left w:val="nil"/>
              <w:bottom w:val="single" w:sz="4" w:space="0" w:color="auto"/>
              <w:right w:val="single" w:sz="4" w:space="0" w:color="auto"/>
            </w:tcBorders>
            <w:shd w:val="clear" w:color="000000" w:fill="BDD6EE"/>
            <w:vAlign w:val="center"/>
            <w:hideMark/>
          </w:tcPr>
          <w:p w14:paraId="151FF24D"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País</w:t>
            </w:r>
          </w:p>
        </w:tc>
        <w:tc>
          <w:tcPr>
            <w:tcW w:w="1044" w:type="dxa"/>
            <w:tcBorders>
              <w:top w:val="nil"/>
              <w:left w:val="nil"/>
              <w:bottom w:val="single" w:sz="4" w:space="0" w:color="auto"/>
              <w:right w:val="single" w:sz="4" w:space="0" w:color="auto"/>
            </w:tcBorders>
            <w:shd w:val="clear" w:color="000000" w:fill="BDD6EE"/>
            <w:vAlign w:val="center"/>
            <w:hideMark/>
          </w:tcPr>
          <w:p w14:paraId="059F2AD3"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Puntaje General</w:t>
            </w:r>
          </w:p>
        </w:tc>
        <w:tc>
          <w:tcPr>
            <w:tcW w:w="841" w:type="dxa"/>
            <w:tcBorders>
              <w:top w:val="nil"/>
              <w:left w:val="nil"/>
              <w:bottom w:val="single" w:sz="4" w:space="0" w:color="auto"/>
              <w:right w:val="single" w:sz="4" w:space="0" w:color="auto"/>
            </w:tcBorders>
            <w:shd w:val="clear" w:color="000000" w:fill="BDD6EE"/>
            <w:vAlign w:val="center"/>
            <w:hideMark/>
          </w:tcPr>
          <w:p w14:paraId="463A92A1"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 xml:space="preserve">Docencia </w:t>
            </w:r>
          </w:p>
        </w:tc>
        <w:tc>
          <w:tcPr>
            <w:tcW w:w="1126" w:type="dxa"/>
            <w:tcBorders>
              <w:top w:val="nil"/>
              <w:left w:val="nil"/>
              <w:bottom w:val="single" w:sz="4" w:space="0" w:color="auto"/>
              <w:right w:val="single" w:sz="4" w:space="0" w:color="auto"/>
            </w:tcBorders>
            <w:shd w:val="clear" w:color="000000" w:fill="BDD6EE"/>
            <w:vAlign w:val="center"/>
            <w:hideMark/>
          </w:tcPr>
          <w:p w14:paraId="50180A3F"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Investigación</w:t>
            </w:r>
          </w:p>
        </w:tc>
        <w:tc>
          <w:tcPr>
            <w:tcW w:w="788" w:type="dxa"/>
            <w:tcBorders>
              <w:top w:val="nil"/>
              <w:left w:val="nil"/>
              <w:bottom w:val="single" w:sz="4" w:space="0" w:color="auto"/>
              <w:right w:val="single" w:sz="4" w:space="0" w:color="auto"/>
            </w:tcBorders>
            <w:shd w:val="clear" w:color="000000" w:fill="BDD6EE"/>
            <w:vAlign w:val="center"/>
            <w:hideMark/>
          </w:tcPr>
          <w:p w14:paraId="454DF1F9"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Citas</w:t>
            </w:r>
          </w:p>
        </w:tc>
        <w:tc>
          <w:tcPr>
            <w:tcW w:w="1295" w:type="dxa"/>
            <w:tcBorders>
              <w:top w:val="nil"/>
              <w:left w:val="nil"/>
              <w:bottom w:val="single" w:sz="4" w:space="0" w:color="auto"/>
              <w:right w:val="single" w:sz="4" w:space="0" w:color="auto"/>
            </w:tcBorders>
            <w:shd w:val="clear" w:color="000000" w:fill="BDD6EE"/>
            <w:vAlign w:val="center"/>
            <w:hideMark/>
          </w:tcPr>
          <w:p w14:paraId="5A48A430"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 xml:space="preserve">Financiamiento de la industria </w:t>
            </w:r>
          </w:p>
        </w:tc>
        <w:tc>
          <w:tcPr>
            <w:tcW w:w="1173" w:type="dxa"/>
            <w:tcBorders>
              <w:top w:val="nil"/>
              <w:left w:val="nil"/>
              <w:bottom w:val="single" w:sz="4" w:space="0" w:color="auto"/>
              <w:right w:val="single" w:sz="4" w:space="0" w:color="auto"/>
            </w:tcBorders>
            <w:shd w:val="clear" w:color="000000" w:fill="BDD6EE"/>
            <w:vAlign w:val="center"/>
            <w:hideMark/>
          </w:tcPr>
          <w:p w14:paraId="2FCFB143"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Perspectiva internacional</w:t>
            </w:r>
          </w:p>
        </w:tc>
      </w:tr>
      <w:tr w:rsidR="0072387E" w:rsidRPr="008C72D8" w14:paraId="7076A97F"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36C4C61" w14:textId="2664328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46</w:t>
            </w:r>
          </w:p>
        </w:tc>
        <w:tc>
          <w:tcPr>
            <w:tcW w:w="3357" w:type="dxa"/>
            <w:tcBorders>
              <w:top w:val="nil"/>
              <w:left w:val="nil"/>
              <w:bottom w:val="single" w:sz="4" w:space="0" w:color="auto"/>
              <w:right w:val="single" w:sz="4" w:space="0" w:color="auto"/>
            </w:tcBorders>
            <w:shd w:val="clear" w:color="auto" w:fill="auto"/>
            <w:noWrap/>
            <w:vAlign w:val="center"/>
          </w:tcPr>
          <w:p w14:paraId="2CBB00A7" w14:textId="6CF3CD05"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Pompeu Fabra</w:t>
            </w:r>
          </w:p>
        </w:tc>
        <w:tc>
          <w:tcPr>
            <w:tcW w:w="896" w:type="dxa"/>
            <w:tcBorders>
              <w:top w:val="nil"/>
              <w:left w:val="nil"/>
              <w:bottom w:val="single" w:sz="4" w:space="0" w:color="auto"/>
              <w:right w:val="single" w:sz="4" w:space="0" w:color="auto"/>
            </w:tcBorders>
            <w:shd w:val="clear" w:color="auto" w:fill="auto"/>
            <w:vAlign w:val="center"/>
          </w:tcPr>
          <w:p w14:paraId="1D14D139" w14:textId="600D207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42AB4748" w14:textId="72A270F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63.2</w:t>
            </w:r>
          </w:p>
        </w:tc>
        <w:tc>
          <w:tcPr>
            <w:tcW w:w="841" w:type="dxa"/>
            <w:tcBorders>
              <w:top w:val="nil"/>
              <w:left w:val="nil"/>
              <w:bottom w:val="single" w:sz="4" w:space="0" w:color="auto"/>
              <w:right w:val="single" w:sz="4" w:space="0" w:color="auto"/>
            </w:tcBorders>
            <w:shd w:val="clear" w:color="auto" w:fill="auto"/>
            <w:noWrap/>
            <w:vAlign w:val="center"/>
          </w:tcPr>
          <w:p w14:paraId="3FDA6B40" w14:textId="5CD5368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55.1</w:t>
            </w:r>
          </w:p>
        </w:tc>
        <w:tc>
          <w:tcPr>
            <w:tcW w:w="1126" w:type="dxa"/>
            <w:tcBorders>
              <w:top w:val="nil"/>
              <w:left w:val="nil"/>
              <w:bottom w:val="single" w:sz="4" w:space="0" w:color="auto"/>
              <w:right w:val="single" w:sz="4" w:space="0" w:color="auto"/>
            </w:tcBorders>
            <w:shd w:val="clear" w:color="auto" w:fill="auto"/>
            <w:noWrap/>
            <w:vAlign w:val="center"/>
          </w:tcPr>
          <w:p w14:paraId="395144C7" w14:textId="7A99E83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58.6</w:t>
            </w:r>
          </w:p>
        </w:tc>
        <w:tc>
          <w:tcPr>
            <w:tcW w:w="788" w:type="dxa"/>
            <w:tcBorders>
              <w:top w:val="nil"/>
              <w:left w:val="nil"/>
              <w:bottom w:val="single" w:sz="4" w:space="0" w:color="auto"/>
              <w:right w:val="single" w:sz="4" w:space="0" w:color="auto"/>
            </w:tcBorders>
            <w:shd w:val="clear" w:color="auto" w:fill="auto"/>
            <w:vAlign w:val="center"/>
          </w:tcPr>
          <w:p w14:paraId="7DC8478D" w14:textId="7D6EFDB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81.5</w:t>
            </w:r>
          </w:p>
        </w:tc>
        <w:tc>
          <w:tcPr>
            <w:tcW w:w="1295" w:type="dxa"/>
            <w:tcBorders>
              <w:top w:val="nil"/>
              <w:left w:val="nil"/>
              <w:bottom w:val="single" w:sz="4" w:space="0" w:color="auto"/>
              <w:right w:val="single" w:sz="4" w:space="0" w:color="auto"/>
            </w:tcBorders>
            <w:shd w:val="clear" w:color="auto" w:fill="auto"/>
            <w:noWrap/>
            <w:vAlign w:val="center"/>
          </w:tcPr>
          <w:p w14:paraId="076DF472" w14:textId="26075CA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45.8</w:t>
            </w:r>
          </w:p>
        </w:tc>
        <w:tc>
          <w:tcPr>
            <w:tcW w:w="1173" w:type="dxa"/>
            <w:tcBorders>
              <w:top w:val="nil"/>
              <w:left w:val="nil"/>
              <w:bottom w:val="single" w:sz="4" w:space="0" w:color="auto"/>
              <w:right w:val="single" w:sz="4" w:space="0" w:color="auto"/>
            </w:tcBorders>
            <w:shd w:val="clear" w:color="auto" w:fill="auto"/>
            <w:noWrap/>
            <w:vAlign w:val="center"/>
          </w:tcPr>
          <w:p w14:paraId="20477595" w14:textId="03791A3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61.5</w:t>
            </w:r>
          </w:p>
        </w:tc>
      </w:tr>
      <w:tr w:rsidR="0072387E" w:rsidRPr="008C72D8" w14:paraId="3B5EFAE8"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13515B36" w14:textId="57EEF99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101–125</w:t>
            </w:r>
          </w:p>
        </w:tc>
        <w:tc>
          <w:tcPr>
            <w:tcW w:w="3357" w:type="dxa"/>
            <w:tcBorders>
              <w:top w:val="nil"/>
              <w:left w:val="nil"/>
              <w:bottom w:val="single" w:sz="4" w:space="0" w:color="auto"/>
              <w:right w:val="single" w:sz="4" w:space="0" w:color="auto"/>
            </w:tcBorders>
            <w:shd w:val="clear" w:color="000000" w:fill="E7E6E6"/>
            <w:noWrap/>
            <w:vAlign w:val="center"/>
          </w:tcPr>
          <w:p w14:paraId="3324D3A6" w14:textId="05E9A7EB"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Autónoma de Barcelona</w:t>
            </w:r>
          </w:p>
        </w:tc>
        <w:tc>
          <w:tcPr>
            <w:tcW w:w="896" w:type="dxa"/>
            <w:tcBorders>
              <w:top w:val="nil"/>
              <w:left w:val="nil"/>
              <w:bottom w:val="single" w:sz="4" w:space="0" w:color="auto"/>
              <w:right w:val="single" w:sz="4" w:space="0" w:color="auto"/>
            </w:tcBorders>
            <w:shd w:val="clear" w:color="000000" w:fill="E7E6E6"/>
            <w:vAlign w:val="center"/>
          </w:tcPr>
          <w:p w14:paraId="26D86784" w14:textId="6FDB8D3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5707EF1F" w14:textId="54C5E66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47.0–50.3</w:t>
            </w:r>
          </w:p>
        </w:tc>
        <w:tc>
          <w:tcPr>
            <w:tcW w:w="841" w:type="dxa"/>
            <w:tcBorders>
              <w:top w:val="nil"/>
              <w:left w:val="nil"/>
              <w:bottom w:val="single" w:sz="4" w:space="0" w:color="auto"/>
              <w:right w:val="single" w:sz="4" w:space="0" w:color="auto"/>
            </w:tcBorders>
            <w:shd w:val="clear" w:color="000000" w:fill="E7E6E6"/>
            <w:noWrap/>
            <w:vAlign w:val="center"/>
          </w:tcPr>
          <w:p w14:paraId="666D4CA1" w14:textId="4723D7E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40.6</w:t>
            </w:r>
          </w:p>
        </w:tc>
        <w:tc>
          <w:tcPr>
            <w:tcW w:w="1126" w:type="dxa"/>
            <w:tcBorders>
              <w:top w:val="nil"/>
              <w:left w:val="nil"/>
              <w:bottom w:val="single" w:sz="4" w:space="0" w:color="auto"/>
              <w:right w:val="single" w:sz="4" w:space="0" w:color="auto"/>
            </w:tcBorders>
            <w:shd w:val="clear" w:color="000000" w:fill="E7E6E6"/>
            <w:noWrap/>
            <w:vAlign w:val="center"/>
          </w:tcPr>
          <w:p w14:paraId="0A21AA90" w14:textId="451E896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23.6</w:t>
            </w:r>
          </w:p>
        </w:tc>
        <w:tc>
          <w:tcPr>
            <w:tcW w:w="788" w:type="dxa"/>
            <w:tcBorders>
              <w:top w:val="nil"/>
              <w:left w:val="nil"/>
              <w:bottom w:val="single" w:sz="4" w:space="0" w:color="auto"/>
              <w:right w:val="single" w:sz="4" w:space="0" w:color="auto"/>
            </w:tcBorders>
            <w:shd w:val="clear" w:color="000000" w:fill="E7E6E6"/>
            <w:vAlign w:val="center"/>
          </w:tcPr>
          <w:p w14:paraId="48990345" w14:textId="3F899E5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83.7</w:t>
            </w:r>
          </w:p>
        </w:tc>
        <w:tc>
          <w:tcPr>
            <w:tcW w:w="1295" w:type="dxa"/>
            <w:tcBorders>
              <w:top w:val="nil"/>
              <w:left w:val="nil"/>
              <w:bottom w:val="single" w:sz="4" w:space="0" w:color="auto"/>
              <w:right w:val="single" w:sz="4" w:space="0" w:color="auto"/>
            </w:tcBorders>
            <w:shd w:val="clear" w:color="000000" w:fill="E7E6E6"/>
            <w:noWrap/>
            <w:vAlign w:val="center"/>
          </w:tcPr>
          <w:p w14:paraId="311F474F" w14:textId="1D8B4CD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41.4</w:t>
            </w:r>
          </w:p>
        </w:tc>
        <w:tc>
          <w:tcPr>
            <w:tcW w:w="1173" w:type="dxa"/>
            <w:tcBorders>
              <w:top w:val="nil"/>
              <w:left w:val="nil"/>
              <w:bottom w:val="single" w:sz="4" w:space="0" w:color="auto"/>
              <w:right w:val="single" w:sz="4" w:space="0" w:color="auto"/>
            </w:tcBorders>
            <w:shd w:val="clear" w:color="000000" w:fill="E7E6E6"/>
            <w:noWrap/>
            <w:vAlign w:val="center"/>
          </w:tcPr>
          <w:p w14:paraId="17FF61FE" w14:textId="0410800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60.3</w:t>
            </w:r>
          </w:p>
        </w:tc>
      </w:tr>
      <w:tr w:rsidR="0072387E" w:rsidRPr="008C72D8" w14:paraId="24ABBB1C"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5CC6182" w14:textId="080D03F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151–175</w:t>
            </w:r>
          </w:p>
        </w:tc>
        <w:tc>
          <w:tcPr>
            <w:tcW w:w="3357" w:type="dxa"/>
            <w:tcBorders>
              <w:top w:val="nil"/>
              <w:left w:val="nil"/>
              <w:bottom w:val="single" w:sz="4" w:space="0" w:color="auto"/>
              <w:right w:val="single" w:sz="4" w:space="0" w:color="auto"/>
            </w:tcBorders>
            <w:shd w:val="clear" w:color="auto" w:fill="auto"/>
            <w:noWrap/>
            <w:vAlign w:val="center"/>
          </w:tcPr>
          <w:p w14:paraId="4CC5A027" w14:textId="765D9F4C"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Navarra</w:t>
            </w:r>
          </w:p>
        </w:tc>
        <w:tc>
          <w:tcPr>
            <w:tcW w:w="896" w:type="dxa"/>
            <w:tcBorders>
              <w:top w:val="nil"/>
              <w:left w:val="nil"/>
              <w:bottom w:val="single" w:sz="4" w:space="0" w:color="auto"/>
              <w:right w:val="single" w:sz="4" w:space="0" w:color="auto"/>
            </w:tcBorders>
            <w:shd w:val="clear" w:color="auto" w:fill="auto"/>
            <w:vAlign w:val="center"/>
          </w:tcPr>
          <w:p w14:paraId="549DCF89" w14:textId="00B529E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452F8CAB" w14:textId="4114A5E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42.4–44.2</w:t>
            </w:r>
          </w:p>
        </w:tc>
        <w:tc>
          <w:tcPr>
            <w:tcW w:w="841" w:type="dxa"/>
            <w:tcBorders>
              <w:top w:val="nil"/>
              <w:left w:val="nil"/>
              <w:bottom w:val="single" w:sz="4" w:space="0" w:color="auto"/>
              <w:right w:val="single" w:sz="4" w:space="0" w:color="auto"/>
            </w:tcBorders>
            <w:shd w:val="clear" w:color="auto" w:fill="auto"/>
            <w:noWrap/>
            <w:vAlign w:val="center"/>
          </w:tcPr>
          <w:p w14:paraId="4C34440D" w14:textId="502E8BB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31.7</w:t>
            </w:r>
          </w:p>
        </w:tc>
        <w:tc>
          <w:tcPr>
            <w:tcW w:w="1126" w:type="dxa"/>
            <w:tcBorders>
              <w:top w:val="nil"/>
              <w:left w:val="nil"/>
              <w:bottom w:val="single" w:sz="4" w:space="0" w:color="auto"/>
              <w:right w:val="single" w:sz="4" w:space="0" w:color="auto"/>
            </w:tcBorders>
            <w:shd w:val="clear" w:color="auto" w:fill="auto"/>
            <w:noWrap/>
            <w:vAlign w:val="center"/>
          </w:tcPr>
          <w:p w14:paraId="0C238EF4" w14:textId="24B2617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18.9</w:t>
            </w:r>
          </w:p>
        </w:tc>
        <w:tc>
          <w:tcPr>
            <w:tcW w:w="788" w:type="dxa"/>
            <w:tcBorders>
              <w:top w:val="nil"/>
              <w:left w:val="nil"/>
              <w:bottom w:val="single" w:sz="4" w:space="0" w:color="auto"/>
              <w:right w:val="single" w:sz="4" w:space="0" w:color="auto"/>
            </w:tcBorders>
            <w:shd w:val="clear" w:color="auto" w:fill="auto"/>
            <w:vAlign w:val="center"/>
          </w:tcPr>
          <w:p w14:paraId="4B2FCD27" w14:textId="6A50F8D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75.2</w:t>
            </w:r>
          </w:p>
        </w:tc>
        <w:tc>
          <w:tcPr>
            <w:tcW w:w="1295" w:type="dxa"/>
            <w:tcBorders>
              <w:top w:val="nil"/>
              <w:left w:val="nil"/>
              <w:bottom w:val="single" w:sz="4" w:space="0" w:color="auto"/>
              <w:right w:val="single" w:sz="4" w:space="0" w:color="auto"/>
            </w:tcBorders>
            <w:shd w:val="clear" w:color="auto" w:fill="auto"/>
            <w:noWrap/>
            <w:vAlign w:val="center"/>
          </w:tcPr>
          <w:p w14:paraId="03DE38F3" w14:textId="3F67A40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41.1</w:t>
            </w:r>
          </w:p>
        </w:tc>
        <w:tc>
          <w:tcPr>
            <w:tcW w:w="1173" w:type="dxa"/>
            <w:tcBorders>
              <w:top w:val="nil"/>
              <w:left w:val="nil"/>
              <w:bottom w:val="single" w:sz="4" w:space="0" w:color="auto"/>
              <w:right w:val="single" w:sz="4" w:space="0" w:color="auto"/>
            </w:tcBorders>
            <w:shd w:val="clear" w:color="auto" w:fill="auto"/>
            <w:noWrap/>
            <w:vAlign w:val="center"/>
          </w:tcPr>
          <w:p w14:paraId="7F3B6557" w14:textId="060B87E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85.4</w:t>
            </w:r>
          </w:p>
        </w:tc>
      </w:tr>
      <w:tr w:rsidR="0072387E" w:rsidRPr="008C72D8" w14:paraId="2E0318A9"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6B35E86D" w14:textId="0369F5C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151–175</w:t>
            </w:r>
          </w:p>
        </w:tc>
        <w:tc>
          <w:tcPr>
            <w:tcW w:w="3357" w:type="dxa"/>
            <w:tcBorders>
              <w:top w:val="nil"/>
              <w:left w:val="nil"/>
              <w:bottom w:val="single" w:sz="4" w:space="0" w:color="auto"/>
              <w:right w:val="single" w:sz="4" w:space="0" w:color="auto"/>
            </w:tcBorders>
            <w:shd w:val="clear" w:color="000000" w:fill="E7E6E6"/>
            <w:noWrap/>
            <w:vAlign w:val="center"/>
          </w:tcPr>
          <w:p w14:paraId="0E2293D6" w14:textId="130677A3"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Nueva de Lisboa</w:t>
            </w:r>
          </w:p>
        </w:tc>
        <w:tc>
          <w:tcPr>
            <w:tcW w:w="896" w:type="dxa"/>
            <w:tcBorders>
              <w:top w:val="nil"/>
              <w:left w:val="nil"/>
              <w:bottom w:val="single" w:sz="4" w:space="0" w:color="auto"/>
              <w:right w:val="single" w:sz="4" w:space="0" w:color="auto"/>
            </w:tcBorders>
            <w:shd w:val="clear" w:color="000000" w:fill="E7E6E6"/>
            <w:vAlign w:val="center"/>
          </w:tcPr>
          <w:p w14:paraId="5F8E447E" w14:textId="7A285F5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Portugal</w:t>
            </w:r>
          </w:p>
        </w:tc>
        <w:tc>
          <w:tcPr>
            <w:tcW w:w="1044" w:type="dxa"/>
            <w:tcBorders>
              <w:top w:val="nil"/>
              <w:left w:val="nil"/>
              <w:bottom w:val="single" w:sz="4" w:space="0" w:color="auto"/>
              <w:right w:val="single" w:sz="4" w:space="0" w:color="auto"/>
            </w:tcBorders>
            <w:shd w:val="clear" w:color="000000" w:fill="E7E6E6"/>
            <w:noWrap/>
            <w:vAlign w:val="center"/>
          </w:tcPr>
          <w:p w14:paraId="6FE6881D" w14:textId="79DF40A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42.4–44.2</w:t>
            </w:r>
          </w:p>
        </w:tc>
        <w:tc>
          <w:tcPr>
            <w:tcW w:w="841" w:type="dxa"/>
            <w:tcBorders>
              <w:top w:val="nil"/>
              <w:left w:val="nil"/>
              <w:bottom w:val="single" w:sz="4" w:space="0" w:color="auto"/>
              <w:right w:val="single" w:sz="4" w:space="0" w:color="auto"/>
            </w:tcBorders>
            <w:shd w:val="clear" w:color="000000" w:fill="E7E6E6"/>
            <w:noWrap/>
            <w:vAlign w:val="center"/>
          </w:tcPr>
          <w:p w14:paraId="7A00A16A" w14:textId="04BF7C9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20.2</w:t>
            </w:r>
          </w:p>
        </w:tc>
        <w:tc>
          <w:tcPr>
            <w:tcW w:w="1126" w:type="dxa"/>
            <w:tcBorders>
              <w:top w:val="nil"/>
              <w:left w:val="nil"/>
              <w:bottom w:val="single" w:sz="4" w:space="0" w:color="auto"/>
              <w:right w:val="single" w:sz="4" w:space="0" w:color="auto"/>
            </w:tcBorders>
            <w:shd w:val="clear" w:color="000000" w:fill="E7E6E6"/>
            <w:noWrap/>
            <w:vAlign w:val="center"/>
          </w:tcPr>
          <w:p w14:paraId="053D5A78" w14:textId="411A87F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18.8</w:t>
            </w:r>
          </w:p>
        </w:tc>
        <w:tc>
          <w:tcPr>
            <w:tcW w:w="788" w:type="dxa"/>
            <w:tcBorders>
              <w:top w:val="nil"/>
              <w:left w:val="nil"/>
              <w:bottom w:val="single" w:sz="4" w:space="0" w:color="auto"/>
              <w:right w:val="single" w:sz="4" w:space="0" w:color="auto"/>
            </w:tcBorders>
            <w:shd w:val="clear" w:color="000000" w:fill="E7E6E6"/>
            <w:vAlign w:val="center"/>
          </w:tcPr>
          <w:p w14:paraId="1DC463EB" w14:textId="31DDE40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95.1</w:t>
            </w:r>
          </w:p>
        </w:tc>
        <w:tc>
          <w:tcPr>
            <w:tcW w:w="1295" w:type="dxa"/>
            <w:tcBorders>
              <w:top w:val="nil"/>
              <w:left w:val="nil"/>
              <w:bottom w:val="single" w:sz="4" w:space="0" w:color="auto"/>
              <w:right w:val="single" w:sz="4" w:space="0" w:color="auto"/>
            </w:tcBorders>
            <w:shd w:val="clear" w:color="000000" w:fill="E7E6E6"/>
            <w:noWrap/>
            <w:vAlign w:val="center"/>
          </w:tcPr>
          <w:p w14:paraId="1239FC4D" w14:textId="28825C6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63.7</w:t>
            </w:r>
          </w:p>
        </w:tc>
        <w:tc>
          <w:tcPr>
            <w:tcW w:w="1173" w:type="dxa"/>
            <w:tcBorders>
              <w:top w:val="nil"/>
              <w:left w:val="nil"/>
              <w:bottom w:val="single" w:sz="4" w:space="0" w:color="auto"/>
              <w:right w:val="single" w:sz="4" w:space="0" w:color="auto"/>
            </w:tcBorders>
            <w:shd w:val="clear" w:color="000000" w:fill="E7E6E6"/>
            <w:noWrap/>
            <w:vAlign w:val="center"/>
          </w:tcPr>
          <w:p w14:paraId="5590C5DA" w14:textId="2C1EBBA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60.4</w:t>
            </w:r>
          </w:p>
        </w:tc>
      </w:tr>
      <w:tr w:rsidR="0072387E" w:rsidRPr="008C72D8" w14:paraId="128579A3"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47D5C46A" w14:textId="3212856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201–250</w:t>
            </w:r>
          </w:p>
        </w:tc>
        <w:tc>
          <w:tcPr>
            <w:tcW w:w="3357" w:type="dxa"/>
            <w:tcBorders>
              <w:top w:val="nil"/>
              <w:left w:val="nil"/>
              <w:bottom w:val="single" w:sz="4" w:space="0" w:color="auto"/>
              <w:right w:val="single" w:sz="4" w:space="0" w:color="auto"/>
            </w:tcBorders>
            <w:shd w:val="clear" w:color="auto" w:fill="auto"/>
            <w:noWrap/>
            <w:vAlign w:val="center"/>
          </w:tcPr>
          <w:p w14:paraId="6EDCF91C" w14:textId="0B95C5E6"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Carlos III de Madrid</w:t>
            </w:r>
          </w:p>
        </w:tc>
        <w:tc>
          <w:tcPr>
            <w:tcW w:w="896" w:type="dxa"/>
            <w:tcBorders>
              <w:top w:val="nil"/>
              <w:left w:val="nil"/>
              <w:bottom w:val="single" w:sz="4" w:space="0" w:color="auto"/>
              <w:right w:val="single" w:sz="4" w:space="0" w:color="auto"/>
            </w:tcBorders>
            <w:shd w:val="clear" w:color="auto" w:fill="auto"/>
            <w:vAlign w:val="center"/>
          </w:tcPr>
          <w:p w14:paraId="2E4DA8E0" w14:textId="0BD5C27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74545D08" w14:textId="2292857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37.2–40.5</w:t>
            </w:r>
          </w:p>
        </w:tc>
        <w:tc>
          <w:tcPr>
            <w:tcW w:w="841" w:type="dxa"/>
            <w:tcBorders>
              <w:top w:val="nil"/>
              <w:left w:val="nil"/>
              <w:bottom w:val="single" w:sz="4" w:space="0" w:color="auto"/>
              <w:right w:val="single" w:sz="4" w:space="0" w:color="auto"/>
            </w:tcBorders>
            <w:shd w:val="clear" w:color="auto" w:fill="auto"/>
            <w:noWrap/>
            <w:vAlign w:val="center"/>
          </w:tcPr>
          <w:p w14:paraId="6381FCEE" w14:textId="6A16A9C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29.7</w:t>
            </w:r>
          </w:p>
        </w:tc>
        <w:tc>
          <w:tcPr>
            <w:tcW w:w="1126" w:type="dxa"/>
            <w:tcBorders>
              <w:top w:val="nil"/>
              <w:left w:val="nil"/>
              <w:bottom w:val="single" w:sz="4" w:space="0" w:color="auto"/>
              <w:right w:val="single" w:sz="4" w:space="0" w:color="auto"/>
            </w:tcBorders>
            <w:shd w:val="clear" w:color="auto" w:fill="auto"/>
            <w:noWrap/>
            <w:vAlign w:val="center"/>
          </w:tcPr>
          <w:p w14:paraId="0CD12E93" w14:textId="027B193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23</w:t>
            </w:r>
          </w:p>
        </w:tc>
        <w:tc>
          <w:tcPr>
            <w:tcW w:w="788" w:type="dxa"/>
            <w:tcBorders>
              <w:top w:val="nil"/>
              <w:left w:val="nil"/>
              <w:bottom w:val="single" w:sz="4" w:space="0" w:color="auto"/>
              <w:right w:val="single" w:sz="4" w:space="0" w:color="auto"/>
            </w:tcBorders>
            <w:shd w:val="clear" w:color="auto" w:fill="auto"/>
            <w:vAlign w:val="center"/>
          </w:tcPr>
          <w:p w14:paraId="4FF47765" w14:textId="478262F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59.2</w:t>
            </w:r>
          </w:p>
        </w:tc>
        <w:tc>
          <w:tcPr>
            <w:tcW w:w="1295" w:type="dxa"/>
            <w:tcBorders>
              <w:top w:val="nil"/>
              <w:left w:val="nil"/>
              <w:bottom w:val="single" w:sz="4" w:space="0" w:color="auto"/>
              <w:right w:val="single" w:sz="4" w:space="0" w:color="auto"/>
            </w:tcBorders>
            <w:shd w:val="clear" w:color="auto" w:fill="auto"/>
            <w:noWrap/>
            <w:vAlign w:val="center"/>
          </w:tcPr>
          <w:p w14:paraId="70954E28" w14:textId="701B625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36.7</w:t>
            </w:r>
          </w:p>
        </w:tc>
        <w:tc>
          <w:tcPr>
            <w:tcW w:w="1173" w:type="dxa"/>
            <w:tcBorders>
              <w:top w:val="nil"/>
              <w:left w:val="nil"/>
              <w:bottom w:val="single" w:sz="4" w:space="0" w:color="auto"/>
              <w:right w:val="single" w:sz="4" w:space="0" w:color="auto"/>
            </w:tcBorders>
            <w:shd w:val="clear" w:color="auto" w:fill="auto"/>
            <w:noWrap/>
            <w:vAlign w:val="center"/>
          </w:tcPr>
          <w:p w14:paraId="2AE44706" w14:textId="6599895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58.6</w:t>
            </w:r>
          </w:p>
        </w:tc>
      </w:tr>
      <w:tr w:rsidR="0072387E" w:rsidRPr="008C72D8" w14:paraId="4FCE6576"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25982E7E" w14:textId="4E35A1E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201–250</w:t>
            </w:r>
          </w:p>
        </w:tc>
        <w:tc>
          <w:tcPr>
            <w:tcW w:w="3357" w:type="dxa"/>
            <w:tcBorders>
              <w:top w:val="nil"/>
              <w:left w:val="nil"/>
              <w:bottom w:val="single" w:sz="4" w:space="0" w:color="auto"/>
              <w:right w:val="single" w:sz="4" w:space="0" w:color="auto"/>
            </w:tcBorders>
            <w:shd w:val="clear" w:color="000000" w:fill="E7E6E6"/>
            <w:noWrap/>
            <w:vAlign w:val="center"/>
          </w:tcPr>
          <w:p w14:paraId="5A3C6E2A" w14:textId="7A90B43E"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Sao Paulo</w:t>
            </w:r>
          </w:p>
        </w:tc>
        <w:tc>
          <w:tcPr>
            <w:tcW w:w="896" w:type="dxa"/>
            <w:tcBorders>
              <w:top w:val="nil"/>
              <w:left w:val="nil"/>
              <w:bottom w:val="single" w:sz="4" w:space="0" w:color="auto"/>
              <w:right w:val="single" w:sz="4" w:space="0" w:color="auto"/>
            </w:tcBorders>
            <w:shd w:val="clear" w:color="000000" w:fill="E7E6E6"/>
            <w:vAlign w:val="center"/>
          </w:tcPr>
          <w:p w14:paraId="5B5B2BA8" w14:textId="1C5F978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Brasil</w:t>
            </w:r>
          </w:p>
        </w:tc>
        <w:tc>
          <w:tcPr>
            <w:tcW w:w="1044" w:type="dxa"/>
            <w:tcBorders>
              <w:top w:val="nil"/>
              <w:left w:val="nil"/>
              <w:bottom w:val="single" w:sz="4" w:space="0" w:color="auto"/>
              <w:right w:val="single" w:sz="4" w:space="0" w:color="auto"/>
            </w:tcBorders>
            <w:shd w:val="clear" w:color="000000" w:fill="E7E6E6"/>
            <w:noWrap/>
            <w:vAlign w:val="center"/>
          </w:tcPr>
          <w:p w14:paraId="53A6A32C" w14:textId="1A43CF6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37.2–40.5</w:t>
            </w:r>
          </w:p>
        </w:tc>
        <w:tc>
          <w:tcPr>
            <w:tcW w:w="841" w:type="dxa"/>
            <w:tcBorders>
              <w:top w:val="nil"/>
              <w:left w:val="nil"/>
              <w:bottom w:val="single" w:sz="4" w:space="0" w:color="auto"/>
              <w:right w:val="single" w:sz="4" w:space="0" w:color="auto"/>
            </w:tcBorders>
            <w:shd w:val="clear" w:color="000000" w:fill="E7E6E6"/>
            <w:noWrap/>
            <w:vAlign w:val="center"/>
          </w:tcPr>
          <w:p w14:paraId="3ACEB257" w14:textId="3678B4A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44.4</w:t>
            </w:r>
          </w:p>
        </w:tc>
        <w:tc>
          <w:tcPr>
            <w:tcW w:w="1126" w:type="dxa"/>
            <w:tcBorders>
              <w:top w:val="nil"/>
              <w:left w:val="nil"/>
              <w:bottom w:val="single" w:sz="4" w:space="0" w:color="auto"/>
              <w:right w:val="single" w:sz="4" w:space="0" w:color="auto"/>
            </w:tcBorders>
            <w:shd w:val="clear" w:color="000000" w:fill="E7E6E6"/>
            <w:noWrap/>
            <w:vAlign w:val="center"/>
          </w:tcPr>
          <w:p w14:paraId="269C87E7" w14:textId="4FB8404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45.1</w:t>
            </w:r>
          </w:p>
        </w:tc>
        <w:tc>
          <w:tcPr>
            <w:tcW w:w="788" w:type="dxa"/>
            <w:tcBorders>
              <w:top w:val="nil"/>
              <w:left w:val="nil"/>
              <w:bottom w:val="single" w:sz="4" w:space="0" w:color="auto"/>
              <w:right w:val="single" w:sz="4" w:space="0" w:color="auto"/>
            </w:tcBorders>
            <w:shd w:val="clear" w:color="000000" w:fill="E7E6E6"/>
            <w:vAlign w:val="center"/>
          </w:tcPr>
          <w:p w14:paraId="5E1669A8" w14:textId="6A864E5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27.6</w:t>
            </w:r>
          </w:p>
        </w:tc>
        <w:tc>
          <w:tcPr>
            <w:tcW w:w="1295" w:type="dxa"/>
            <w:tcBorders>
              <w:top w:val="nil"/>
              <w:left w:val="nil"/>
              <w:bottom w:val="single" w:sz="4" w:space="0" w:color="auto"/>
              <w:right w:val="single" w:sz="4" w:space="0" w:color="auto"/>
            </w:tcBorders>
            <w:shd w:val="clear" w:color="000000" w:fill="E7E6E6"/>
            <w:noWrap/>
            <w:vAlign w:val="center"/>
          </w:tcPr>
          <w:p w14:paraId="1CE0297A" w14:textId="3D79219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38.2</w:t>
            </w:r>
          </w:p>
        </w:tc>
        <w:tc>
          <w:tcPr>
            <w:tcW w:w="1173" w:type="dxa"/>
            <w:tcBorders>
              <w:top w:val="nil"/>
              <w:left w:val="nil"/>
              <w:bottom w:val="single" w:sz="4" w:space="0" w:color="auto"/>
              <w:right w:val="single" w:sz="4" w:space="0" w:color="auto"/>
            </w:tcBorders>
            <w:shd w:val="clear" w:color="000000" w:fill="E7E6E6"/>
            <w:noWrap/>
            <w:vAlign w:val="center"/>
          </w:tcPr>
          <w:p w14:paraId="5EA3DFD2" w14:textId="6B09CB6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14.6</w:t>
            </w:r>
          </w:p>
        </w:tc>
      </w:tr>
      <w:tr w:rsidR="0072387E" w:rsidRPr="008C72D8" w14:paraId="53F1277E"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C174878" w14:textId="71CE42A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251–300</w:t>
            </w:r>
          </w:p>
        </w:tc>
        <w:tc>
          <w:tcPr>
            <w:tcW w:w="3357" w:type="dxa"/>
            <w:tcBorders>
              <w:top w:val="nil"/>
              <w:left w:val="nil"/>
              <w:bottom w:val="single" w:sz="4" w:space="0" w:color="auto"/>
              <w:right w:val="single" w:sz="4" w:space="0" w:color="auto"/>
            </w:tcBorders>
            <w:shd w:val="clear" w:color="auto" w:fill="auto"/>
            <w:noWrap/>
            <w:vAlign w:val="center"/>
          </w:tcPr>
          <w:p w14:paraId="6443ECF2" w14:textId="10DFFF13"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Instituto Tecnológico y de Estudios Superiores de Monterrey</w:t>
            </w:r>
          </w:p>
        </w:tc>
        <w:tc>
          <w:tcPr>
            <w:tcW w:w="896" w:type="dxa"/>
            <w:tcBorders>
              <w:top w:val="nil"/>
              <w:left w:val="nil"/>
              <w:bottom w:val="single" w:sz="4" w:space="0" w:color="auto"/>
              <w:right w:val="single" w:sz="4" w:space="0" w:color="auto"/>
            </w:tcBorders>
            <w:shd w:val="clear" w:color="auto" w:fill="auto"/>
            <w:vAlign w:val="center"/>
          </w:tcPr>
          <w:p w14:paraId="1CE5F973" w14:textId="7C493FD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México</w:t>
            </w:r>
          </w:p>
        </w:tc>
        <w:tc>
          <w:tcPr>
            <w:tcW w:w="1044" w:type="dxa"/>
            <w:tcBorders>
              <w:top w:val="nil"/>
              <w:left w:val="nil"/>
              <w:bottom w:val="single" w:sz="4" w:space="0" w:color="auto"/>
              <w:right w:val="single" w:sz="4" w:space="0" w:color="auto"/>
            </w:tcBorders>
            <w:shd w:val="clear" w:color="auto" w:fill="auto"/>
            <w:noWrap/>
            <w:vAlign w:val="center"/>
          </w:tcPr>
          <w:p w14:paraId="3D9F7C15" w14:textId="2123D17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33.8–37.1</w:t>
            </w:r>
          </w:p>
        </w:tc>
        <w:tc>
          <w:tcPr>
            <w:tcW w:w="841" w:type="dxa"/>
            <w:tcBorders>
              <w:top w:val="nil"/>
              <w:left w:val="nil"/>
              <w:bottom w:val="single" w:sz="4" w:space="0" w:color="auto"/>
              <w:right w:val="single" w:sz="4" w:space="0" w:color="auto"/>
            </w:tcBorders>
            <w:shd w:val="clear" w:color="auto" w:fill="auto"/>
            <w:noWrap/>
            <w:vAlign w:val="center"/>
          </w:tcPr>
          <w:p w14:paraId="2A67FA29" w14:textId="76275D2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22.4</w:t>
            </w:r>
          </w:p>
        </w:tc>
        <w:tc>
          <w:tcPr>
            <w:tcW w:w="1126" w:type="dxa"/>
            <w:tcBorders>
              <w:top w:val="nil"/>
              <w:left w:val="nil"/>
              <w:bottom w:val="single" w:sz="4" w:space="0" w:color="auto"/>
              <w:right w:val="single" w:sz="4" w:space="0" w:color="auto"/>
            </w:tcBorders>
            <w:shd w:val="clear" w:color="auto" w:fill="auto"/>
            <w:noWrap/>
            <w:vAlign w:val="center"/>
          </w:tcPr>
          <w:p w14:paraId="71F4CA23" w14:textId="5F2C9CD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10.1</w:t>
            </w:r>
          </w:p>
        </w:tc>
        <w:tc>
          <w:tcPr>
            <w:tcW w:w="788" w:type="dxa"/>
            <w:tcBorders>
              <w:top w:val="nil"/>
              <w:left w:val="nil"/>
              <w:bottom w:val="single" w:sz="4" w:space="0" w:color="auto"/>
              <w:right w:val="single" w:sz="4" w:space="0" w:color="auto"/>
            </w:tcBorders>
            <w:shd w:val="clear" w:color="auto" w:fill="auto"/>
            <w:vAlign w:val="center"/>
          </w:tcPr>
          <w:p w14:paraId="56FB9959" w14:textId="4D89ED0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82.4</w:t>
            </w:r>
          </w:p>
        </w:tc>
        <w:tc>
          <w:tcPr>
            <w:tcW w:w="1295" w:type="dxa"/>
            <w:tcBorders>
              <w:top w:val="nil"/>
              <w:left w:val="nil"/>
              <w:bottom w:val="single" w:sz="4" w:space="0" w:color="auto"/>
              <w:right w:val="single" w:sz="4" w:space="0" w:color="auto"/>
            </w:tcBorders>
            <w:shd w:val="clear" w:color="auto" w:fill="auto"/>
            <w:noWrap/>
            <w:vAlign w:val="center"/>
          </w:tcPr>
          <w:p w14:paraId="0D36D642" w14:textId="3F55ED5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80.4</w:t>
            </w:r>
          </w:p>
        </w:tc>
        <w:tc>
          <w:tcPr>
            <w:tcW w:w="1173" w:type="dxa"/>
            <w:tcBorders>
              <w:top w:val="nil"/>
              <w:left w:val="nil"/>
              <w:bottom w:val="single" w:sz="4" w:space="0" w:color="auto"/>
              <w:right w:val="single" w:sz="4" w:space="0" w:color="auto"/>
            </w:tcBorders>
            <w:shd w:val="clear" w:color="auto" w:fill="auto"/>
            <w:noWrap/>
            <w:vAlign w:val="center"/>
          </w:tcPr>
          <w:p w14:paraId="0BC65D2C" w14:textId="5E801D3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47.7</w:t>
            </w:r>
          </w:p>
        </w:tc>
      </w:tr>
      <w:tr w:rsidR="0072387E" w:rsidRPr="008C72D8" w14:paraId="4E5943B3"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6584E3B0" w14:textId="73EDC0A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251–300</w:t>
            </w:r>
          </w:p>
        </w:tc>
        <w:tc>
          <w:tcPr>
            <w:tcW w:w="3357" w:type="dxa"/>
            <w:tcBorders>
              <w:top w:val="nil"/>
              <w:left w:val="nil"/>
              <w:bottom w:val="single" w:sz="4" w:space="0" w:color="auto"/>
              <w:right w:val="single" w:sz="4" w:space="0" w:color="auto"/>
            </w:tcBorders>
            <w:shd w:val="clear" w:color="000000" w:fill="E7E6E6"/>
            <w:noWrap/>
            <w:vAlign w:val="center"/>
          </w:tcPr>
          <w:p w14:paraId="361FCBC0" w14:textId="03051300"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Deusto</w:t>
            </w:r>
          </w:p>
        </w:tc>
        <w:tc>
          <w:tcPr>
            <w:tcW w:w="896" w:type="dxa"/>
            <w:tcBorders>
              <w:top w:val="nil"/>
              <w:left w:val="nil"/>
              <w:bottom w:val="single" w:sz="4" w:space="0" w:color="auto"/>
              <w:right w:val="single" w:sz="4" w:space="0" w:color="auto"/>
            </w:tcBorders>
            <w:shd w:val="clear" w:color="000000" w:fill="E7E6E6"/>
            <w:vAlign w:val="center"/>
          </w:tcPr>
          <w:p w14:paraId="7CD86567" w14:textId="74B6A75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14B72CC3" w14:textId="1E3F75C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33.8–37.1</w:t>
            </w:r>
          </w:p>
        </w:tc>
        <w:tc>
          <w:tcPr>
            <w:tcW w:w="841" w:type="dxa"/>
            <w:tcBorders>
              <w:top w:val="nil"/>
              <w:left w:val="nil"/>
              <w:bottom w:val="single" w:sz="4" w:space="0" w:color="auto"/>
              <w:right w:val="single" w:sz="4" w:space="0" w:color="auto"/>
            </w:tcBorders>
            <w:shd w:val="clear" w:color="000000" w:fill="E7E6E6"/>
            <w:noWrap/>
            <w:vAlign w:val="center"/>
          </w:tcPr>
          <w:p w14:paraId="523CF08F" w14:textId="039524F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18.8</w:t>
            </w:r>
          </w:p>
        </w:tc>
        <w:tc>
          <w:tcPr>
            <w:tcW w:w="1126" w:type="dxa"/>
            <w:tcBorders>
              <w:top w:val="nil"/>
              <w:left w:val="nil"/>
              <w:bottom w:val="single" w:sz="4" w:space="0" w:color="auto"/>
              <w:right w:val="single" w:sz="4" w:space="0" w:color="auto"/>
            </w:tcBorders>
            <w:shd w:val="clear" w:color="000000" w:fill="E7E6E6"/>
            <w:noWrap/>
            <w:vAlign w:val="center"/>
          </w:tcPr>
          <w:p w14:paraId="06E56EE0" w14:textId="0BB6CB0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15.7</w:t>
            </w:r>
          </w:p>
        </w:tc>
        <w:tc>
          <w:tcPr>
            <w:tcW w:w="788" w:type="dxa"/>
            <w:tcBorders>
              <w:top w:val="nil"/>
              <w:left w:val="nil"/>
              <w:bottom w:val="single" w:sz="4" w:space="0" w:color="auto"/>
              <w:right w:val="single" w:sz="4" w:space="0" w:color="auto"/>
            </w:tcBorders>
            <w:shd w:val="clear" w:color="000000" w:fill="E7E6E6"/>
            <w:vAlign w:val="center"/>
          </w:tcPr>
          <w:p w14:paraId="2ADB4172" w14:textId="7E979C1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81.2</w:t>
            </w:r>
          </w:p>
        </w:tc>
        <w:tc>
          <w:tcPr>
            <w:tcW w:w="1295" w:type="dxa"/>
            <w:tcBorders>
              <w:top w:val="nil"/>
              <w:left w:val="nil"/>
              <w:bottom w:val="single" w:sz="4" w:space="0" w:color="auto"/>
              <w:right w:val="single" w:sz="4" w:space="0" w:color="auto"/>
            </w:tcBorders>
            <w:shd w:val="clear" w:color="000000" w:fill="E7E6E6"/>
            <w:noWrap/>
            <w:vAlign w:val="center"/>
          </w:tcPr>
          <w:p w14:paraId="386A837D" w14:textId="194C025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60</w:t>
            </w:r>
          </w:p>
        </w:tc>
        <w:tc>
          <w:tcPr>
            <w:tcW w:w="1173" w:type="dxa"/>
            <w:tcBorders>
              <w:top w:val="nil"/>
              <w:left w:val="nil"/>
              <w:bottom w:val="single" w:sz="4" w:space="0" w:color="auto"/>
              <w:right w:val="single" w:sz="4" w:space="0" w:color="auto"/>
            </w:tcBorders>
            <w:shd w:val="clear" w:color="000000" w:fill="E7E6E6"/>
            <w:noWrap/>
            <w:vAlign w:val="center"/>
          </w:tcPr>
          <w:p w14:paraId="69431A6A" w14:textId="1401768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41.3</w:t>
            </w:r>
          </w:p>
        </w:tc>
      </w:tr>
      <w:tr w:rsidR="0072387E" w:rsidRPr="008C72D8" w14:paraId="6E37DF2A"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1871925" w14:textId="172CED1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301–400</w:t>
            </w:r>
          </w:p>
        </w:tc>
        <w:tc>
          <w:tcPr>
            <w:tcW w:w="3357" w:type="dxa"/>
            <w:tcBorders>
              <w:top w:val="nil"/>
              <w:left w:val="nil"/>
              <w:bottom w:val="single" w:sz="4" w:space="0" w:color="auto"/>
              <w:right w:val="single" w:sz="4" w:space="0" w:color="auto"/>
            </w:tcBorders>
            <w:shd w:val="clear" w:color="auto" w:fill="auto"/>
            <w:noWrap/>
            <w:vAlign w:val="center"/>
          </w:tcPr>
          <w:p w14:paraId="46DC8897" w14:textId="319143BC"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Autónoma de Madrid</w:t>
            </w:r>
          </w:p>
        </w:tc>
        <w:tc>
          <w:tcPr>
            <w:tcW w:w="896" w:type="dxa"/>
            <w:tcBorders>
              <w:top w:val="nil"/>
              <w:left w:val="nil"/>
              <w:bottom w:val="single" w:sz="4" w:space="0" w:color="auto"/>
              <w:right w:val="single" w:sz="4" w:space="0" w:color="auto"/>
            </w:tcBorders>
            <w:shd w:val="clear" w:color="auto" w:fill="auto"/>
            <w:vAlign w:val="center"/>
          </w:tcPr>
          <w:p w14:paraId="1570F521" w14:textId="2CE040B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2978B886" w14:textId="32206A6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29.5–33.7</w:t>
            </w:r>
          </w:p>
        </w:tc>
        <w:tc>
          <w:tcPr>
            <w:tcW w:w="841" w:type="dxa"/>
            <w:tcBorders>
              <w:top w:val="nil"/>
              <w:left w:val="nil"/>
              <w:bottom w:val="single" w:sz="4" w:space="0" w:color="auto"/>
              <w:right w:val="single" w:sz="4" w:space="0" w:color="auto"/>
            </w:tcBorders>
            <w:shd w:val="clear" w:color="auto" w:fill="auto"/>
            <w:noWrap/>
            <w:vAlign w:val="center"/>
          </w:tcPr>
          <w:p w14:paraId="174BB5BD" w14:textId="209EBFC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29.1</w:t>
            </w:r>
          </w:p>
        </w:tc>
        <w:tc>
          <w:tcPr>
            <w:tcW w:w="1126" w:type="dxa"/>
            <w:tcBorders>
              <w:top w:val="nil"/>
              <w:left w:val="nil"/>
              <w:bottom w:val="single" w:sz="4" w:space="0" w:color="auto"/>
              <w:right w:val="single" w:sz="4" w:space="0" w:color="auto"/>
            </w:tcBorders>
            <w:shd w:val="clear" w:color="auto" w:fill="auto"/>
            <w:noWrap/>
            <w:vAlign w:val="center"/>
          </w:tcPr>
          <w:p w14:paraId="4E87CAF5" w14:textId="0530A87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15.6</w:t>
            </w:r>
          </w:p>
        </w:tc>
        <w:tc>
          <w:tcPr>
            <w:tcW w:w="788" w:type="dxa"/>
            <w:tcBorders>
              <w:top w:val="nil"/>
              <w:left w:val="nil"/>
              <w:bottom w:val="single" w:sz="4" w:space="0" w:color="auto"/>
              <w:right w:val="single" w:sz="4" w:space="0" w:color="auto"/>
            </w:tcBorders>
            <w:shd w:val="clear" w:color="auto" w:fill="auto"/>
            <w:vAlign w:val="center"/>
          </w:tcPr>
          <w:p w14:paraId="4A81F4CA" w14:textId="36BA946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54.9</w:t>
            </w:r>
          </w:p>
        </w:tc>
        <w:tc>
          <w:tcPr>
            <w:tcW w:w="1295" w:type="dxa"/>
            <w:tcBorders>
              <w:top w:val="nil"/>
              <w:left w:val="nil"/>
              <w:bottom w:val="single" w:sz="4" w:space="0" w:color="auto"/>
              <w:right w:val="single" w:sz="4" w:space="0" w:color="auto"/>
            </w:tcBorders>
            <w:shd w:val="clear" w:color="auto" w:fill="auto"/>
            <w:noWrap/>
            <w:vAlign w:val="center"/>
          </w:tcPr>
          <w:p w14:paraId="7698D6C6" w14:textId="2EDCD4D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41.9</w:t>
            </w:r>
          </w:p>
        </w:tc>
        <w:tc>
          <w:tcPr>
            <w:tcW w:w="1173" w:type="dxa"/>
            <w:tcBorders>
              <w:top w:val="nil"/>
              <w:left w:val="nil"/>
              <w:bottom w:val="single" w:sz="4" w:space="0" w:color="auto"/>
              <w:right w:val="single" w:sz="4" w:space="0" w:color="auto"/>
            </w:tcBorders>
            <w:shd w:val="clear" w:color="auto" w:fill="auto"/>
            <w:noWrap/>
            <w:vAlign w:val="center"/>
          </w:tcPr>
          <w:p w14:paraId="607471A0" w14:textId="68DF161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30.4</w:t>
            </w:r>
          </w:p>
        </w:tc>
      </w:tr>
      <w:tr w:rsidR="0072387E" w:rsidRPr="008C72D8" w14:paraId="09CEE5AD"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70793881" w14:textId="51609C6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301–400</w:t>
            </w:r>
          </w:p>
        </w:tc>
        <w:tc>
          <w:tcPr>
            <w:tcW w:w="3357" w:type="dxa"/>
            <w:tcBorders>
              <w:top w:val="nil"/>
              <w:left w:val="nil"/>
              <w:bottom w:val="single" w:sz="4" w:space="0" w:color="auto"/>
              <w:right w:val="single" w:sz="4" w:space="0" w:color="auto"/>
            </w:tcBorders>
            <w:shd w:val="clear" w:color="000000" w:fill="E7E6E6"/>
            <w:noWrap/>
            <w:vAlign w:val="center"/>
          </w:tcPr>
          <w:p w14:paraId="75799C94" w14:textId="025DAA10"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Católica de Portugal</w:t>
            </w:r>
          </w:p>
        </w:tc>
        <w:tc>
          <w:tcPr>
            <w:tcW w:w="896" w:type="dxa"/>
            <w:tcBorders>
              <w:top w:val="nil"/>
              <w:left w:val="nil"/>
              <w:bottom w:val="single" w:sz="4" w:space="0" w:color="auto"/>
              <w:right w:val="single" w:sz="4" w:space="0" w:color="auto"/>
            </w:tcBorders>
            <w:shd w:val="clear" w:color="000000" w:fill="E7E6E6"/>
            <w:vAlign w:val="center"/>
          </w:tcPr>
          <w:p w14:paraId="5578D360" w14:textId="5E51DE9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Portugal</w:t>
            </w:r>
          </w:p>
        </w:tc>
        <w:tc>
          <w:tcPr>
            <w:tcW w:w="1044" w:type="dxa"/>
            <w:tcBorders>
              <w:top w:val="nil"/>
              <w:left w:val="nil"/>
              <w:bottom w:val="single" w:sz="4" w:space="0" w:color="auto"/>
              <w:right w:val="single" w:sz="4" w:space="0" w:color="auto"/>
            </w:tcBorders>
            <w:shd w:val="clear" w:color="000000" w:fill="E7E6E6"/>
            <w:noWrap/>
            <w:vAlign w:val="center"/>
          </w:tcPr>
          <w:p w14:paraId="1751DC39" w14:textId="05D4F1D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29.5–33.7</w:t>
            </w:r>
          </w:p>
        </w:tc>
        <w:tc>
          <w:tcPr>
            <w:tcW w:w="841" w:type="dxa"/>
            <w:tcBorders>
              <w:top w:val="nil"/>
              <w:left w:val="nil"/>
              <w:bottom w:val="single" w:sz="4" w:space="0" w:color="auto"/>
              <w:right w:val="single" w:sz="4" w:space="0" w:color="auto"/>
            </w:tcBorders>
            <w:shd w:val="clear" w:color="000000" w:fill="E7E6E6"/>
            <w:noWrap/>
            <w:vAlign w:val="center"/>
          </w:tcPr>
          <w:p w14:paraId="3A7A4216" w14:textId="554FA62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14.8</w:t>
            </w:r>
          </w:p>
        </w:tc>
        <w:tc>
          <w:tcPr>
            <w:tcW w:w="1126" w:type="dxa"/>
            <w:tcBorders>
              <w:top w:val="nil"/>
              <w:left w:val="nil"/>
              <w:bottom w:val="single" w:sz="4" w:space="0" w:color="auto"/>
              <w:right w:val="single" w:sz="4" w:space="0" w:color="auto"/>
            </w:tcBorders>
            <w:shd w:val="clear" w:color="000000" w:fill="E7E6E6"/>
            <w:noWrap/>
            <w:vAlign w:val="center"/>
          </w:tcPr>
          <w:p w14:paraId="7F46157D" w14:textId="6BA6954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9.3</w:t>
            </w:r>
          </w:p>
        </w:tc>
        <w:tc>
          <w:tcPr>
            <w:tcW w:w="788" w:type="dxa"/>
            <w:tcBorders>
              <w:top w:val="nil"/>
              <w:left w:val="nil"/>
              <w:bottom w:val="single" w:sz="4" w:space="0" w:color="auto"/>
              <w:right w:val="single" w:sz="4" w:space="0" w:color="auto"/>
            </w:tcBorders>
            <w:shd w:val="clear" w:color="000000" w:fill="E7E6E6"/>
            <w:vAlign w:val="center"/>
          </w:tcPr>
          <w:p w14:paraId="3EB351E6" w14:textId="70B91CC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63.5</w:t>
            </w:r>
          </w:p>
        </w:tc>
        <w:tc>
          <w:tcPr>
            <w:tcW w:w="1295" w:type="dxa"/>
            <w:tcBorders>
              <w:top w:val="nil"/>
              <w:left w:val="nil"/>
              <w:bottom w:val="single" w:sz="4" w:space="0" w:color="auto"/>
              <w:right w:val="single" w:sz="4" w:space="0" w:color="auto"/>
            </w:tcBorders>
            <w:shd w:val="clear" w:color="000000" w:fill="E7E6E6"/>
            <w:noWrap/>
            <w:vAlign w:val="center"/>
          </w:tcPr>
          <w:p w14:paraId="0059B734" w14:textId="0891FEC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38.6</w:t>
            </w:r>
          </w:p>
        </w:tc>
        <w:tc>
          <w:tcPr>
            <w:tcW w:w="1173" w:type="dxa"/>
            <w:tcBorders>
              <w:top w:val="nil"/>
              <w:left w:val="nil"/>
              <w:bottom w:val="single" w:sz="4" w:space="0" w:color="auto"/>
              <w:right w:val="single" w:sz="4" w:space="0" w:color="auto"/>
            </w:tcBorders>
            <w:shd w:val="clear" w:color="000000" w:fill="E7E6E6"/>
            <w:noWrap/>
            <w:vAlign w:val="center"/>
          </w:tcPr>
          <w:p w14:paraId="0CD606C8" w14:textId="63E89F5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56.4</w:t>
            </w:r>
          </w:p>
        </w:tc>
      </w:tr>
      <w:tr w:rsidR="0072387E" w:rsidRPr="008C72D8" w14:paraId="624AF78A"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14DD67B" w14:textId="5CCA2B6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501+</w:t>
            </w:r>
          </w:p>
        </w:tc>
        <w:tc>
          <w:tcPr>
            <w:tcW w:w="3357" w:type="dxa"/>
            <w:tcBorders>
              <w:top w:val="nil"/>
              <w:left w:val="nil"/>
              <w:bottom w:val="single" w:sz="4" w:space="0" w:color="auto"/>
              <w:right w:val="single" w:sz="4" w:space="0" w:color="auto"/>
            </w:tcBorders>
            <w:shd w:val="clear" w:color="auto" w:fill="auto"/>
            <w:noWrap/>
            <w:vAlign w:val="center"/>
          </w:tcPr>
          <w:p w14:paraId="022A29EC" w14:textId="52EF066C"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Nacional Autónoma de México</w:t>
            </w:r>
          </w:p>
        </w:tc>
        <w:tc>
          <w:tcPr>
            <w:tcW w:w="896" w:type="dxa"/>
            <w:tcBorders>
              <w:top w:val="nil"/>
              <w:left w:val="nil"/>
              <w:bottom w:val="single" w:sz="4" w:space="0" w:color="auto"/>
              <w:right w:val="single" w:sz="4" w:space="0" w:color="auto"/>
            </w:tcBorders>
            <w:shd w:val="clear" w:color="auto" w:fill="auto"/>
            <w:vAlign w:val="center"/>
          </w:tcPr>
          <w:p w14:paraId="2696EB46" w14:textId="36D6437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México</w:t>
            </w:r>
          </w:p>
        </w:tc>
        <w:tc>
          <w:tcPr>
            <w:tcW w:w="1044" w:type="dxa"/>
            <w:tcBorders>
              <w:top w:val="nil"/>
              <w:left w:val="nil"/>
              <w:bottom w:val="single" w:sz="4" w:space="0" w:color="auto"/>
              <w:right w:val="single" w:sz="4" w:space="0" w:color="auto"/>
            </w:tcBorders>
            <w:shd w:val="clear" w:color="auto" w:fill="auto"/>
            <w:noWrap/>
            <w:vAlign w:val="center"/>
          </w:tcPr>
          <w:p w14:paraId="06CC9A2D" w14:textId="54E5F03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9.8–24.6</w:t>
            </w:r>
          </w:p>
        </w:tc>
        <w:tc>
          <w:tcPr>
            <w:tcW w:w="841" w:type="dxa"/>
            <w:tcBorders>
              <w:top w:val="nil"/>
              <w:left w:val="nil"/>
              <w:bottom w:val="single" w:sz="4" w:space="0" w:color="auto"/>
              <w:right w:val="single" w:sz="4" w:space="0" w:color="auto"/>
            </w:tcBorders>
            <w:shd w:val="clear" w:color="auto" w:fill="auto"/>
            <w:noWrap/>
            <w:vAlign w:val="center"/>
          </w:tcPr>
          <w:p w14:paraId="72436E3C" w14:textId="143E11C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17</w:t>
            </w:r>
          </w:p>
        </w:tc>
        <w:tc>
          <w:tcPr>
            <w:tcW w:w="1126" w:type="dxa"/>
            <w:tcBorders>
              <w:top w:val="nil"/>
              <w:left w:val="nil"/>
              <w:bottom w:val="single" w:sz="4" w:space="0" w:color="auto"/>
              <w:right w:val="single" w:sz="4" w:space="0" w:color="auto"/>
            </w:tcBorders>
            <w:shd w:val="clear" w:color="auto" w:fill="auto"/>
            <w:noWrap/>
            <w:vAlign w:val="center"/>
          </w:tcPr>
          <w:p w14:paraId="1FE8F55A" w14:textId="2C3BD86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15.5</w:t>
            </w:r>
          </w:p>
        </w:tc>
        <w:tc>
          <w:tcPr>
            <w:tcW w:w="788" w:type="dxa"/>
            <w:tcBorders>
              <w:top w:val="nil"/>
              <w:left w:val="nil"/>
              <w:bottom w:val="single" w:sz="4" w:space="0" w:color="auto"/>
              <w:right w:val="single" w:sz="4" w:space="0" w:color="auto"/>
            </w:tcBorders>
            <w:shd w:val="clear" w:color="auto" w:fill="auto"/>
            <w:vAlign w:val="center"/>
          </w:tcPr>
          <w:p w14:paraId="4719336B" w14:textId="0EEABA1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17.5</w:t>
            </w:r>
          </w:p>
        </w:tc>
        <w:tc>
          <w:tcPr>
            <w:tcW w:w="1295" w:type="dxa"/>
            <w:tcBorders>
              <w:top w:val="nil"/>
              <w:left w:val="nil"/>
              <w:bottom w:val="single" w:sz="4" w:space="0" w:color="auto"/>
              <w:right w:val="single" w:sz="4" w:space="0" w:color="auto"/>
            </w:tcBorders>
            <w:shd w:val="clear" w:color="auto" w:fill="auto"/>
            <w:noWrap/>
            <w:vAlign w:val="center"/>
          </w:tcPr>
          <w:p w14:paraId="2CD672C7" w14:textId="5DF2052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65.6</w:t>
            </w:r>
          </w:p>
        </w:tc>
        <w:tc>
          <w:tcPr>
            <w:tcW w:w="1173" w:type="dxa"/>
            <w:tcBorders>
              <w:top w:val="nil"/>
              <w:left w:val="nil"/>
              <w:bottom w:val="single" w:sz="4" w:space="0" w:color="auto"/>
              <w:right w:val="single" w:sz="4" w:space="0" w:color="auto"/>
            </w:tcBorders>
            <w:shd w:val="clear" w:color="auto" w:fill="auto"/>
            <w:noWrap/>
            <w:vAlign w:val="center"/>
          </w:tcPr>
          <w:p w14:paraId="39FE0D24" w14:textId="28BCB29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19.7</w:t>
            </w:r>
          </w:p>
        </w:tc>
      </w:tr>
    </w:tbl>
    <w:p w14:paraId="3DA36F54" w14:textId="77777777" w:rsidR="0081233E" w:rsidRPr="008C72D8" w:rsidRDefault="0081233E" w:rsidP="0078703F">
      <w:pPr>
        <w:spacing w:line="240" w:lineRule="auto"/>
      </w:pPr>
    </w:p>
    <w:tbl>
      <w:tblPr>
        <w:tblW w:w="11321" w:type="dxa"/>
        <w:jc w:val="center"/>
        <w:tblCellMar>
          <w:left w:w="70" w:type="dxa"/>
          <w:right w:w="70" w:type="dxa"/>
        </w:tblCellMar>
        <w:tblLook w:val="04A0" w:firstRow="1" w:lastRow="0" w:firstColumn="1" w:lastColumn="0" w:noHBand="0" w:noVBand="1"/>
      </w:tblPr>
      <w:tblGrid>
        <w:gridCol w:w="801"/>
        <w:gridCol w:w="3357"/>
        <w:gridCol w:w="834"/>
        <w:gridCol w:w="1044"/>
        <w:gridCol w:w="841"/>
        <w:gridCol w:w="1126"/>
        <w:gridCol w:w="850"/>
        <w:gridCol w:w="1295"/>
        <w:gridCol w:w="1173"/>
      </w:tblGrid>
      <w:tr w:rsidR="00810B7C" w:rsidRPr="008C72D8" w14:paraId="6FEBDD1B" w14:textId="77777777" w:rsidTr="0081233E">
        <w:trPr>
          <w:trHeight w:val="298"/>
          <w:jc w:val="center"/>
        </w:trPr>
        <w:tc>
          <w:tcPr>
            <w:tcW w:w="11321" w:type="dxa"/>
            <w:gridSpan w:val="9"/>
            <w:tcBorders>
              <w:top w:val="nil"/>
              <w:left w:val="nil"/>
              <w:bottom w:val="single" w:sz="4" w:space="0" w:color="auto"/>
              <w:right w:val="nil"/>
            </w:tcBorders>
            <w:shd w:val="clear" w:color="auto" w:fill="auto"/>
            <w:vAlign w:val="center"/>
            <w:hideMark/>
          </w:tcPr>
          <w:p w14:paraId="484A92BB" w14:textId="50547D7D" w:rsidR="00810B7C" w:rsidRPr="008C72D8" w:rsidRDefault="00810B7C" w:rsidP="0078703F">
            <w:pPr>
              <w:spacing w:line="240" w:lineRule="auto"/>
              <w:jc w:val="center"/>
              <w:rPr>
                <w:rFonts w:ascii="Calibri" w:eastAsia="Times New Roman" w:hAnsi="Calibri" w:cs="Calibri"/>
                <w:b/>
                <w:bCs/>
                <w:color w:val="000000"/>
                <w:sz w:val="20"/>
                <w:szCs w:val="20"/>
                <w:lang w:eastAsia="es-MX"/>
              </w:rPr>
            </w:pPr>
            <w:r w:rsidRPr="008C72D8">
              <w:rPr>
                <w:rFonts w:ascii="Calibri" w:eastAsia="Times New Roman" w:hAnsi="Calibri" w:cs="Calibri"/>
                <w:b/>
                <w:bCs/>
                <w:color w:val="000000"/>
                <w:sz w:val="20"/>
                <w:szCs w:val="20"/>
                <w:lang w:eastAsia="es-MX"/>
              </w:rPr>
              <w:t>Tabla 1</w:t>
            </w:r>
            <w:r w:rsidR="0024082E" w:rsidRPr="008C72D8">
              <w:rPr>
                <w:rFonts w:ascii="Calibri" w:eastAsia="Times New Roman" w:hAnsi="Calibri" w:cs="Calibri"/>
                <w:b/>
                <w:bCs/>
                <w:color w:val="000000"/>
                <w:sz w:val="20"/>
                <w:szCs w:val="20"/>
                <w:lang w:eastAsia="es-MX"/>
              </w:rPr>
              <w:t>0</w:t>
            </w:r>
            <w:r w:rsidRPr="008C72D8">
              <w:rPr>
                <w:rFonts w:ascii="Calibri" w:eastAsia="Times New Roman" w:hAnsi="Calibri" w:cs="Calibri"/>
                <w:b/>
                <w:bCs/>
                <w:color w:val="000000"/>
                <w:sz w:val="20"/>
                <w:szCs w:val="20"/>
                <w:lang w:eastAsia="es-MX"/>
              </w:rPr>
              <w:t xml:space="preserve">. Posición de las universidades iberoamericanas </w:t>
            </w:r>
            <w:r w:rsidR="0072387E">
              <w:rPr>
                <w:rFonts w:ascii="Calibri" w:eastAsia="Times New Roman" w:hAnsi="Calibri" w:cs="Calibri"/>
                <w:b/>
                <w:bCs/>
                <w:color w:val="000000"/>
                <w:sz w:val="20"/>
                <w:szCs w:val="20"/>
                <w:lang w:eastAsia="es-MX"/>
              </w:rPr>
              <w:t xml:space="preserve">en el TOP 10 </w:t>
            </w:r>
            <w:r w:rsidRPr="008C72D8">
              <w:rPr>
                <w:rFonts w:ascii="Calibri" w:eastAsia="Times New Roman" w:hAnsi="Calibri" w:cs="Calibri"/>
                <w:b/>
                <w:bCs/>
                <w:color w:val="000000"/>
                <w:sz w:val="20"/>
                <w:szCs w:val="20"/>
                <w:lang w:eastAsia="es-MX"/>
              </w:rPr>
              <w:t xml:space="preserve">del ranking </w:t>
            </w:r>
            <w:r w:rsidR="0081233E" w:rsidRPr="008C72D8">
              <w:rPr>
                <w:rFonts w:ascii="Calibri" w:eastAsia="Times New Roman" w:hAnsi="Calibri" w:cs="Calibri"/>
                <w:b/>
                <w:bCs/>
                <w:color w:val="000000"/>
                <w:sz w:val="20"/>
                <w:szCs w:val="20"/>
                <w:lang w:eastAsia="es-MX"/>
              </w:rPr>
              <w:t xml:space="preserve">THE en el área de </w:t>
            </w:r>
            <w:r w:rsidRPr="008C72D8">
              <w:rPr>
                <w:rFonts w:ascii="Calibri" w:eastAsia="Times New Roman" w:hAnsi="Calibri" w:cs="Calibri"/>
                <w:b/>
                <w:bCs/>
                <w:color w:val="000000"/>
                <w:sz w:val="20"/>
                <w:szCs w:val="20"/>
                <w:lang w:eastAsia="es-MX"/>
              </w:rPr>
              <w:t>Ciencias Físicas, 2020.</w:t>
            </w:r>
          </w:p>
        </w:tc>
      </w:tr>
      <w:tr w:rsidR="00810B7C" w:rsidRPr="008C72D8" w14:paraId="425442CF" w14:textId="77777777" w:rsidTr="0081233E">
        <w:trPr>
          <w:trHeight w:val="477"/>
          <w:jc w:val="center"/>
        </w:trPr>
        <w:tc>
          <w:tcPr>
            <w:tcW w:w="801" w:type="dxa"/>
            <w:tcBorders>
              <w:top w:val="nil"/>
              <w:left w:val="single" w:sz="4" w:space="0" w:color="auto"/>
              <w:bottom w:val="single" w:sz="4" w:space="0" w:color="auto"/>
              <w:right w:val="single" w:sz="4" w:space="0" w:color="auto"/>
            </w:tcBorders>
            <w:shd w:val="clear" w:color="000000" w:fill="BDD6EE"/>
            <w:vAlign w:val="center"/>
            <w:hideMark/>
          </w:tcPr>
          <w:p w14:paraId="468E5875"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Posición</w:t>
            </w:r>
          </w:p>
        </w:tc>
        <w:tc>
          <w:tcPr>
            <w:tcW w:w="3357" w:type="dxa"/>
            <w:tcBorders>
              <w:top w:val="nil"/>
              <w:left w:val="nil"/>
              <w:bottom w:val="single" w:sz="4" w:space="0" w:color="auto"/>
              <w:right w:val="single" w:sz="4" w:space="0" w:color="auto"/>
            </w:tcBorders>
            <w:shd w:val="clear" w:color="000000" w:fill="BDD6EE"/>
            <w:vAlign w:val="center"/>
            <w:hideMark/>
          </w:tcPr>
          <w:p w14:paraId="5DE45FE3"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Institución</w:t>
            </w:r>
          </w:p>
        </w:tc>
        <w:tc>
          <w:tcPr>
            <w:tcW w:w="834" w:type="dxa"/>
            <w:tcBorders>
              <w:top w:val="nil"/>
              <w:left w:val="nil"/>
              <w:bottom w:val="single" w:sz="4" w:space="0" w:color="auto"/>
              <w:right w:val="single" w:sz="4" w:space="0" w:color="auto"/>
            </w:tcBorders>
            <w:shd w:val="clear" w:color="000000" w:fill="BDD6EE"/>
            <w:vAlign w:val="center"/>
            <w:hideMark/>
          </w:tcPr>
          <w:p w14:paraId="1D3F6A13"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País</w:t>
            </w:r>
          </w:p>
        </w:tc>
        <w:tc>
          <w:tcPr>
            <w:tcW w:w="1044" w:type="dxa"/>
            <w:tcBorders>
              <w:top w:val="nil"/>
              <w:left w:val="nil"/>
              <w:bottom w:val="single" w:sz="4" w:space="0" w:color="auto"/>
              <w:right w:val="single" w:sz="4" w:space="0" w:color="auto"/>
            </w:tcBorders>
            <w:shd w:val="clear" w:color="000000" w:fill="BDD6EE"/>
            <w:vAlign w:val="center"/>
            <w:hideMark/>
          </w:tcPr>
          <w:p w14:paraId="24D50FE1"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Puntaje General</w:t>
            </w:r>
          </w:p>
        </w:tc>
        <w:tc>
          <w:tcPr>
            <w:tcW w:w="841" w:type="dxa"/>
            <w:tcBorders>
              <w:top w:val="nil"/>
              <w:left w:val="nil"/>
              <w:bottom w:val="single" w:sz="4" w:space="0" w:color="auto"/>
              <w:right w:val="single" w:sz="4" w:space="0" w:color="auto"/>
            </w:tcBorders>
            <w:shd w:val="clear" w:color="000000" w:fill="BDD6EE"/>
            <w:vAlign w:val="center"/>
            <w:hideMark/>
          </w:tcPr>
          <w:p w14:paraId="1CCEEE53"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 xml:space="preserve">Docencia </w:t>
            </w:r>
          </w:p>
        </w:tc>
        <w:tc>
          <w:tcPr>
            <w:tcW w:w="1126" w:type="dxa"/>
            <w:tcBorders>
              <w:top w:val="nil"/>
              <w:left w:val="nil"/>
              <w:bottom w:val="single" w:sz="4" w:space="0" w:color="auto"/>
              <w:right w:val="single" w:sz="4" w:space="0" w:color="auto"/>
            </w:tcBorders>
            <w:shd w:val="clear" w:color="000000" w:fill="BDD6EE"/>
            <w:vAlign w:val="center"/>
            <w:hideMark/>
          </w:tcPr>
          <w:p w14:paraId="4999B9D9"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Investigación</w:t>
            </w:r>
          </w:p>
        </w:tc>
        <w:tc>
          <w:tcPr>
            <w:tcW w:w="850" w:type="dxa"/>
            <w:tcBorders>
              <w:top w:val="nil"/>
              <w:left w:val="nil"/>
              <w:bottom w:val="single" w:sz="4" w:space="0" w:color="auto"/>
              <w:right w:val="single" w:sz="4" w:space="0" w:color="auto"/>
            </w:tcBorders>
            <w:shd w:val="clear" w:color="000000" w:fill="BDD6EE"/>
            <w:vAlign w:val="center"/>
            <w:hideMark/>
          </w:tcPr>
          <w:p w14:paraId="297B8F8D"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Citas</w:t>
            </w:r>
          </w:p>
        </w:tc>
        <w:tc>
          <w:tcPr>
            <w:tcW w:w="1295" w:type="dxa"/>
            <w:tcBorders>
              <w:top w:val="nil"/>
              <w:left w:val="nil"/>
              <w:bottom w:val="single" w:sz="4" w:space="0" w:color="auto"/>
              <w:right w:val="single" w:sz="4" w:space="0" w:color="auto"/>
            </w:tcBorders>
            <w:shd w:val="clear" w:color="000000" w:fill="BDD6EE"/>
            <w:vAlign w:val="center"/>
            <w:hideMark/>
          </w:tcPr>
          <w:p w14:paraId="043EE646"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 xml:space="preserve">Financiamiento de la industria </w:t>
            </w:r>
          </w:p>
        </w:tc>
        <w:tc>
          <w:tcPr>
            <w:tcW w:w="1173" w:type="dxa"/>
            <w:tcBorders>
              <w:top w:val="nil"/>
              <w:left w:val="nil"/>
              <w:bottom w:val="single" w:sz="4" w:space="0" w:color="auto"/>
              <w:right w:val="single" w:sz="4" w:space="0" w:color="auto"/>
            </w:tcBorders>
            <w:shd w:val="clear" w:color="000000" w:fill="BDD6EE"/>
            <w:vAlign w:val="center"/>
            <w:hideMark/>
          </w:tcPr>
          <w:p w14:paraId="7C14BAEE"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Perspectiva internacional</w:t>
            </w:r>
          </w:p>
        </w:tc>
      </w:tr>
      <w:tr w:rsidR="0072387E" w:rsidRPr="008C72D8" w14:paraId="16A615D3"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593CCE7" w14:textId="1D30AFC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176–200</w:t>
            </w:r>
          </w:p>
        </w:tc>
        <w:tc>
          <w:tcPr>
            <w:tcW w:w="3357" w:type="dxa"/>
            <w:tcBorders>
              <w:top w:val="nil"/>
              <w:left w:val="nil"/>
              <w:bottom w:val="single" w:sz="4" w:space="0" w:color="auto"/>
              <w:right w:val="single" w:sz="4" w:space="0" w:color="auto"/>
            </w:tcBorders>
            <w:shd w:val="clear" w:color="auto" w:fill="auto"/>
            <w:noWrap/>
            <w:vAlign w:val="center"/>
          </w:tcPr>
          <w:p w14:paraId="02287B42" w14:textId="6FD4158B"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Autónoma de Barcelona</w:t>
            </w:r>
          </w:p>
        </w:tc>
        <w:tc>
          <w:tcPr>
            <w:tcW w:w="834" w:type="dxa"/>
            <w:tcBorders>
              <w:top w:val="nil"/>
              <w:left w:val="nil"/>
              <w:bottom w:val="single" w:sz="4" w:space="0" w:color="auto"/>
              <w:right w:val="single" w:sz="4" w:space="0" w:color="auto"/>
            </w:tcBorders>
            <w:shd w:val="clear" w:color="auto" w:fill="auto"/>
            <w:vAlign w:val="center"/>
          </w:tcPr>
          <w:p w14:paraId="660D5570" w14:textId="364B74C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289387F4" w14:textId="07CCA75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50.0–51.5</w:t>
            </w:r>
          </w:p>
        </w:tc>
        <w:tc>
          <w:tcPr>
            <w:tcW w:w="841" w:type="dxa"/>
            <w:tcBorders>
              <w:top w:val="nil"/>
              <w:left w:val="nil"/>
              <w:bottom w:val="single" w:sz="4" w:space="0" w:color="auto"/>
              <w:right w:val="single" w:sz="4" w:space="0" w:color="auto"/>
            </w:tcBorders>
            <w:shd w:val="clear" w:color="auto" w:fill="auto"/>
            <w:noWrap/>
            <w:vAlign w:val="center"/>
          </w:tcPr>
          <w:p w14:paraId="3ED35317" w14:textId="513C069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31</w:t>
            </w:r>
          </w:p>
        </w:tc>
        <w:tc>
          <w:tcPr>
            <w:tcW w:w="1126" w:type="dxa"/>
            <w:tcBorders>
              <w:top w:val="nil"/>
              <w:left w:val="nil"/>
              <w:bottom w:val="single" w:sz="4" w:space="0" w:color="auto"/>
              <w:right w:val="single" w:sz="4" w:space="0" w:color="auto"/>
            </w:tcBorders>
            <w:shd w:val="clear" w:color="auto" w:fill="auto"/>
            <w:noWrap/>
            <w:vAlign w:val="center"/>
          </w:tcPr>
          <w:p w14:paraId="4C275CB7" w14:textId="06D6078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22.3</w:t>
            </w:r>
          </w:p>
        </w:tc>
        <w:tc>
          <w:tcPr>
            <w:tcW w:w="850" w:type="dxa"/>
            <w:tcBorders>
              <w:top w:val="nil"/>
              <w:left w:val="nil"/>
              <w:bottom w:val="single" w:sz="4" w:space="0" w:color="auto"/>
              <w:right w:val="single" w:sz="4" w:space="0" w:color="auto"/>
            </w:tcBorders>
            <w:shd w:val="clear" w:color="auto" w:fill="auto"/>
            <w:vAlign w:val="center"/>
          </w:tcPr>
          <w:p w14:paraId="1D1CBDA3" w14:textId="5BECA29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85.4</w:t>
            </w:r>
          </w:p>
        </w:tc>
        <w:tc>
          <w:tcPr>
            <w:tcW w:w="1295" w:type="dxa"/>
            <w:tcBorders>
              <w:top w:val="nil"/>
              <w:left w:val="nil"/>
              <w:bottom w:val="single" w:sz="4" w:space="0" w:color="auto"/>
              <w:right w:val="single" w:sz="4" w:space="0" w:color="auto"/>
            </w:tcBorders>
            <w:shd w:val="clear" w:color="auto" w:fill="auto"/>
            <w:noWrap/>
            <w:vAlign w:val="center"/>
          </w:tcPr>
          <w:p w14:paraId="72A3D1EE" w14:textId="2027143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48.5</w:t>
            </w:r>
          </w:p>
        </w:tc>
        <w:tc>
          <w:tcPr>
            <w:tcW w:w="1173" w:type="dxa"/>
            <w:tcBorders>
              <w:top w:val="nil"/>
              <w:left w:val="nil"/>
              <w:bottom w:val="single" w:sz="4" w:space="0" w:color="auto"/>
              <w:right w:val="single" w:sz="4" w:space="0" w:color="auto"/>
            </w:tcBorders>
            <w:shd w:val="clear" w:color="auto" w:fill="auto"/>
            <w:noWrap/>
            <w:vAlign w:val="center"/>
          </w:tcPr>
          <w:p w14:paraId="11B98EC0" w14:textId="163F37C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63</w:t>
            </w:r>
          </w:p>
        </w:tc>
      </w:tr>
      <w:tr w:rsidR="0072387E" w:rsidRPr="008C72D8" w14:paraId="0C59DD18"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7C9FEA5C" w14:textId="124BB72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251–300</w:t>
            </w:r>
          </w:p>
        </w:tc>
        <w:tc>
          <w:tcPr>
            <w:tcW w:w="3357" w:type="dxa"/>
            <w:tcBorders>
              <w:top w:val="nil"/>
              <w:left w:val="nil"/>
              <w:bottom w:val="single" w:sz="4" w:space="0" w:color="auto"/>
              <w:right w:val="single" w:sz="4" w:space="0" w:color="auto"/>
            </w:tcBorders>
            <w:shd w:val="clear" w:color="000000" w:fill="E7E6E6"/>
            <w:noWrap/>
            <w:vAlign w:val="center"/>
          </w:tcPr>
          <w:p w14:paraId="1DEEB9CB" w14:textId="7DBEB958"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Autónoma de Madrid</w:t>
            </w:r>
          </w:p>
        </w:tc>
        <w:tc>
          <w:tcPr>
            <w:tcW w:w="834" w:type="dxa"/>
            <w:tcBorders>
              <w:top w:val="nil"/>
              <w:left w:val="nil"/>
              <w:bottom w:val="single" w:sz="4" w:space="0" w:color="auto"/>
              <w:right w:val="single" w:sz="4" w:space="0" w:color="auto"/>
            </w:tcBorders>
            <w:shd w:val="clear" w:color="000000" w:fill="E7E6E6"/>
            <w:vAlign w:val="center"/>
          </w:tcPr>
          <w:p w14:paraId="6A5A69A6" w14:textId="18D9652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2993FB65" w14:textId="670B1AB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43.9–46.5</w:t>
            </w:r>
          </w:p>
        </w:tc>
        <w:tc>
          <w:tcPr>
            <w:tcW w:w="841" w:type="dxa"/>
            <w:tcBorders>
              <w:top w:val="nil"/>
              <w:left w:val="nil"/>
              <w:bottom w:val="single" w:sz="4" w:space="0" w:color="auto"/>
              <w:right w:val="single" w:sz="4" w:space="0" w:color="auto"/>
            </w:tcBorders>
            <w:shd w:val="clear" w:color="000000" w:fill="E7E6E6"/>
            <w:noWrap/>
            <w:vAlign w:val="center"/>
          </w:tcPr>
          <w:p w14:paraId="2D200F5C" w14:textId="300D584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34.7</w:t>
            </w:r>
          </w:p>
        </w:tc>
        <w:tc>
          <w:tcPr>
            <w:tcW w:w="1126" w:type="dxa"/>
            <w:tcBorders>
              <w:top w:val="nil"/>
              <w:left w:val="nil"/>
              <w:bottom w:val="single" w:sz="4" w:space="0" w:color="auto"/>
              <w:right w:val="single" w:sz="4" w:space="0" w:color="auto"/>
            </w:tcBorders>
            <w:shd w:val="clear" w:color="000000" w:fill="E7E6E6"/>
            <w:noWrap/>
            <w:vAlign w:val="center"/>
          </w:tcPr>
          <w:p w14:paraId="41FA02B4" w14:textId="0B00FF5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22.7</w:t>
            </w:r>
          </w:p>
        </w:tc>
        <w:tc>
          <w:tcPr>
            <w:tcW w:w="850" w:type="dxa"/>
            <w:tcBorders>
              <w:top w:val="nil"/>
              <w:left w:val="nil"/>
              <w:bottom w:val="single" w:sz="4" w:space="0" w:color="auto"/>
              <w:right w:val="single" w:sz="4" w:space="0" w:color="auto"/>
            </w:tcBorders>
            <w:shd w:val="clear" w:color="000000" w:fill="E7E6E6"/>
            <w:vAlign w:val="center"/>
          </w:tcPr>
          <w:p w14:paraId="2F469BC4" w14:textId="4050EBD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74</w:t>
            </w:r>
          </w:p>
        </w:tc>
        <w:tc>
          <w:tcPr>
            <w:tcW w:w="1295" w:type="dxa"/>
            <w:tcBorders>
              <w:top w:val="nil"/>
              <w:left w:val="nil"/>
              <w:bottom w:val="single" w:sz="4" w:space="0" w:color="auto"/>
              <w:right w:val="single" w:sz="4" w:space="0" w:color="auto"/>
            </w:tcBorders>
            <w:shd w:val="clear" w:color="000000" w:fill="E7E6E6"/>
            <w:noWrap/>
            <w:vAlign w:val="center"/>
          </w:tcPr>
          <w:p w14:paraId="42D28904" w14:textId="7B73C61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w:t>
            </w:r>
          </w:p>
        </w:tc>
        <w:tc>
          <w:tcPr>
            <w:tcW w:w="1173" w:type="dxa"/>
            <w:tcBorders>
              <w:top w:val="nil"/>
              <w:left w:val="nil"/>
              <w:bottom w:val="single" w:sz="4" w:space="0" w:color="auto"/>
              <w:right w:val="single" w:sz="4" w:space="0" w:color="auto"/>
            </w:tcBorders>
            <w:shd w:val="clear" w:color="000000" w:fill="E7E6E6"/>
            <w:noWrap/>
            <w:vAlign w:val="center"/>
          </w:tcPr>
          <w:p w14:paraId="21DF3DFD" w14:textId="2383EC7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51.1</w:t>
            </w:r>
          </w:p>
        </w:tc>
      </w:tr>
      <w:tr w:rsidR="0072387E" w:rsidRPr="008C72D8" w14:paraId="20F7B28B"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E838E73" w14:textId="1712CE5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251–300</w:t>
            </w:r>
          </w:p>
        </w:tc>
        <w:tc>
          <w:tcPr>
            <w:tcW w:w="3357" w:type="dxa"/>
            <w:tcBorders>
              <w:top w:val="nil"/>
              <w:left w:val="nil"/>
              <w:bottom w:val="single" w:sz="4" w:space="0" w:color="auto"/>
              <w:right w:val="single" w:sz="4" w:space="0" w:color="auto"/>
            </w:tcBorders>
            <w:shd w:val="clear" w:color="auto" w:fill="auto"/>
            <w:noWrap/>
            <w:vAlign w:val="center"/>
          </w:tcPr>
          <w:p w14:paraId="47FCBC7A" w14:textId="4781F1C3"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Barcelona</w:t>
            </w:r>
          </w:p>
        </w:tc>
        <w:tc>
          <w:tcPr>
            <w:tcW w:w="834" w:type="dxa"/>
            <w:tcBorders>
              <w:top w:val="nil"/>
              <w:left w:val="nil"/>
              <w:bottom w:val="single" w:sz="4" w:space="0" w:color="auto"/>
              <w:right w:val="single" w:sz="4" w:space="0" w:color="auto"/>
            </w:tcBorders>
            <w:shd w:val="clear" w:color="auto" w:fill="auto"/>
            <w:vAlign w:val="center"/>
          </w:tcPr>
          <w:p w14:paraId="45D760F9" w14:textId="5F2494B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72B00353" w14:textId="196AFAC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43.9–46.5</w:t>
            </w:r>
          </w:p>
        </w:tc>
        <w:tc>
          <w:tcPr>
            <w:tcW w:w="841" w:type="dxa"/>
            <w:tcBorders>
              <w:top w:val="nil"/>
              <w:left w:val="nil"/>
              <w:bottom w:val="single" w:sz="4" w:space="0" w:color="auto"/>
              <w:right w:val="single" w:sz="4" w:space="0" w:color="auto"/>
            </w:tcBorders>
            <w:shd w:val="clear" w:color="auto" w:fill="auto"/>
            <w:noWrap/>
            <w:vAlign w:val="center"/>
          </w:tcPr>
          <w:p w14:paraId="657C834E" w14:textId="3822FE7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26.4</w:t>
            </w:r>
          </w:p>
        </w:tc>
        <w:tc>
          <w:tcPr>
            <w:tcW w:w="1126" w:type="dxa"/>
            <w:tcBorders>
              <w:top w:val="nil"/>
              <w:left w:val="nil"/>
              <w:bottom w:val="single" w:sz="4" w:space="0" w:color="auto"/>
              <w:right w:val="single" w:sz="4" w:space="0" w:color="auto"/>
            </w:tcBorders>
            <w:shd w:val="clear" w:color="auto" w:fill="auto"/>
            <w:noWrap/>
            <w:vAlign w:val="center"/>
          </w:tcPr>
          <w:p w14:paraId="74C646C9" w14:textId="31888C6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21.6</w:t>
            </w:r>
          </w:p>
        </w:tc>
        <w:tc>
          <w:tcPr>
            <w:tcW w:w="850" w:type="dxa"/>
            <w:tcBorders>
              <w:top w:val="nil"/>
              <w:left w:val="nil"/>
              <w:bottom w:val="single" w:sz="4" w:space="0" w:color="auto"/>
              <w:right w:val="single" w:sz="4" w:space="0" w:color="auto"/>
            </w:tcBorders>
            <w:shd w:val="clear" w:color="auto" w:fill="auto"/>
            <w:vAlign w:val="center"/>
          </w:tcPr>
          <w:p w14:paraId="75968C18" w14:textId="5E7ED9E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74.6</w:t>
            </w:r>
          </w:p>
        </w:tc>
        <w:tc>
          <w:tcPr>
            <w:tcW w:w="1295" w:type="dxa"/>
            <w:tcBorders>
              <w:top w:val="nil"/>
              <w:left w:val="nil"/>
              <w:bottom w:val="single" w:sz="4" w:space="0" w:color="auto"/>
              <w:right w:val="single" w:sz="4" w:space="0" w:color="auto"/>
            </w:tcBorders>
            <w:shd w:val="clear" w:color="auto" w:fill="auto"/>
            <w:noWrap/>
            <w:vAlign w:val="center"/>
          </w:tcPr>
          <w:p w14:paraId="2B897752" w14:textId="437968C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42.5</w:t>
            </w:r>
          </w:p>
        </w:tc>
        <w:tc>
          <w:tcPr>
            <w:tcW w:w="1173" w:type="dxa"/>
            <w:tcBorders>
              <w:top w:val="nil"/>
              <w:left w:val="nil"/>
              <w:bottom w:val="single" w:sz="4" w:space="0" w:color="auto"/>
              <w:right w:val="single" w:sz="4" w:space="0" w:color="auto"/>
            </w:tcBorders>
            <w:shd w:val="clear" w:color="auto" w:fill="auto"/>
            <w:noWrap/>
            <w:vAlign w:val="center"/>
          </w:tcPr>
          <w:p w14:paraId="53B34F58" w14:textId="23B469B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56.4</w:t>
            </w:r>
          </w:p>
        </w:tc>
      </w:tr>
      <w:tr w:rsidR="0072387E" w:rsidRPr="008C72D8" w14:paraId="23E596E6"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59895496" w14:textId="5B4759E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251–300</w:t>
            </w:r>
          </w:p>
        </w:tc>
        <w:tc>
          <w:tcPr>
            <w:tcW w:w="3357" w:type="dxa"/>
            <w:tcBorders>
              <w:top w:val="nil"/>
              <w:left w:val="nil"/>
              <w:bottom w:val="single" w:sz="4" w:space="0" w:color="auto"/>
              <w:right w:val="single" w:sz="4" w:space="0" w:color="auto"/>
            </w:tcBorders>
            <w:shd w:val="clear" w:color="000000" w:fill="E7E6E6"/>
            <w:noWrap/>
            <w:vAlign w:val="center"/>
          </w:tcPr>
          <w:p w14:paraId="047EF362" w14:textId="5B50F25F"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La Laguna</w:t>
            </w:r>
          </w:p>
        </w:tc>
        <w:tc>
          <w:tcPr>
            <w:tcW w:w="834" w:type="dxa"/>
            <w:tcBorders>
              <w:top w:val="nil"/>
              <w:left w:val="nil"/>
              <w:bottom w:val="single" w:sz="4" w:space="0" w:color="auto"/>
              <w:right w:val="single" w:sz="4" w:space="0" w:color="auto"/>
            </w:tcBorders>
            <w:shd w:val="clear" w:color="000000" w:fill="E7E6E6"/>
            <w:vAlign w:val="center"/>
          </w:tcPr>
          <w:p w14:paraId="154BB7DE" w14:textId="4B6EFF3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14D97B25" w14:textId="7C42304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43.9–46.5</w:t>
            </w:r>
          </w:p>
        </w:tc>
        <w:tc>
          <w:tcPr>
            <w:tcW w:w="841" w:type="dxa"/>
            <w:tcBorders>
              <w:top w:val="nil"/>
              <w:left w:val="nil"/>
              <w:bottom w:val="single" w:sz="4" w:space="0" w:color="auto"/>
              <w:right w:val="single" w:sz="4" w:space="0" w:color="auto"/>
            </w:tcBorders>
            <w:shd w:val="clear" w:color="000000" w:fill="E7E6E6"/>
            <w:noWrap/>
            <w:vAlign w:val="center"/>
          </w:tcPr>
          <w:p w14:paraId="7655F675" w14:textId="1244112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20.8</w:t>
            </w:r>
          </w:p>
        </w:tc>
        <w:tc>
          <w:tcPr>
            <w:tcW w:w="1126" w:type="dxa"/>
            <w:tcBorders>
              <w:top w:val="nil"/>
              <w:left w:val="nil"/>
              <w:bottom w:val="single" w:sz="4" w:space="0" w:color="auto"/>
              <w:right w:val="single" w:sz="4" w:space="0" w:color="auto"/>
            </w:tcBorders>
            <w:shd w:val="clear" w:color="000000" w:fill="E7E6E6"/>
            <w:noWrap/>
            <w:vAlign w:val="center"/>
          </w:tcPr>
          <w:p w14:paraId="5ADCD34C" w14:textId="5853DA7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10.1</w:t>
            </w:r>
          </w:p>
        </w:tc>
        <w:tc>
          <w:tcPr>
            <w:tcW w:w="850" w:type="dxa"/>
            <w:tcBorders>
              <w:top w:val="nil"/>
              <w:left w:val="nil"/>
              <w:bottom w:val="single" w:sz="4" w:space="0" w:color="auto"/>
              <w:right w:val="single" w:sz="4" w:space="0" w:color="auto"/>
            </w:tcBorders>
            <w:shd w:val="clear" w:color="000000" w:fill="E7E6E6"/>
            <w:vAlign w:val="center"/>
          </w:tcPr>
          <w:p w14:paraId="64A300EB" w14:textId="23F0EF6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87.7</w:t>
            </w:r>
          </w:p>
        </w:tc>
        <w:tc>
          <w:tcPr>
            <w:tcW w:w="1295" w:type="dxa"/>
            <w:tcBorders>
              <w:top w:val="nil"/>
              <w:left w:val="nil"/>
              <w:bottom w:val="single" w:sz="4" w:space="0" w:color="auto"/>
              <w:right w:val="single" w:sz="4" w:space="0" w:color="auto"/>
            </w:tcBorders>
            <w:shd w:val="clear" w:color="000000" w:fill="E7E6E6"/>
            <w:noWrap/>
            <w:vAlign w:val="center"/>
          </w:tcPr>
          <w:p w14:paraId="5C67304E" w14:textId="6D1C488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32</w:t>
            </w:r>
          </w:p>
        </w:tc>
        <w:tc>
          <w:tcPr>
            <w:tcW w:w="1173" w:type="dxa"/>
            <w:tcBorders>
              <w:top w:val="nil"/>
              <w:left w:val="nil"/>
              <w:bottom w:val="single" w:sz="4" w:space="0" w:color="auto"/>
              <w:right w:val="single" w:sz="4" w:space="0" w:color="auto"/>
            </w:tcBorders>
            <w:shd w:val="clear" w:color="000000" w:fill="E7E6E6"/>
            <w:noWrap/>
            <w:vAlign w:val="center"/>
          </w:tcPr>
          <w:p w14:paraId="7DB5009E" w14:textId="71168F1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53.7</w:t>
            </w:r>
          </w:p>
        </w:tc>
      </w:tr>
      <w:tr w:rsidR="0072387E" w:rsidRPr="008C72D8" w14:paraId="63EB2B82"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9DAC5CE" w14:textId="097D87A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251–300</w:t>
            </w:r>
          </w:p>
        </w:tc>
        <w:tc>
          <w:tcPr>
            <w:tcW w:w="3357" w:type="dxa"/>
            <w:tcBorders>
              <w:top w:val="nil"/>
              <w:left w:val="nil"/>
              <w:bottom w:val="single" w:sz="4" w:space="0" w:color="auto"/>
              <w:right w:val="single" w:sz="4" w:space="0" w:color="auto"/>
            </w:tcBorders>
            <w:shd w:val="clear" w:color="auto" w:fill="auto"/>
            <w:noWrap/>
            <w:vAlign w:val="center"/>
          </w:tcPr>
          <w:p w14:paraId="18E337EB" w14:textId="2FCAFBF3"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las Islas Baleares</w:t>
            </w:r>
          </w:p>
        </w:tc>
        <w:tc>
          <w:tcPr>
            <w:tcW w:w="834" w:type="dxa"/>
            <w:tcBorders>
              <w:top w:val="nil"/>
              <w:left w:val="nil"/>
              <w:bottom w:val="single" w:sz="4" w:space="0" w:color="auto"/>
              <w:right w:val="single" w:sz="4" w:space="0" w:color="auto"/>
            </w:tcBorders>
            <w:shd w:val="clear" w:color="auto" w:fill="auto"/>
            <w:vAlign w:val="center"/>
          </w:tcPr>
          <w:p w14:paraId="5FE5022B" w14:textId="193055A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6F91169E" w14:textId="6E536A6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43.9–46.5</w:t>
            </w:r>
          </w:p>
        </w:tc>
        <w:tc>
          <w:tcPr>
            <w:tcW w:w="841" w:type="dxa"/>
            <w:tcBorders>
              <w:top w:val="nil"/>
              <w:left w:val="nil"/>
              <w:bottom w:val="single" w:sz="4" w:space="0" w:color="auto"/>
              <w:right w:val="single" w:sz="4" w:space="0" w:color="auto"/>
            </w:tcBorders>
            <w:shd w:val="clear" w:color="auto" w:fill="auto"/>
            <w:noWrap/>
            <w:vAlign w:val="center"/>
          </w:tcPr>
          <w:p w14:paraId="2C1D93ED" w14:textId="1125866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18.7</w:t>
            </w:r>
          </w:p>
        </w:tc>
        <w:tc>
          <w:tcPr>
            <w:tcW w:w="1126" w:type="dxa"/>
            <w:tcBorders>
              <w:top w:val="nil"/>
              <w:left w:val="nil"/>
              <w:bottom w:val="single" w:sz="4" w:space="0" w:color="auto"/>
              <w:right w:val="single" w:sz="4" w:space="0" w:color="auto"/>
            </w:tcBorders>
            <w:shd w:val="clear" w:color="auto" w:fill="auto"/>
            <w:noWrap/>
            <w:vAlign w:val="center"/>
          </w:tcPr>
          <w:p w14:paraId="05C0AD90" w14:textId="67A1CB7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9.8</w:t>
            </w:r>
          </w:p>
        </w:tc>
        <w:tc>
          <w:tcPr>
            <w:tcW w:w="850" w:type="dxa"/>
            <w:tcBorders>
              <w:top w:val="nil"/>
              <w:left w:val="nil"/>
              <w:bottom w:val="single" w:sz="4" w:space="0" w:color="auto"/>
              <w:right w:val="single" w:sz="4" w:space="0" w:color="auto"/>
            </w:tcBorders>
            <w:shd w:val="clear" w:color="auto" w:fill="auto"/>
            <w:vAlign w:val="center"/>
          </w:tcPr>
          <w:p w14:paraId="4BCF2535" w14:textId="4508BC2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89.9</w:t>
            </w:r>
          </w:p>
        </w:tc>
        <w:tc>
          <w:tcPr>
            <w:tcW w:w="1295" w:type="dxa"/>
            <w:tcBorders>
              <w:top w:val="nil"/>
              <w:left w:val="nil"/>
              <w:bottom w:val="single" w:sz="4" w:space="0" w:color="auto"/>
              <w:right w:val="single" w:sz="4" w:space="0" w:color="auto"/>
            </w:tcBorders>
            <w:shd w:val="clear" w:color="auto" w:fill="auto"/>
            <w:noWrap/>
            <w:vAlign w:val="center"/>
          </w:tcPr>
          <w:p w14:paraId="64D34F6C" w14:textId="7B27D98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30.4</w:t>
            </w:r>
          </w:p>
        </w:tc>
        <w:tc>
          <w:tcPr>
            <w:tcW w:w="1173" w:type="dxa"/>
            <w:tcBorders>
              <w:top w:val="nil"/>
              <w:left w:val="nil"/>
              <w:bottom w:val="single" w:sz="4" w:space="0" w:color="auto"/>
              <w:right w:val="single" w:sz="4" w:space="0" w:color="auto"/>
            </w:tcBorders>
            <w:shd w:val="clear" w:color="auto" w:fill="auto"/>
            <w:noWrap/>
            <w:vAlign w:val="center"/>
          </w:tcPr>
          <w:p w14:paraId="199AD507" w14:textId="42D1A97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50.8</w:t>
            </w:r>
          </w:p>
        </w:tc>
      </w:tr>
      <w:tr w:rsidR="0072387E" w:rsidRPr="008C72D8" w14:paraId="267B219F"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4FF0FC62" w14:textId="005F6A1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251–300</w:t>
            </w:r>
          </w:p>
        </w:tc>
        <w:tc>
          <w:tcPr>
            <w:tcW w:w="3357" w:type="dxa"/>
            <w:tcBorders>
              <w:top w:val="nil"/>
              <w:left w:val="nil"/>
              <w:bottom w:val="single" w:sz="4" w:space="0" w:color="auto"/>
              <w:right w:val="single" w:sz="4" w:space="0" w:color="auto"/>
            </w:tcBorders>
            <w:shd w:val="clear" w:color="000000" w:fill="E7E6E6"/>
            <w:noWrap/>
            <w:vAlign w:val="center"/>
          </w:tcPr>
          <w:p w14:paraId="6B0F137D" w14:textId="6775B3BE"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Pablo de Olavide</w:t>
            </w:r>
          </w:p>
        </w:tc>
        <w:tc>
          <w:tcPr>
            <w:tcW w:w="834" w:type="dxa"/>
            <w:tcBorders>
              <w:top w:val="nil"/>
              <w:left w:val="nil"/>
              <w:bottom w:val="single" w:sz="4" w:space="0" w:color="auto"/>
              <w:right w:val="single" w:sz="4" w:space="0" w:color="auto"/>
            </w:tcBorders>
            <w:shd w:val="clear" w:color="000000" w:fill="E7E6E6"/>
            <w:vAlign w:val="center"/>
          </w:tcPr>
          <w:p w14:paraId="3C6BA516" w14:textId="297D737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08A90E71" w14:textId="4CC4671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43.9–46.5</w:t>
            </w:r>
          </w:p>
        </w:tc>
        <w:tc>
          <w:tcPr>
            <w:tcW w:w="841" w:type="dxa"/>
            <w:tcBorders>
              <w:top w:val="nil"/>
              <w:left w:val="nil"/>
              <w:bottom w:val="single" w:sz="4" w:space="0" w:color="auto"/>
              <w:right w:val="single" w:sz="4" w:space="0" w:color="auto"/>
            </w:tcBorders>
            <w:shd w:val="clear" w:color="000000" w:fill="E7E6E6"/>
            <w:noWrap/>
            <w:vAlign w:val="center"/>
          </w:tcPr>
          <w:p w14:paraId="589BC989" w14:textId="25B4A22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22.9</w:t>
            </w:r>
          </w:p>
        </w:tc>
        <w:tc>
          <w:tcPr>
            <w:tcW w:w="1126" w:type="dxa"/>
            <w:tcBorders>
              <w:top w:val="nil"/>
              <w:left w:val="nil"/>
              <w:bottom w:val="single" w:sz="4" w:space="0" w:color="auto"/>
              <w:right w:val="single" w:sz="4" w:space="0" w:color="auto"/>
            </w:tcBorders>
            <w:shd w:val="clear" w:color="000000" w:fill="E7E6E6"/>
            <w:noWrap/>
            <w:vAlign w:val="center"/>
          </w:tcPr>
          <w:p w14:paraId="6B8F675B" w14:textId="1DBE354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9.8</w:t>
            </w:r>
          </w:p>
        </w:tc>
        <w:tc>
          <w:tcPr>
            <w:tcW w:w="850" w:type="dxa"/>
            <w:tcBorders>
              <w:top w:val="nil"/>
              <w:left w:val="nil"/>
              <w:bottom w:val="single" w:sz="4" w:space="0" w:color="auto"/>
              <w:right w:val="single" w:sz="4" w:space="0" w:color="auto"/>
            </w:tcBorders>
            <w:shd w:val="clear" w:color="000000" w:fill="E7E6E6"/>
            <w:vAlign w:val="center"/>
          </w:tcPr>
          <w:p w14:paraId="777CFF0C" w14:textId="250E764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91.3</w:t>
            </w:r>
          </w:p>
        </w:tc>
        <w:tc>
          <w:tcPr>
            <w:tcW w:w="1295" w:type="dxa"/>
            <w:tcBorders>
              <w:top w:val="nil"/>
              <w:left w:val="nil"/>
              <w:bottom w:val="single" w:sz="4" w:space="0" w:color="auto"/>
              <w:right w:val="single" w:sz="4" w:space="0" w:color="auto"/>
            </w:tcBorders>
            <w:shd w:val="clear" w:color="000000" w:fill="E7E6E6"/>
            <w:noWrap/>
            <w:vAlign w:val="center"/>
          </w:tcPr>
          <w:p w14:paraId="11516C45" w14:textId="36DB5B7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32.7</w:t>
            </w:r>
          </w:p>
        </w:tc>
        <w:tc>
          <w:tcPr>
            <w:tcW w:w="1173" w:type="dxa"/>
            <w:tcBorders>
              <w:top w:val="nil"/>
              <w:left w:val="nil"/>
              <w:bottom w:val="single" w:sz="4" w:space="0" w:color="auto"/>
              <w:right w:val="single" w:sz="4" w:space="0" w:color="auto"/>
            </w:tcBorders>
            <w:shd w:val="clear" w:color="000000" w:fill="E7E6E6"/>
            <w:noWrap/>
            <w:vAlign w:val="center"/>
          </w:tcPr>
          <w:p w14:paraId="7BB33EBF" w14:textId="185041B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53.4</w:t>
            </w:r>
          </w:p>
        </w:tc>
      </w:tr>
      <w:tr w:rsidR="0072387E" w:rsidRPr="008C72D8" w14:paraId="64D8A049"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CC58A88" w14:textId="59F4E0E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251–300</w:t>
            </w:r>
          </w:p>
        </w:tc>
        <w:tc>
          <w:tcPr>
            <w:tcW w:w="3357" w:type="dxa"/>
            <w:tcBorders>
              <w:top w:val="nil"/>
              <w:left w:val="nil"/>
              <w:bottom w:val="single" w:sz="4" w:space="0" w:color="auto"/>
              <w:right w:val="single" w:sz="4" w:space="0" w:color="auto"/>
            </w:tcBorders>
            <w:shd w:val="clear" w:color="auto" w:fill="auto"/>
            <w:noWrap/>
            <w:vAlign w:val="center"/>
          </w:tcPr>
          <w:p w14:paraId="21605EF9" w14:textId="22647082"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Rovira i Virgili</w:t>
            </w:r>
          </w:p>
        </w:tc>
        <w:tc>
          <w:tcPr>
            <w:tcW w:w="834" w:type="dxa"/>
            <w:tcBorders>
              <w:top w:val="nil"/>
              <w:left w:val="nil"/>
              <w:bottom w:val="single" w:sz="4" w:space="0" w:color="auto"/>
              <w:right w:val="single" w:sz="4" w:space="0" w:color="auto"/>
            </w:tcBorders>
            <w:shd w:val="clear" w:color="auto" w:fill="auto"/>
            <w:vAlign w:val="center"/>
          </w:tcPr>
          <w:p w14:paraId="09282896" w14:textId="023CF15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64A9C9D2" w14:textId="770430D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43.9–46.5</w:t>
            </w:r>
          </w:p>
        </w:tc>
        <w:tc>
          <w:tcPr>
            <w:tcW w:w="841" w:type="dxa"/>
            <w:tcBorders>
              <w:top w:val="nil"/>
              <w:left w:val="nil"/>
              <w:bottom w:val="single" w:sz="4" w:space="0" w:color="auto"/>
              <w:right w:val="single" w:sz="4" w:space="0" w:color="auto"/>
            </w:tcBorders>
            <w:shd w:val="clear" w:color="auto" w:fill="auto"/>
            <w:noWrap/>
            <w:vAlign w:val="center"/>
          </w:tcPr>
          <w:p w14:paraId="60B07A7E" w14:textId="76D34AF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25.7</w:t>
            </w:r>
          </w:p>
        </w:tc>
        <w:tc>
          <w:tcPr>
            <w:tcW w:w="1126" w:type="dxa"/>
            <w:tcBorders>
              <w:top w:val="nil"/>
              <w:left w:val="nil"/>
              <w:bottom w:val="single" w:sz="4" w:space="0" w:color="auto"/>
              <w:right w:val="single" w:sz="4" w:space="0" w:color="auto"/>
            </w:tcBorders>
            <w:shd w:val="clear" w:color="auto" w:fill="auto"/>
            <w:noWrap/>
            <w:vAlign w:val="center"/>
          </w:tcPr>
          <w:p w14:paraId="6D58219E" w14:textId="22F04EA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19.9</w:t>
            </w:r>
          </w:p>
        </w:tc>
        <w:tc>
          <w:tcPr>
            <w:tcW w:w="850" w:type="dxa"/>
            <w:tcBorders>
              <w:top w:val="nil"/>
              <w:left w:val="nil"/>
              <w:bottom w:val="single" w:sz="4" w:space="0" w:color="auto"/>
              <w:right w:val="single" w:sz="4" w:space="0" w:color="auto"/>
            </w:tcBorders>
            <w:shd w:val="clear" w:color="auto" w:fill="auto"/>
            <w:vAlign w:val="center"/>
          </w:tcPr>
          <w:p w14:paraId="690E8F2D" w14:textId="78075EC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75.6</w:t>
            </w:r>
          </w:p>
        </w:tc>
        <w:tc>
          <w:tcPr>
            <w:tcW w:w="1295" w:type="dxa"/>
            <w:tcBorders>
              <w:top w:val="nil"/>
              <w:left w:val="nil"/>
              <w:bottom w:val="single" w:sz="4" w:space="0" w:color="auto"/>
              <w:right w:val="single" w:sz="4" w:space="0" w:color="auto"/>
            </w:tcBorders>
            <w:shd w:val="clear" w:color="auto" w:fill="auto"/>
            <w:noWrap/>
            <w:vAlign w:val="center"/>
          </w:tcPr>
          <w:p w14:paraId="6E979706" w14:textId="4DCBAB8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47.5</w:t>
            </w:r>
          </w:p>
        </w:tc>
        <w:tc>
          <w:tcPr>
            <w:tcW w:w="1173" w:type="dxa"/>
            <w:tcBorders>
              <w:top w:val="nil"/>
              <w:left w:val="nil"/>
              <w:bottom w:val="single" w:sz="4" w:space="0" w:color="auto"/>
              <w:right w:val="single" w:sz="4" w:space="0" w:color="auto"/>
            </w:tcBorders>
            <w:shd w:val="clear" w:color="auto" w:fill="auto"/>
            <w:noWrap/>
            <w:vAlign w:val="center"/>
          </w:tcPr>
          <w:p w14:paraId="4889ADAD" w14:textId="1980D6A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51</w:t>
            </w:r>
          </w:p>
        </w:tc>
      </w:tr>
      <w:tr w:rsidR="0072387E" w:rsidRPr="008C72D8" w14:paraId="332BA213"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6589F393" w14:textId="7EB69DE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301–400</w:t>
            </w:r>
          </w:p>
        </w:tc>
        <w:tc>
          <w:tcPr>
            <w:tcW w:w="3357" w:type="dxa"/>
            <w:tcBorders>
              <w:top w:val="nil"/>
              <w:left w:val="nil"/>
              <w:bottom w:val="single" w:sz="4" w:space="0" w:color="auto"/>
              <w:right w:val="single" w:sz="4" w:space="0" w:color="auto"/>
            </w:tcBorders>
            <w:shd w:val="clear" w:color="000000" w:fill="E7E6E6"/>
            <w:noWrap/>
            <w:vAlign w:val="center"/>
          </w:tcPr>
          <w:p w14:paraId="78522D2F" w14:textId="3ED38DD7"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Girona</w:t>
            </w:r>
          </w:p>
        </w:tc>
        <w:tc>
          <w:tcPr>
            <w:tcW w:w="834" w:type="dxa"/>
            <w:tcBorders>
              <w:top w:val="nil"/>
              <w:left w:val="nil"/>
              <w:bottom w:val="single" w:sz="4" w:space="0" w:color="auto"/>
              <w:right w:val="single" w:sz="4" w:space="0" w:color="auto"/>
            </w:tcBorders>
            <w:shd w:val="clear" w:color="000000" w:fill="E7E6E6"/>
            <w:vAlign w:val="center"/>
          </w:tcPr>
          <w:p w14:paraId="039C5BAA" w14:textId="54F5477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20753857" w14:textId="60C4BD8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38.7–43.8</w:t>
            </w:r>
          </w:p>
        </w:tc>
        <w:tc>
          <w:tcPr>
            <w:tcW w:w="841" w:type="dxa"/>
            <w:tcBorders>
              <w:top w:val="nil"/>
              <w:left w:val="nil"/>
              <w:bottom w:val="single" w:sz="4" w:space="0" w:color="auto"/>
              <w:right w:val="single" w:sz="4" w:space="0" w:color="auto"/>
            </w:tcBorders>
            <w:shd w:val="clear" w:color="000000" w:fill="E7E6E6"/>
            <w:noWrap/>
            <w:vAlign w:val="center"/>
          </w:tcPr>
          <w:p w14:paraId="4BFF2231" w14:textId="76A807E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16.8</w:t>
            </w:r>
          </w:p>
        </w:tc>
        <w:tc>
          <w:tcPr>
            <w:tcW w:w="1126" w:type="dxa"/>
            <w:tcBorders>
              <w:top w:val="nil"/>
              <w:left w:val="nil"/>
              <w:bottom w:val="single" w:sz="4" w:space="0" w:color="auto"/>
              <w:right w:val="single" w:sz="4" w:space="0" w:color="auto"/>
            </w:tcBorders>
            <w:shd w:val="clear" w:color="000000" w:fill="E7E6E6"/>
            <w:noWrap/>
            <w:vAlign w:val="center"/>
          </w:tcPr>
          <w:p w14:paraId="15CFA1AC" w14:textId="2744590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9.2</w:t>
            </w:r>
          </w:p>
        </w:tc>
        <w:tc>
          <w:tcPr>
            <w:tcW w:w="850" w:type="dxa"/>
            <w:tcBorders>
              <w:top w:val="nil"/>
              <w:left w:val="nil"/>
              <w:bottom w:val="single" w:sz="4" w:space="0" w:color="auto"/>
              <w:right w:val="single" w:sz="4" w:space="0" w:color="auto"/>
            </w:tcBorders>
            <w:shd w:val="clear" w:color="000000" w:fill="E7E6E6"/>
            <w:vAlign w:val="center"/>
          </w:tcPr>
          <w:p w14:paraId="5979FE3A" w14:textId="0417297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80.5</w:t>
            </w:r>
          </w:p>
        </w:tc>
        <w:tc>
          <w:tcPr>
            <w:tcW w:w="1295" w:type="dxa"/>
            <w:tcBorders>
              <w:top w:val="nil"/>
              <w:left w:val="nil"/>
              <w:bottom w:val="single" w:sz="4" w:space="0" w:color="auto"/>
              <w:right w:val="single" w:sz="4" w:space="0" w:color="auto"/>
            </w:tcBorders>
            <w:shd w:val="clear" w:color="000000" w:fill="E7E6E6"/>
            <w:noWrap/>
            <w:vAlign w:val="center"/>
          </w:tcPr>
          <w:p w14:paraId="381AE07F" w14:textId="079DC91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34.8</w:t>
            </w:r>
          </w:p>
        </w:tc>
        <w:tc>
          <w:tcPr>
            <w:tcW w:w="1173" w:type="dxa"/>
            <w:tcBorders>
              <w:top w:val="nil"/>
              <w:left w:val="nil"/>
              <w:bottom w:val="single" w:sz="4" w:space="0" w:color="auto"/>
              <w:right w:val="single" w:sz="4" w:space="0" w:color="auto"/>
            </w:tcBorders>
            <w:shd w:val="clear" w:color="000000" w:fill="E7E6E6"/>
            <w:noWrap/>
            <w:vAlign w:val="center"/>
          </w:tcPr>
          <w:p w14:paraId="7A23316A" w14:textId="4B38468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47.8</w:t>
            </w:r>
          </w:p>
        </w:tc>
      </w:tr>
      <w:tr w:rsidR="0072387E" w:rsidRPr="008C72D8" w14:paraId="04C2A3D9"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BF58267" w14:textId="48F78F3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301–400</w:t>
            </w:r>
          </w:p>
        </w:tc>
        <w:tc>
          <w:tcPr>
            <w:tcW w:w="3357" w:type="dxa"/>
            <w:tcBorders>
              <w:top w:val="nil"/>
              <w:left w:val="nil"/>
              <w:bottom w:val="single" w:sz="4" w:space="0" w:color="auto"/>
              <w:right w:val="single" w:sz="4" w:space="0" w:color="auto"/>
            </w:tcBorders>
            <w:shd w:val="clear" w:color="auto" w:fill="auto"/>
            <w:noWrap/>
            <w:vAlign w:val="center"/>
          </w:tcPr>
          <w:p w14:paraId="0498788C" w14:textId="5C3D7AA8"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Granada</w:t>
            </w:r>
          </w:p>
        </w:tc>
        <w:tc>
          <w:tcPr>
            <w:tcW w:w="834" w:type="dxa"/>
            <w:tcBorders>
              <w:top w:val="nil"/>
              <w:left w:val="nil"/>
              <w:bottom w:val="single" w:sz="4" w:space="0" w:color="auto"/>
              <w:right w:val="single" w:sz="4" w:space="0" w:color="auto"/>
            </w:tcBorders>
            <w:shd w:val="clear" w:color="auto" w:fill="auto"/>
            <w:vAlign w:val="center"/>
          </w:tcPr>
          <w:p w14:paraId="68553F24" w14:textId="3D9764C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29642F55" w14:textId="7402401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38.7–43.8</w:t>
            </w:r>
          </w:p>
        </w:tc>
        <w:tc>
          <w:tcPr>
            <w:tcW w:w="841" w:type="dxa"/>
            <w:tcBorders>
              <w:top w:val="nil"/>
              <w:left w:val="nil"/>
              <w:bottom w:val="single" w:sz="4" w:space="0" w:color="auto"/>
              <w:right w:val="single" w:sz="4" w:space="0" w:color="auto"/>
            </w:tcBorders>
            <w:shd w:val="clear" w:color="auto" w:fill="auto"/>
            <w:noWrap/>
            <w:vAlign w:val="center"/>
          </w:tcPr>
          <w:p w14:paraId="03788EE6" w14:textId="1562BB9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18.9</w:t>
            </w:r>
          </w:p>
        </w:tc>
        <w:tc>
          <w:tcPr>
            <w:tcW w:w="1126" w:type="dxa"/>
            <w:tcBorders>
              <w:top w:val="nil"/>
              <w:left w:val="nil"/>
              <w:bottom w:val="single" w:sz="4" w:space="0" w:color="auto"/>
              <w:right w:val="single" w:sz="4" w:space="0" w:color="auto"/>
            </w:tcBorders>
            <w:shd w:val="clear" w:color="auto" w:fill="auto"/>
            <w:noWrap/>
            <w:vAlign w:val="center"/>
          </w:tcPr>
          <w:p w14:paraId="430EB7D0" w14:textId="07C3003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17.4</w:t>
            </w:r>
          </w:p>
        </w:tc>
        <w:tc>
          <w:tcPr>
            <w:tcW w:w="850" w:type="dxa"/>
            <w:tcBorders>
              <w:top w:val="nil"/>
              <w:left w:val="nil"/>
              <w:bottom w:val="single" w:sz="4" w:space="0" w:color="auto"/>
              <w:right w:val="single" w:sz="4" w:space="0" w:color="auto"/>
            </w:tcBorders>
            <w:shd w:val="clear" w:color="auto" w:fill="auto"/>
            <w:vAlign w:val="center"/>
          </w:tcPr>
          <w:p w14:paraId="26AE917D" w14:textId="5EEB596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77.5</w:t>
            </w:r>
          </w:p>
        </w:tc>
        <w:tc>
          <w:tcPr>
            <w:tcW w:w="1295" w:type="dxa"/>
            <w:tcBorders>
              <w:top w:val="nil"/>
              <w:left w:val="nil"/>
              <w:bottom w:val="single" w:sz="4" w:space="0" w:color="auto"/>
              <w:right w:val="single" w:sz="4" w:space="0" w:color="auto"/>
            </w:tcBorders>
            <w:shd w:val="clear" w:color="auto" w:fill="auto"/>
            <w:noWrap/>
            <w:vAlign w:val="center"/>
          </w:tcPr>
          <w:p w14:paraId="1210239B" w14:textId="05D28D9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31.6</w:t>
            </w:r>
          </w:p>
        </w:tc>
        <w:tc>
          <w:tcPr>
            <w:tcW w:w="1173" w:type="dxa"/>
            <w:tcBorders>
              <w:top w:val="nil"/>
              <w:left w:val="nil"/>
              <w:bottom w:val="single" w:sz="4" w:space="0" w:color="auto"/>
              <w:right w:val="single" w:sz="4" w:space="0" w:color="auto"/>
            </w:tcBorders>
            <w:shd w:val="clear" w:color="auto" w:fill="auto"/>
            <w:noWrap/>
            <w:vAlign w:val="center"/>
          </w:tcPr>
          <w:p w14:paraId="1032B7D2" w14:textId="798E3E9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45.9</w:t>
            </w:r>
          </w:p>
        </w:tc>
      </w:tr>
      <w:tr w:rsidR="0072387E" w:rsidRPr="008C72D8" w14:paraId="42F4055B"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3A1463EB" w14:textId="6103AF7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301–400</w:t>
            </w:r>
          </w:p>
        </w:tc>
        <w:tc>
          <w:tcPr>
            <w:tcW w:w="3357" w:type="dxa"/>
            <w:tcBorders>
              <w:top w:val="nil"/>
              <w:left w:val="nil"/>
              <w:bottom w:val="single" w:sz="4" w:space="0" w:color="auto"/>
              <w:right w:val="single" w:sz="4" w:space="0" w:color="auto"/>
            </w:tcBorders>
            <w:shd w:val="clear" w:color="000000" w:fill="E7E6E6"/>
            <w:noWrap/>
            <w:vAlign w:val="center"/>
          </w:tcPr>
          <w:p w14:paraId="3B4A0F07" w14:textId="656F8A99"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Valencia</w:t>
            </w:r>
          </w:p>
        </w:tc>
        <w:tc>
          <w:tcPr>
            <w:tcW w:w="834" w:type="dxa"/>
            <w:tcBorders>
              <w:top w:val="nil"/>
              <w:left w:val="nil"/>
              <w:bottom w:val="single" w:sz="4" w:space="0" w:color="auto"/>
              <w:right w:val="single" w:sz="4" w:space="0" w:color="auto"/>
            </w:tcBorders>
            <w:shd w:val="clear" w:color="000000" w:fill="E7E6E6"/>
            <w:vAlign w:val="center"/>
          </w:tcPr>
          <w:p w14:paraId="232F6586" w14:textId="0325010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6C568152" w14:textId="3DA51D2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38.7–43.8</w:t>
            </w:r>
          </w:p>
        </w:tc>
        <w:tc>
          <w:tcPr>
            <w:tcW w:w="841" w:type="dxa"/>
            <w:tcBorders>
              <w:top w:val="nil"/>
              <w:left w:val="nil"/>
              <w:bottom w:val="single" w:sz="4" w:space="0" w:color="auto"/>
              <w:right w:val="single" w:sz="4" w:space="0" w:color="auto"/>
            </w:tcBorders>
            <w:shd w:val="clear" w:color="000000" w:fill="E7E6E6"/>
            <w:noWrap/>
            <w:vAlign w:val="center"/>
          </w:tcPr>
          <w:p w14:paraId="4DAC171B" w14:textId="025CDA3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24.4</w:t>
            </w:r>
          </w:p>
        </w:tc>
        <w:tc>
          <w:tcPr>
            <w:tcW w:w="1126" w:type="dxa"/>
            <w:tcBorders>
              <w:top w:val="nil"/>
              <w:left w:val="nil"/>
              <w:bottom w:val="single" w:sz="4" w:space="0" w:color="auto"/>
              <w:right w:val="single" w:sz="4" w:space="0" w:color="auto"/>
            </w:tcBorders>
            <w:shd w:val="clear" w:color="000000" w:fill="E7E6E6"/>
            <w:noWrap/>
            <w:vAlign w:val="center"/>
          </w:tcPr>
          <w:p w14:paraId="5DFF4B70" w14:textId="3F2CF19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14.9</w:t>
            </w:r>
          </w:p>
        </w:tc>
        <w:tc>
          <w:tcPr>
            <w:tcW w:w="850" w:type="dxa"/>
            <w:tcBorders>
              <w:top w:val="nil"/>
              <w:left w:val="nil"/>
              <w:bottom w:val="single" w:sz="4" w:space="0" w:color="auto"/>
              <w:right w:val="single" w:sz="4" w:space="0" w:color="auto"/>
            </w:tcBorders>
            <w:shd w:val="clear" w:color="000000" w:fill="E7E6E6"/>
            <w:vAlign w:val="center"/>
          </w:tcPr>
          <w:p w14:paraId="25FDDF5B" w14:textId="3A3CCD6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70.2</w:t>
            </w:r>
          </w:p>
        </w:tc>
        <w:tc>
          <w:tcPr>
            <w:tcW w:w="1295" w:type="dxa"/>
            <w:tcBorders>
              <w:top w:val="nil"/>
              <w:left w:val="nil"/>
              <w:bottom w:val="single" w:sz="4" w:space="0" w:color="auto"/>
              <w:right w:val="single" w:sz="4" w:space="0" w:color="auto"/>
            </w:tcBorders>
            <w:shd w:val="clear" w:color="000000" w:fill="E7E6E6"/>
            <w:noWrap/>
            <w:vAlign w:val="center"/>
          </w:tcPr>
          <w:p w14:paraId="176E6D78" w14:textId="49A0C4F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36.4</w:t>
            </w:r>
          </w:p>
        </w:tc>
        <w:tc>
          <w:tcPr>
            <w:tcW w:w="1173" w:type="dxa"/>
            <w:tcBorders>
              <w:top w:val="nil"/>
              <w:left w:val="nil"/>
              <w:bottom w:val="single" w:sz="4" w:space="0" w:color="auto"/>
              <w:right w:val="single" w:sz="4" w:space="0" w:color="auto"/>
            </w:tcBorders>
            <w:shd w:val="clear" w:color="000000" w:fill="E7E6E6"/>
            <w:noWrap/>
            <w:vAlign w:val="center"/>
          </w:tcPr>
          <w:p w14:paraId="026A4C0B" w14:textId="37B0AAF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51</w:t>
            </w:r>
          </w:p>
        </w:tc>
      </w:tr>
      <w:tr w:rsidR="0072387E" w:rsidRPr="008C72D8" w14:paraId="6C33CB15"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67E5937" w14:textId="6871251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601–800</w:t>
            </w:r>
          </w:p>
        </w:tc>
        <w:tc>
          <w:tcPr>
            <w:tcW w:w="3357" w:type="dxa"/>
            <w:tcBorders>
              <w:top w:val="nil"/>
              <w:left w:val="nil"/>
              <w:bottom w:val="single" w:sz="4" w:space="0" w:color="auto"/>
              <w:right w:val="single" w:sz="4" w:space="0" w:color="auto"/>
            </w:tcBorders>
            <w:shd w:val="clear" w:color="auto" w:fill="auto"/>
            <w:noWrap/>
            <w:vAlign w:val="center"/>
          </w:tcPr>
          <w:p w14:paraId="583165B3" w14:textId="57A8D911"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Nacional Autónoma de México</w:t>
            </w:r>
          </w:p>
        </w:tc>
        <w:tc>
          <w:tcPr>
            <w:tcW w:w="834" w:type="dxa"/>
            <w:tcBorders>
              <w:top w:val="nil"/>
              <w:left w:val="nil"/>
              <w:bottom w:val="single" w:sz="4" w:space="0" w:color="auto"/>
              <w:right w:val="single" w:sz="4" w:space="0" w:color="auto"/>
            </w:tcBorders>
            <w:shd w:val="clear" w:color="auto" w:fill="auto"/>
            <w:vAlign w:val="center"/>
          </w:tcPr>
          <w:p w14:paraId="7A17723E" w14:textId="039C48B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México</w:t>
            </w:r>
          </w:p>
        </w:tc>
        <w:tc>
          <w:tcPr>
            <w:tcW w:w="1044" w:type="dxa"/>
            <w:tcBorders>
              <w:top w:val="nil"/>
              <w:left w:val="nil"/>
              <w:bottom w:val="single" w:sz="4" w:space="0" w:color="auto"/>
              <w:right w:val="single" w:sz="4" w:space="0" w:color="auto"/>
            </w:tcBorders>
            <w:shd w:val="clear" w:color="auto" w:fill="auto"/>
            <w:noWrap/>
            <w:vAlign w:val="center"/>
          </w:tcPr>
          <w:p w14:paraId="7086BC24" w14:textId="1D9EE27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20.5–30.0</w:t>
            </w:r>
          </w:p>
        </w:tc>
        <w:tc>
          <w:tcPr>
            <w:tcW w:w="841" w:type="dxa"/>
            <w:tcBorders>
              <w:top w:val="nil"/>
              <w:left w:val="nil"/>
              <w:bottom w:val="single" w:sz="4" w:space="0" w:color="auto"/>
              <w:right w:val="single" w:sz="4" w:space="0" w:color="auto"/>
            </w:tcBorders>
            <w:shd w:val="clear" w:color="auto" w:fill="auto"/>
            <w:noWrap/>
            <w:vAlign w:val="center"/>
          </w:tcPr>
          <w:p w14:paraId="7BECA896" w14:textId="7362890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26.2</w:t>
            </w:r>
          </w:p>
        </w:tc>
        <w:tc>
          <w:tcPr>
            <w:tcW w:w="1126" w:type="dxa"/>
            <w:tcBorders>
              <w:top w:val="nil"/>
              <w:left w:val="nil"/>
              <w:bottom w:val="single" w:sz="4" w:space="0" w:color="auto"/>
              <w:right w:val="single" w:sz="4" w:space="0" w:color="auto"/>
            </w:tcBorders>
            <w:shd w:val="clear" w:color="auto" w:fill="auto"/>
            <w:noWrap/>
            <w:vAlign w:val="center"/>
          </w:tcPr>
          <w:p w14:paraId="410C77E8" w14:textId="262ED7C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23.1</w:t>
            </w:r>
          </w:p>
        </w:tc>
        <w:tc>
          <w:tcPr>
            <w:tcW w:w="850" w:type="dxa"/>
            <w:tcBorders>
              <w:top w:val="nil"/>
              <w:left w:val="nil"/>
              <w:bottom w:val="single" w:sz="4" w:space="0" w:color="auto"/>
              <w:right w:val="single" w:sz="4" w:space="0" w:color="auto"/>
            </w:tcBorders>
            <w:shd w:val="clear" w:color="auto" w:fill="auto"/>
            <w:vAlign w:val="center"/>
          </w:tcPr>
          <w:p w14:paraId="1660CB09" w14:textId="6E190D9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27.8</w:t>
            </w:r>
          </w:p>
        </w:tc>
        <w:tc>
          <w:tcPr>
            <w:tcW w:w="1295" w:type="dxa"/>
            <w:tcBorders>
              <w:top w:val="nil"/>
              <w:left w:val="nil"/>
              <w:bottom w:val="single" w:sz="4" w:space="0" w:color="auto"/>
              <w:right w:val="single" w:sz="4" w:space="0" w:color="auto"/>
            </w:tcBorders>
            <w:shd w:val="clear" w:color="auto" w:fill="auto"/>
            <w:noWrap/>
            <w:vAlign w:val="center"/>
          </w:tcPr>
          <w:p w14:paraId="1A59E440" w14:textId="522A3B7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94.5</w:t>
            </w:r>
          </w:p>
        </w:tc>
        <w:tc>
          <w:tcPr>
            <w:tcW w:w="1173" w:type="dxa"/>
            <w:tcBorders>
              <w:top w:val="nil"/>
              <w:left w:val="nil"/>
              <w:bottom w:val="single" w:sz="4" w:space="0" w:color="auto"/>
              <w:right w:val="single" w:sz="4" w:space="0" w:color="auto"/>
            </w:tcBorders>
            <w:shd w:val="clear" w:color="auto" w:fill="auto"/>
            <w:noWrap/>
            <w:vAlign w:val="center"/>
          </w:tcPr>
          <w:p w14:paraId="059625C6" w14:textId="3937D1F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53.7</w:t>
            </w:r>
          </w:p>
        </w:tc>
      </w:tr>
    </w:tbl>
    <w:p w14:paraId="41F2B6C4" w14:textId="77777777" w:rsidR="0081233E" w:rsidRPr="008C72D8" w:rsidRDefault="0081233E" w:rsidP="0078703F">
      <w:pPr>
        <w:spacing w:line="240" w:lineRule="auto"/>
      </w:pPr>
    </w:p>
    <w:tbl>
      <w:tblPr>
        <w:tblW w:w="11321" w:type="dxa"/>
        <w:jc w:val="center"/>
        <w:tblCellMar>
          <w:left w:w="70" w:type="dxa"/>
          <w:right w:w="70" w:type="dxa"/>
        </w:tblCellMar>
        <w:tblLook w:val="04A0" w:firstRow="1" w:lastRow="0" w:firstColumn="1" w:lastColumn="0" w:noHBand="0" w:noVBand="1"/>
      </w:tblPr>
      <w:tblGrid>
        <w:gridCol w:w="801"/>
        <w:gridCol w:w="3357"/>
        <w:gridCol w:w="896"/>
        <w:gridCol w:w="1044"/>
        <w:gridCol w:w="841"/>
        <w:gridCol w:w="1126"/>
        <w:gridCol w:w="788"/>
        <w:gridCol w:w="1295"/>
        <w:gridCol w:w="1173"/>
      </w:tblGrid>
      <w:tr w:rsidR="00810B7C" w:rsidRPr="008C72D8" w14:paraId="4C23BFF8" w14:textId="77777777" w:rsidTr="0024082E">
        <w:trPr>
          <w:trHeight w:val="298"/>
          <w:tblHeader/>
          <w:jc w:val="center"/>
        </w:trPr>
        <w:tc>
          <w:tcPr>
            <w:tcW w:w="11321" w:type="dxa"/>
            <w:gridSpan w:val="9"/>
            <w:tcBorders>
              <w:top w:val="nil"/>
              <w:left w:val="nil"/>
              <w:bottom w:val="single" w:sz="4" w:space="0" w:color="auto"/>
              <w:right w:val="nil"/>
            </w:tcBorders>
            <w:shd w:val="clear" w:color="auto" w:fill="auto"/>
            <w:vAlign w:val="center"/>
            <w:hideMark/>
          </w:tcPr>
          <w:p w14:paraId="0F41032E" w14:textId="59BD20E6" w:rsidR="00810B7C" w:rsidRPr="008C72D8" w:rsidRDefault="0024082E" w:rsidP="0078703F">
            <w:pPr>
              <w:spacing w:line="240" w:lineRule="auto"/>
              <w:jc w:val="center"/>
              <w:rPr>
                <w:rFonts w:ascii="Calibri" w:eastAsia="Times New Roman" w:hAnsi="Calibri" w:cs="Calibri"/>
                <w:b/>
                <w:bCs/>
                <w:color w:val="000000"/>
                <w:sz w:val="20"/>
                <w:szCs w:val="20"/>
                <w:lang w:eastAsia="es-MX"/>
              </w:rPr>
            </w:pPr>
            <w:r w:rsidRPr="008C72D8">
              <w:rPr>
                <w:rFonts w:ascii="Calibri" w:eastAsia="Times New Roman" w:hAnsi="Calibri" w:cs="Calibri"/>
                <w:b/>
                <w:bCs/>
                <w:color w:val="000000"/>
                <w:sz w:val="20"/>
                <w:szCs w:val="20"/>
                <w:lang w:eastAsia="es-MX"/>
              </w:rPr>
              <w:t>Tabla 11</w:t>
            </w:r>
            <w:r w:rsidR="00810B7C" w:rsidRPr="008C72D8">
              <w:rPr>
                <w:rFonts w:ascii="Calibri" w:eastAsia="Times New Roman" w:hAnsi="Calibri" w:cs="Calibri"/>
                <w:b/>
                <w:bCs/>
                <w:color w:val="000000"/>
                <w:sz w:val="20"/>
                <w:szCs w:val="20"/>
                <w:lang w:eastAsia="es-MX"/>
              </w:rPr>
              <w:t xml:space="preserve">. Posición de las universidades iberoamericanas </w:t>
            </w:r>
            <w:r w:rsidR="0072387E">
              <w:rPr>
                <w:rFonts w:ascii="Calibri" w:eastAsia="Times New Roman" w:hAnsi="Calibri" w:cs="Calibri"/>
                <w:b/>
                <w:bCs/>
                <w:color w:val="000000"/>
                <w:sz w:val="20"/>
                <w:szCs w:val="20"/>
                <w:lang w:eastAsia="es-MX"/>
              </w:rPr>
              <w:t xml:space="preserve">en el TOP 10 </w:t>
            </w:r>
            <w:r w:rsidR="00810B7C" w:rsidRPr="008C72D8">
              <w:rPr>
                <w:rFonts w:ascii="Calibri" w:eastAsia="Times New Roman" w:hAnsi="Calibri" w:cs="Calibri"/>
                <w:b/>
                <w:bCs/>
                <w:color w:val="000000"/>
                <w:sz w:val="20"/>
                <w:szCs w:val="20"/>
                <w:lang w:eastAsia="es-MX"/>
              </w:rPr>
              <w:t xml:space="preserve">del ranking </w:t>
            </w:r>
            <w:r w:rsidR="0081233E" w:rsidRPr="008C72D8">
              <w:rPr>
                <w:rFonts w:ascii="Calibri" w:eastAsia="Times New Roman" w:hAnsi="Calibri" w:cs="Calibri"/>
                <w:b/>
                <w:bCs/>
                <w:color w:val="000000"/>
                <w:sz w:val="20"/>
                <w:szCs w:val="20"/>
                <w:lang w:eastAsia="es-MX"/>
              </w:rPr>
              <w:t xml:space="preserve">THE en el área de </w:t>
            </w:r>
            <w:r w:rsidR="00810B7C" w:rsidRPr="008C72D8">
              <w:rPr>
                <w:rFonts w:ascii="Calibri" w:eastAsia="Times New Roman" w:hAnsi="Calibri" w:cs="Calibri"/>
                <w:b/>
                <w:bCs/>
                <w:color w:val="000000"/>
                <w:sz w:val="20"/>
                <w:szCs w:val="20"/>
                <w:lang w:eastAsia="es-MX"/>
              </w:rPr>
              <w:t>Ingeniería y Tecnología, 2020.</w:t>
            </w:r>
          </w:p>
        </w:tc>
      </w:tr>
      <w:tr w:rsidR="00810B7C" w:rsidRPr="008C72D8" w14:paraId="254045A4" w14:textId="77777777" w:rsidTr="0072387E">
        <w:trPr>
          <w:trHeight w:val="477"/>
          <w:tblHeader/>
          <w:jc w:val="center"/>
        </w:trPr>
        <w:tc>
          <w:tcPr>
            <w:tcW w:w="801" w:type="dxa"/>
            <w:tcBorders>
              <w:top w:val="nil"/>
              <w:left w:val="single" w:sz="4" w:space="0" w:color="auto"/>
              <w:bottom w:val="single" w:sz="4" w:space="0" w:color="auto"/>
              <w:right w:val="single" w:sz="4" w:space="0" w:color="auto"/>
            </w:tcBorders>
            <w:shd w:val="clear" w:color="000000" w:fill="BDD6EE"/>
            <w:vAlign w:val="center"/>
            <w:hideMark/>
          </w:tcPr>
          <w:p w14:paraId="12887925"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Posición</w:t>
            </w:r>
          </w:p>
        </w:tc>
        <w:tc>
          <w:tcPr>
            <w:tcW w:w="3357" w:type="dxa"/>
            <w:tcBorders>
              <w:top w:val="nil"/>
              <w:left w:val="nil"/>
              <w:bottom w:val="single" w:sz="4" w:space="0" w:color="auto"/>
              <w:right w:val="single" w:sz="4" w:space="0" w:color="auto"/>
            </w:tcBorders>
            <w:shd w:val="clear" w:color="000000" w:fill="BDD6EE"/>
            <w:vAlign w:val="center"/>
            <w:hideMark/>
          </w:tcPr>
          <w:p w14:paraId="189C3113"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Institución</w:t>
            </w:r>
          </w:p>
        </w:tc>
        <w:tc>
          <w:tcPr>
            <w:tcW w:w="896" w:type="dxa"/>
            <w:tcBorders>
              <w:top w:val="nil"/>
              <w:left w:val="nil"/>
              <w:bottom w:val="single" w:sz="4" w:space="0" w:color="auto"/>
              <w:right w:val="single" w:sz="4" w:space="0" w:color="auto"/>
            </w:tcBorders>
            <w:shd w:val="clear" w:color="000000" w:fill="BDD6EE"/>
            <w:vAlign w:val="center"/>
            <w:hideMark/>
          </w:tcPr>
          <w:p w14:paraId="3B1354F5"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País</w:t>
            </w:r>
          </w:p>
        </w:tc>
        <w:tc>
          <w:tcPr>
            <w:tcW w:w="1044" w:type="dxa"/>
            <w:tcBorders>
              <w:top w:val="nil"/>
              <w:left w:val="nil"/>
              <w:bottom w:val="single" w:sz="4" w:space="0" w:color="auto"/>
              <w:right w:val="single" w:sz="4" w:space="0" w:color="auto"/>
            </w:tcBorders>
            <w:shd w:val="clear" w:color="000000" w:fill="BDD6EE"/>
            <w:vAlign w:val="center"/>
            <w:hideMark/>
          </w:tcPr>
          <w:p w14:paraId="6FAF178A"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Puntaje General</w:t>
            </w:r>
          </w:p>
        </w:tc>
        <w:tc>
          <w:tcPr>
            <w:tcW w:w="841" w:type="dxa"/>
            <w:tcBorders>
              <w:top w:val="nil"/>
              <w:left w:val="nil"/>
              <w:bottom w:val="single" w:sz="4" w:space="0" w:color="auto"/>
              <w:right w:val="single" w:sz="4" w:space="0" w:color="auto"/>
            </w:tcBorders>
            <w:shd w:val="clear" w:color="000000" w:fill="BDD6EE"/>
            <w:vAlign w:val="center"/>
            <w:hideMark/>
          </w:tcPr>
          <w:p w14:paraId="2B26EF7D"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 xml:space="preserve">Docencia </w:t>
            </w:r>
          </w:p>
        </w:tc>
        <w:tc>
          <w:tcPr>
            <w:tcW w:w="1126" w:type="dxa"/>
            <w:tcBorders>
              <w:top w:val="nil"/>
              <w:left w:val="nil"/>
              <w:bottom w:val="single" w:sz="4" w:space="0" w:color="auto"/>
              <w:right w:val="single" w:sz="4" w:space="0" w:color="auto"/>
            </w:tcBorders>
            <w:shd w:val="clear" w:color="000000" w:fill="BDD6EE"/>
            <w:vAlign w:val="center"/>
            <w:hideMark/>
          </w:tcPr>
          <w:p w14:paraId="0FBE46AF"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Investigación</w:t>
            </w:r>
          </w:p>
        </w:tc>
        <w:tc>
          <w:tcPr>
            <w:tcW w:w="788" w:type="dxa"/>
            <w:tcBorders>
              <w:top w:val="nil"/>
              <w:left w:val="nil"/>
              <w:bottom w:val="single" w:sz="4" w:space="0" w:color="auto"/>
              <w:right w:val="single" w:sz="4" w:space="0" w:color="auto"/>
            </w:tcBorders>
            <w:shd w:val="clear" w:color="000000" w:fill="BDD6EE"/>
            <w:vAlign w:val="center"/>
            <w:hideMark/>
          </w:tcPr>
          <w:p w14:paraId="11AA6ADD"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Citas</w:t>
            </w:r>
          </w:p>
        </w:tc>
        <w:tc>
          <w:tcPr>
            <w:tcW w:w="1295" w:type="dxa"/>
            <w:tcBorders>
              <w:top w:val="nil"/>
              <w:left w:val="nil"/>
              <w:bottom w:val="single" w:sz="4" w:space="0" w:color="auto"/>
              <w:right w:val="single" w:sz="4" w:space="0" w:color="auto"/>
            </w:tcBorders>
            <w:shd w:val="clear" w:color="000000" w:fill="BDD6EE"/>
            <w:vAlign w:val="center"/>
            <w:hideMark/>
          </w:tcPr>
          <w:p w14:paraId="51D2581B"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 xml:space="preserve">Financiamiento de la industria </w:t>
            </w:r>
          </w:p>
        </w:tc>
        <w:tc>
          <w:tcPr>
            <w:tcW w:w="1173" w:type="dxa"/>
            <w:tcBorders>
              <w:top w:val="nil"/>
              <w:left w:val="nil"/>
              <w:bottom w:val="single" w:sz="4" w:space="0" w:color="auto"/>
              <w:right w:val="single" w:sz="4" w:space="0" w:color="auto"/>
            </w:tcBorders>
            <w:shd w:val="clear" w:color="000000" w:fill="BDD6EE"/>
            <w:vAlign w:val="center"/>
            <w:hideMark/>
          </w:tcPr>
          <w:p w14:paraId="0D8AEA04"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Perspectiva internacional</w:t>
            </w:r>
          </w:p>
        </w:tc>
      </w:tr>
      <w:tr w:rsidR="0072387E" w:rsidRPr="0072387E" w14:paraId="79C6BA98"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DBC622C" w14:textId="1147403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126–150</w:t>
            </w:r>
          </w:p>
        </w:tc>
        <w:tc>
          <w:tcPr>
            <w:tcW w:w="3357" w:type="dxa"/>
            <w:tcBorders>
              <w:top w:val="nil"/>
              <w:left w:val="nil"/>
              <w:bottom w:val="single" w:sz="4" w:space="0" w:color="auto"/>
              <w:right w:val="single" w:sz="4" w:space="0" w:color="auto"/>
            </w:tcBorders>
            <w:shd w:val="clear" w:color="auto" w:fill="auto"/>
            <w:noWrap/>
            <w:vAlign w:val="center"/>
          </w:tcPr>
          <w:p w14:paraId="2F0EF14D" w14:textId="75780919"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Pompeu Fabra</w:t>
            </w:r>
          </w:p>
        </w:tc>
        <w:tc>
          <w:tcPr>
            <w:tcW w:w="896" w:type="dxa"/>
            <w:tcBorders>
              <w:top w:val="nil"/>
              <w:left w:val="nil"/>
              <w:bottom w:val="single" w:sz="4" w:space="0" w:color="auto"/>
              <w:right w:val="single" w:sz="4" w:space="0" w:color="auto"/>
            </w:tcBorders>
            <w:shd w:val="clear" w:color="auto" w:fill="auto"/>
            <w:vAlign w:val="center"/>
          </w:tcPr>
          <w:p w14:paraId="6B4BDD1A" w14:textId="1901F2F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586E2F3F" w14:textId="7AD3341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47.8–50.4</w:t>
            </w:r>
          </w:p>
        </w:tc>
        <w:tc>
          <w:tcPr>
            <w:tcW w:w="841" w:type="dxa"/>
            <w:tcBorders>
              <w:top w:val="nil"/>
              <w:left w:val="nil"/>
              <w:bottom w:val="single" w:sz="4" w:space="0" w:color="auto"/>
              <w:right w:val="single" w:sz="4" w:space="0" w:color="auto"/>
            </w:tcBorders>
            <w:shd w:val="clear" w:color="auto" w:fill="auto"/>
            <w:noWrap/>
            <w:vAlign w:val="center"/>
          </w:tcPr>
          <w:p w14:paraId="16176705" w14:textId="1381427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26.7</w:t>
            </w:r>
          </w:p>
        </w:tc>
        <w:tc>
          <w:tcPr>
            <w:tcW w:w="1126" w:type="dxa"/>
            <w:tcBorders>
              <w:top w:val="nil"/>
              <w:left w:val="nil"/>
              <w:bottom w:val="single" w:sz="4" w:space="0" w:color="auto"/>
              <w:right w:val="single" w:sz="4" w:space="0" w:color="auto"/>
            </w:tcBorders>
            <w:shd w:val="clear" w:color="auto" w:fill="auto"/>
            <w:noWrap/>
            <w:vAlign w:val="center"/>
          </w:tcPr>
          <w:p w14:paraId="1AD7EA35" w14:textId="60DEFA5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17.1</w:t>
            </w:r>
          </w:p>
        </w:tc>
        <w:tc>
          <w:tcPr>
            <w:tcW w:w="788" w:type="dxa"/>
            <w:tcBorders>
              <w:top w:val="nil"/>
              <w:left w:val="nil"/>
              <w:bottom w:val="single" w:sz="4" w:space="0" w:color="auto"/>
              <w:right w:val="single" w:sz="4" w:space="0" w:color="auto"/>
            </w:tcBorders>
            <w:shd w:val="clear" w:color="auto" w:fill="auto"/>
            <w:vAlign w:val="center"/>
          </w:tcPr>
          <w:p w14:paraId="6840C05A" w14:textId="653696C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99.6</w:t>
            </w:r>
          </w:p>
        </w:tc>
        <w:tc>
          <w:tcPr>
            <w:tcW w:w="1295" w:type="dxa"/>
            <w:tcBorders>
              <w:top w:val="nil"/>
              <w:left w:val="nil"/>
              <w:bottom w:val="single" w:sz="4" w:space="0" w:color="auto"/>
              <w:right w:val="single" w:sz="4" w:space="0" w:color="auto"/>
            </w:tcBorders>
            <w:shd w:val="clear" w:color="auto" w:fill="auto"/>
            <w:noWrap/>
            <w:vAlign w:val="center"/>
          </w:tcPr>
          <w:p w14:paraId="17203961" w14:textId="7A43FCF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51.3</w:t>
            </w:r>
          </w:p>
        </w:tc>
        <w:tc>
          <w:tcPr>
            <w:tcW w:w="1173" w:type="dxa"/>
            <w:tcBorders>
              <w:top w:val="nil"/>
              <w:left w:val="nil"/>
              <w:bottom w:val="single" w:sz="4" w:space="0" w:color="auto"/>
              <w:right w:val="single" w:sz="4" w:space="0" w:color="auto"/>
            </w:tcBorders>
            <w:shd w:val="clear" w:color="auto" w:fill="auto"/>
            <w:noWrap/>
            <w:vAlign w:val="center"/>
          </w:tcPr>
          <w:p w14:paraId="4A45FB4E" w14:textId="1D4D001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67.3</w:t>
            </w:r>
          </w:p>
        </w:tc>
      </w:tr>
      <w:tr w:rsidR="0072387E" w:rsidRPr="0072387E" w14:paraId="5835B91D"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57F16290" w14:textId="2E09B3E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201–250</w:t>
            </w:r>
          </w:p>
        </w:tc>
        <w:tc>
          <w:tcPr>
            <w:tcW w:w="3357" w:type="dxa"/>
            <w:tcBorders>
              <w:top w:val="nil"/>
              <w:left w:val="nil"/>
              <w:bottom w:val="single" w:sz="4" w:space="0" w:color="auto"/>
              <w:right w:val="single" w:sz="4" w:space="0" w:color="auto"/>
            </w:tcBorders>
            <w:shd w:val="clear" w:color="000000" w:fill="E7E6E6"/>
            <w:noWrap/>
            <w:vAlign w:val="center"/>
          </w:tcPr>
          <w:p w14:paraId="625F0634" w14:textId="454738D9"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Autónoma de Barcelona</w:t>
            </w:r>
          </w:p>
        </w:tc>
        <w:tc>
          <w:tcPr>
            <w:tcW w:w="896" w:type="dxa"/>
            <w:tcBorders>
              <w:top w:val="nil"/>
              <w:left w:val="nil"/>
              <w:bottom w:val="single" w:sz="4" w:space="0" w:color="auto"/>
              <w:right w:val="single" w:sz="4" w:space="0" w:color="auto"/>
            </w:tcBorders>
            <w:shd w:val="clear" w:color="000000" w:fill="E7E6E6"/>
            <w:vAlign w:val="center"/>
          </w:tcPr>
          <w:p w14:paraId="727DD533" w14:textId="585CC2C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6068FD56" w14:textId="79AA613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41.2–44.3</w:t>
            </w:r>
          </w:p>
        </w:tc>
        <w:tc>
          <w:tcPr>
            <w:tcW w:w="841" w:type="dxa"/>
            <w:tcBorders>
              <w:top w:val="nil"/>
              <w:left w:val="nil"/>
              <w:bottom w:val="single" w:sz="4" w:space="0" w:color="auto"/>
              <w:right w:val="single" w:sz="4" w:space="0" w:color="auto"/>
            </w:tcBorders>
            <w:shd w:val="clear" w:color="000000" w:fill="E7E6E6"/>
            <w:noWrap/>
            <w:vAlign w:val="center"/>
          </w:tcPr>
          <w:p w14:paraId="36CBB72A" w14:textId="185FF83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23</w:t>
            </w:r>
          </w:p>
        </w:tc>
        <w:tc>
          <w:tcPr>
            <w:tcW w:w="1126" w:type="dxa"/>
            <w:tcBorders>
              <w:top w:val="nil"/>
              <w:left w:val="nil"/>
              <w:bottom w:val="single" w:sz="4" w:space="0" w:color="auto"/>
              <w:right w:val="single" w:sz="4" w:space="0" w:color="auto"/>
            </w:tcBorders>
            <w:shd w:val="clear" w:color="000000" w:fill="E7E6E6"/>
            <w:noWrap/>
            <w:vAlign w:val="center"/>
          </w:tcPr>
          <w:p w14:paraId="403EA7D1" w14:textId="34C1EDE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25.4</w:t>
            </w:r>
          </w:p>
        </w:tc>
        <w:tc>
          <w:tcPr>
            <w:tcW w:w="788" w:type="dxa"/>
            <w:tcBorders>
              <w:top w:val="nil"/>
              <w:left w:val="nil"/>
              <w:bottom w:val="single" w:sz="4" w:space="0" w:color="auto"/>
              <w:right w:val="single" w:sz="4" w:space="0" w:color="auto"/>
            </w:tcBorders>
            <w:shd w:val="clear" w:color="000000" w:fill="E7E6E6"/>
            <w:vAlign w:val="center"/>
          </w:tcPr>
          <w:p w14:paraId="3EB8C36F" w14:textId="0ECFCEC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74.2</w:t>
            </w:r>
          </w:p>
        </w:tc>
        <w:tc>
          <w:tcPr>
            <w:tcW w:w="1295" w:type="dxa"/>
            <w:tcBorders>
              <w:top w:val="nil"/>
              <w:left w:val="nil"/>
              <w:bottom w:val="single" w:sz="4" w:space="0" w:color="auto"/>
              <w:right w:val="single" w:sz="4" w:space="0" w:color="auto"/>
            </w:tcBorders>
            <w:shd w:val="clear" w:color="000000" w:fill="E7E6E6"/>
            <w:noWrap/>
            <w:vAlign w:val="center"/>
          </w:tcPr>
          <w:p w14:paraId="512E503E" w14:textId="553C22F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48</w:t>
            </w:r>
          </w:p>
        </w:tc>
        <w:tc>
          <w:tcPr>
            <w:tcW w:w="1173" w:type="dxa"/>
            <w:tcBorders>
              <w:top w:val="nil"/>
              <w:left w:val="nil"/>
              <w:bottom w:val="single" w:sz="4" w:space="0" w:color="auto"/>
              <w:right w:val="single" w:sz="4" w:space="0" w:color="auto"/>
            </w:tcBorders>
            <w:shd w:val="clear" w:color="000000" w:fill="E7E6E6"/>
            <w:noWrap/>
            <w:vAlign w:val="center"/>
          </w:tcPr>
          <w:p w14:paraId="78C928F8" w14:textId="7F16884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71.7</w:t>
            </w:r>
          </w:p>
        </w:tc>
      </w:tr>
      <w:tr w:rsidR="0072387E" w:rsidRPr="0072387E" w14:paraId="66148CAC"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00B73AA" w14:textId="1E76826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251–300</w:t>
            </w:r>
          </w:p>
        </w:tc>
        <w:tc>
          <w:tcPr>
            <w:tcW w:w="3357" w:type="dxa"/>
            <w:tcBorders>
              <w:top w:val="nil"/>
              <w:left w:val="nil"/>
              <w:bottom w:val="single" w:sz="4" w:space="0" w:color="auto"/>
              <w:right w:val="single" w:sz="4" w:space="0" w:color="auto"/>
            </w:tcBorders>
            <w:shd w:val="clear" w:color="auto" w:fill="auto"/>
            <w:noWrap/>
            <w:vAlign w:val="center"/>
          </w:tcPr>
          <w:p w14:paraId="72610A56" w14:textId="437674D3"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Politécnica de Cataluña</w:t>
            </w:r>
          </w:p>
        </w:tc>
        <w:tc>
          <w:tcPr>
            <w:tcW w:w="896" w:type="dxa"/>
            <w:tcBorders>
              <w:top w:val="nil"/>
              <w:left w:val="nil"/>
              <w:bottom w:val="single" w:sz="4" w:space="0" w:color="auto"/>
              <w:right w:val="single" w:sz="4" w:space="0" w:color="auto"/>
            </w:tcBorders>
            <w:shd w:val="clear" w:color="auto" w:fill="auto"/>
            <w:vAlign w:val="center"/>
          </w:tcPr>
          <w:p w14:paraId="0FD66D52" w14:textId="326CABB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302CA1CE" w14:textId="0E03E53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38.9–41.1</w:t>
            </w:r>
          </w:p>
        </w:tc>
        <w:tc>
          <w:tcPr>
            <w:tcW w:w="841" w:type="dxa"/>
            <w:tcBorders>
              <w:top w:val="nil"/>
              <w:left w:val="nil"/>
              <w:bottom w:val="single" w:sz="4" w:space="0" w:color="auto"/>
              <w:right w:val="single" w:sz="4" w:space="0" w:color="auto"/>
            </w:tcBorders>
            <w:shd w:val="clear" w:color="auto" w:fill="auto"/>
            <w:noWrap/>
            <w:vAlign w:val="center"/>
          </w:tcPr>
          <w:p w14:paraId="3B482C76" w14:textId="467C699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31.3</w:t>
            </w:r>
          </w:p>
        </w:tc>
        <w:tc>
          <w:tcPr>
            <w:tcW w:w="1126" w:type="dxa"/>
            <w:tcBorders>
              <w:top w:val="nil"/>
              <w:left w:val="nil"/>
              <w:bottom w:val="single" w:sz="4" w:space="0" w:color="auto"/>
              <w:right w:val="single" w:sz="4" w:space="0" w:color="auto"/>
            </w:tcBorders>
            <w:shd w:val="clear" w:color="auto" w:fill="auto"/>
            <w:noWrap/>
            <w:vAlign w:val="center"/>
          </w:tcPr>
          <w:p w14:paraId="5ADE6F6D" w14:textId="2DEC533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24.8</w:t>
            </w:r>
          </w:p>
        </w:tc>
        <w:tc>
          <w:tcPr>
            <w:tcW w:w="788" w:type="dxa"/>
            <w:tcBorders>
              <w:top w:val="nil"/>
              <w:left w:val="nil"/>
              <w:bottom w:val="single" w:sz="4" w:space="0" w:color="auto"/>
              <w:right w:val="single" w:sz="4" w:space="0" w:color="auto"/>
            </w:tcBorders>
            <w:shd w:val="clear" w:color="auto" w:fill="auto"/>
            <w:vAlign w:val="center"/>
          </w:tcPr>
          <w:p w14:paraId="22658A28" w14:textId="5E418B7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59.4</w:t>
            </w:r>
          </w:p>
        </w:tc>
        <w:tc>
          <w:tcPr>
            <w:tcW w:w="1295" w:type="dxa"/>
            <w:tcBorders>
              <w:top w:val="nil"/>
              <w:left w:val="nil"/>
              <w:bottom w:val="single" w:sz="4" w:space="0" w:color="auto"/>
              <w:right w:val="single" w:sz="4" w:space="0" w:color="auto"/>
            </w:tcBorders>
            <w:shd w:val="clear" w:color="auto" w:fill="auto"/>
            <w:noWrap/>
            <w:vAlign w:val="center"/>
          </w:tcPr>
          <w:p w14:paraId="2C71E70A" w14:textId="13906BA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37</w:t>
            </w:r>
          </w:p>
        </w:tc>
        <w:tc>
          <w:tcPr>
            <w:tcW w:w="1173" w:type="dxa"/>
            <w:tcBorders>
              <w:top w:val="nil"/>
              <w:left w:val="nil"/>
              <w:bottom w:val="single" w:sz="4" w:space="0" w:color="auto"/>
              <w:right w:val="single" w:sz="4" w:space="0" w:color="auto"/>
            </w:tcBorders>
            <w:shd w:val="clear" w:color="auto" w:fill="auto"/>
            <w:noWrap/>
            <w:vAlign w:val="center"/>
          </w:tcPr>
          <w:p w14:paraId="28B9418D" w14:textId="267F0FE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50.8</w:t>
            </w:r>
          </w:p>
        </w:tc>
      </w:tr>
      <w:tr w:rsidR="0072387E" w:rsidRPr="0072387E" w14:paraId="3DBC50AB"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3D658324" w14:textId="7392052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301–400</w:t>
            </w:r>
          </w:p>
        </w:tc>
        <w:tc>
          <w:tcPr>
            <w:tcW w:w="3357" w:type="dxa"/>
            <w:tcBorders>
              <w:top w:val="nil"/>
              <w:left w:val="nil"/>
              <w:bottom w:val="single" w:sz="4" w:space="0" w:color="auto"/>
              <w:right w:val="single" w:sz="4" w:space="0" w:color="auto"/>
            </w:tcBorders>
            <w:shd w:val="clear" w:color="000000" w:fill="E7E6E6"/>
            <w:noWrap/>
            <w:vAlign w:val="center"/>
          </w:tcPr>
          <w:p w14:paraId="7A64E20D" w14:textId="43DBB8A0"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Instituto Tecnológico y de Estudios Superiores de Monterrey</w:t>
            </w:r>
          </w:p>
        </w:tc>
        <w:tc>
          <w:tcPr>
            <w:tcW w:w="896" w:type="dxa"/>
            <w:tcBorders>
              <w:top w:val="nil"/>
              <w:left w:val="nil"/>
              <w:bottom w:val="single" w:sz="4" w:space="0" w:color="auto"/>
              <w:right w:val="single" w:sz="4" w:space="0" w:color="auto"/>
            </w:tcBorders>
            <w:shd w:val="clear" w:color="000000" w:fill="E7E6E6"/>
            <w:vAlign w:val="center"/>
          </w:tcPr>
          <w:p w14:paraId="0B411518" w14:textId="5F46B2D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México</w:t>
            </w:r>
          </w:p>
        </w:tc>
        <w:tc>
          <w:tcPr>
            <w:tcW w:w="1044" w:type="dxa"/>
            <w:tcBorders>
              <w:top w:val="nil"/>
              <w:left w:val="nil"/>
              <w:bottom w:val="single" w:sz="4" w:space="0" w:color="auto"/>
              <w:right w:val="single" w:sz="4" w:space="0" w:color="auto"/>
            </w:tcBorders>
            <w:shd w:val="clear" w:color="000000" w:fill="E7E6E6"/>
            <w:noWrap/>
            <w:vAlign w:val="center"/>
          </w:tcPr>
          <w:p w14:paraId="5AD303AC" w14:textId="3648688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34.7–38.7</w:t>
            </w:r>
          </w:p>
        </w:tc>
        <w:tc>
          <w:tcPr>
            <w:tcW w:w="841" w:type="dxa"/>
            <w:tcBorders>
              <w:top w:val="nil"/>
              <w:left w:val="nil"/>
              <w:bottom w:val="single" w:sz="4" w:space="0" w:color="auto"/>
              <w:right w:val="single" w:sz="4" w:space="0" w:color="auto"/>
            </w:tcBorders>
            <w:shd w:val="clear" w:color="000000" w:fill="E7E6E6"/>
            <w:noWrap/>
            <w:vAlign w:val="center"/>
          </w:tcPr>
          <w:p w14:paraId="6C40C209" w14:textId="12DDFAC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17.5</w:t>
            </w:r>
          </w:p>
        </w:tc>
        <w:tc>
          <w:tcPr>
            <w:tcW w:w="1126" w:type="dxa"/>
            <w:tcBorders>
              <w:top w:val="nil"/>
              <w:left w:val="nil"/>
              <w:bottom w:val="single" w:sz="4" w:space="0" w:color="auto"/>
              <w:right w:val="single" w:sz="4" w:space="0" w:color="auto"/>
            </w:tcBorders>
            <w:shd w:val="clear" w:color="000000" w:fill="E7E6E6"/>
            <w:noWrap/>
            <w:vAlign w:val="center"/>
          </w:tcPr>
          <w:p w14:paraId="0B60CA56" w14:textId="68E9621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19.4</w:t>
            </w:r>
          </w:p>
        </w:tc>
        <w:tc>
          <w:tcPr>
            <w:tcW w:w="788" w:type="dxa"/>
            <w:tcBorders>
              <w:top w:val="nil"/>
              <w:left w:val="nil"/>
              <w:bottom w:val="single" w:sz="4" w:space="0" w:color="auto"/>
              <w:right w:val="single" w:sz="4" w:space="0" w:color="auto"/>
            </w:tcBorders>
            <w:shd w:val="clear" w:color="000000" w:fill="E7E6E6"/>
            <w:vAlign w:val="center"/>
          </w:tcPr>
          <w:p w14:paraId="1B3EEA7C" w14:textId="5C647A4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58.7</w:t>
            </w:r>
          </w:p>
        </w:tc>
        <w:tc>
          <w:tcPr>
            <w:tcW w:w="1295" w:type="dxa"/>
            <w:tcBorders>
              <w:top w:val="nil"/>
              <w:left w:val="nil"/>
              <w:bottom w:val="single" w:sz="4" w:space="0" w:color="auto"/>
              <w:right w:val="single" w:sz="4" w:space="0" w:color="auto"/>
            </w:tcBorders>
            <w:shd w:val="clear" w:color="000000" w:fill="E7E6E6"/>
            <w:noWrap/>
            <w:vAlign w:val="center"/>
          </w:tcPr>
          <w:p w14:paraId="57B65516" w14:textId="15B4981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95.7</w:t>
            </w:r>
          </w:p>
        </w:tc>
        <w:tc>
          <w:tcPr>
            <w:tcW w:w="1173" w:type="dxa"/>
            <w:tcBorders>
              <w:top w:val="nil"/>
              <w:left w:val="nil"/>
              <w:bottom w:val="single" w:sz="4" w:space="0" w:color="auto"/>
              <w:right w:val="single" w:sz="4" w:space="0" w:color="auto"/>
            </w:tcBorders>
            <w:shd w:val="clear" w:color="000000" w:fill="E7E6E6"/>
            <w:noWrap/>
            <w:vAlign w:val="center"/>
          </w:tcPr>
          <w:p w14:paraId="08EB161F" w14:textId="4C3A919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55.7</w:t>
            </w:r>
          </w:p>
        </w:tc>
      </w:tr>
      <w:tr w:rsidR="0072387E" w:rsidRPr="0072387E" w14:paraId="28440B90"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C6F8CCE" w14:textId="7DEFA69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lastRenderedPageBreak/>
              <w:t>301–400</w:t>
            </w:r>
          </w:p>
        </w:tc>
        <w:tc>
          <w:tcPr>
            <w:tcW w:w="3357" w:type="dxa"/>
            <w:tcBorders>
              <w:top w:val="nil"/>
              <w:left w:val="nil"/>
              <w:bottom w:val="single" w:sz="4" w:space="0" w:color="auto"/>
              <w:right w:val="single" w:sz="4" w:space="0" w:color="auto"/>
            </w:tcBorders>
            <w:shd w:val="clear" w:color="auto" w:fill="auto"/>
            <w:noWrap/>
            <w:vAlign w:val="center"/>
          </w:tcPr>
          <w:p w14:paraId="5E79AF20" w14:textId="6DD6E829"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Barcelona</w:t>
            </w:r>
          </w:p>
        </w:tc>
        <w:tc>
          <w:tcPr>
            <w:tcW w:w="896" w:type="dxa"/>
            <w:tcBorders>
              <w:top w:val="nil"/>
              <w:left w:val="nil"/>
              <w:bottom w:val="single" w:sz="4" w:space="0" w:color="auto"/>
              <w:right w:val="single" w:sz="4" w:space="0" w:color="auto"/>
            </w:tcBorders>
            <w:shd w:val="clear" w:color="auto" w:fill="auto"/>
            <w:vAlign w:val="center"/>
          </w:tcPr>
          <w:p w14:paraId="7D4034DD" w14:textId="6895701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2339051D" w14:textId="47FA24A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34.7–38.7</w:t>
            </w:r>
          </w:p>
        </w:tc>
        <w:tc>
          <w:tcPr>
            <w:tcW w:w="841" w:type="dxa"/>
            <w:tcBorders>
              <w:top w:val="nil"/>
              <w:left w:val="nil"/>
              <w:bottom w:val="single" w:sz="4" w:space="0" w:color="auto"/>
              <w:right w:val="single" w:sz="4" w:space="0" w:color="auto"/>
            </w:tcBorders>
            <w:shd w:val="clear" w:color="auto" w:fill="auto"/>
            <w:noWrap/>
            <w:vAlign w:val="center"/>
          </w:tcPr>
          <w:p w14:paraId="5D85E2B4" w14:textId="625D160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27.5</w:t>
            </w:r>
          </w:p>
        </w:tc>
        <w:tc>
          <w:tcPr>
            <w:tcW w:w="1126" w:type="dxa"/>
            <w:tcBorders>
              <w:top w:val="nil"/>
              <w:left w:val="nil"/>
              <w:bottom w:val="single" w:sz="4" w:space="0" w:color="auto"/>
              <w:right w:val="single" w:sz="4" w:space="0" w:color="auto"/>
            </w:tcBorders>
            <w:shd w:val="clear" w:color="auto" w:fill="auto"/>
            <w:noWrap/>
            <w:vAlign w:val="center"/>
          </w:tcPr>
          <w:p w14:paraId="745703EE" w14:textId="2821D71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22.6</w:t>
            </w:r>
          </w:p>
        </w:tc>
        <w:tc>
          <w:tcPr>
            <w:tcW w:w="788" w:type="dxa"/>
            <w:tcBorders>
              <w:top w:val="nil"/>
              <w:left w:val="nil"/>
              <w:bottom w:val="single" w:sz="4" w:space="0" w:color="auto"/>
              <w:right w:val="single" w:sz="4" w:space="0" w:color="auto"/>
            </w:tcBorders>
            <w:shd w:val="clear" w:color="auto" w:fill="auto"/>
            <w:vAlign w:val="center"/>
          </w:tcPr>
          <w:p w14:paraId="493EBAEB" w14:textId="3545661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52.4</w:t>
            </w:r>
          </w:p>
        </w:tc>
        <w:tc>
          <w:tcPr>
            <w:tcW w:w="1295" w:type="dxa"/>
            <w:tcBorders>
              <w:top w:val="nil"/>
              <w:left w:val="nil"/>
              <w:bottom w:val="single" w:sz="4" w:space="0" w:color="auto"/>
              <w:right w:val="single" w:sz="4" w:space="0" w:color="auto"/>
            </w:tcBorders>
            <w:shd w:val="clear" w:color="auto" w:fill="auto"/>
            <w:noWrap/>
            <w:vAlign w:val="center"/>
          </w:tcPr>
          <w:p w14:paraId="0695B426" w14:textId="42699CC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38.8</w:t>
            </w:r>
          </w:p>
        </w:tc>
        <w:tc>
          <w:tcPr>
            <w:tcW w:w="1173" w:type="dxa"/>
            <w:tcBorders>
              <w:top w:val="nil"/>
              <w:left w:val="nil"/>
              <w:bottom w:val="single" w:sz="4" w:space="0" w:color="auto"/>
              <w:right w:val="single" w:sz="4" w:space="0" w:color="auto"/>
            </w:tcBorders>
            <w:shd w:val="clear" w:color="auto" w:fill="auto"/>
            <w:noWrap/>
            <w:vAlign w:val="center"/>
          </w:tcPr>
          <w:p w14:paraId="382CC310" w14:textId="68B048C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57</w:t>
            </w:r>
          </w:p>
        </w:tc>
      </w:tr>
      <w:tr w:rsidR="0072387E" w:rsidRPr="0072387E" w14:paraId="2C89A56D"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557C697B" w14:textId="4DE49C8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301–400</w:t>
            </w:r>
          </w:p>
        </w:tc>
        <w:tc>
          <w:tcPr>
            <w:tcW w:w="3357" w:type="dxa"/>
            <w:tcBorders>
              <w:top w:val="nil"/>
              <w:left w:val="nil"/>
              <w:bottom w:val="single" w:sz="4" w:space="0" w:color="auto"/>
              <w:right w:val="single" w:sz="4" w:space="0" w:color="auto"/>
            </w:tcBorders>
            <w:shd w:val="clear" w:color="000000" w:fill="E7E6E6"/>
            <w:noWrap/>
            <w:vAlign w:val="center"/>
          </w:tcPr>
          <w:p w14:paraId="20E7692E" w14:textId="56560DFB"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Beira Interior</w:t>
            </w:r>
          </w:p>
        </w:tc>
        <w:tc>
          <w:tcPr>
            <w:tcW w:w="896" w:type="dxa"/>
            <w:tcBorders>
              <w:top w:val="nil"/>
              <w:left w:val="nil"/>
              <w:bottom w:val="single" w:sz="4" w:space="0" w:color="auto"/>
              <w:right w:val="single" w:sz="4" w:space="0" w:color="auto"/>
            </w:tcBorders>
            <w:shd w:val="clear" w:color="000000" w:fill="E7E6E6"/>
            <w:vAlign w:val="center"/>
          </w:tcPr>
          <w:p w14:paraId="68BAC6DA" w14:textId="3E634AB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Portugal</w:t>
            </w:r>
          </w:p>
        </w:tc>
        <w:tc>
          <w:tcPr>
            <w:tcW w:w="1044" w:type="dxa"/>
            <w:tcBorders>
              <w:top w:val="nil"/>
              <w:left w:val="nil"/>
              <w:bottom w:val="single" w:sz="4" w:space="0" w:color="auto"/>
              <w:right w:val="single" w:sz="4" w:space="0" w:color="auto"/>
            </w:tcBorders>
            <w:shd w:val="clear" w:color="000000" w:fill="E7E6E6"/>
            <w:noWrap/>
            <w:vAlign w:val="center"/>
          </w:tcPr>
          <w:p w14:paraId="606B7B6D" w14:textId="023579D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34.7–38.7</w:t>
            </w:r>
          </w:p>
        </w:tc>
        <w:tc>
          <w:tcPr>
            <w:tcW w:w="841" w:type="dxa"/>
            <w:tcBorders>
              <w:top w:val="nil"/>
              <w:left w:val="nil"/>
              <w:bottom w:val="single" w:sz="4" w:space="0" w:color="auto"/>
              <w:right w:val="single" w:sz="4" w:space="0" w:color="auto"/>
            </w:tcBorders>
            <w:shd w:val="clear" w:color="000000" w:fill="E7E6E6"/>
            <w:noWrap/>
            <w:vAlign w:val="center"/>
          </w:tcPr>
          <w:p w14:paraId="166AE376" w14:textId="588EF0A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16.5</w:t>
            </w:r>
          </w:p>
        </w:tc>
        <w:tc>
          <w:tcPr>
            <w:tcW w:w="1126" w:type="dxa"/>
            <w:tcBorders>
              <w:top w:val="nil"/>
              <w:left w:val="nil"/>
              <w:bottom w:val="single" w:sz="4" w:space="0" w:color="auto"/>
              <w:right w:val="single" w:sz="4" w:space="0" w:color="auto"/>
            </w:tcBorders>
            <w:shd w:val="clear" w:color="000000" w:fill="E7E6E6"/>
            <w:noWrap/>
            <w:vAlign w:val="center"/>
          </w:tcPr>
          <w:p w14:paraId="1DA4D7B2" w14:textId="7EB363E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14.3</w:t>
            </w:r>
          </w:p>
        </w:tc>
        <w:tc>
          <w:tcPr>
            <w:tcW w:w="788" w:type="dxa"/>
            <w:tcBorders>
              <w:top w:val="nil"/>
              <w:left w:val="nil"/>
              <w:bottom w:val="single" w:sz="4" w:space="0" w:color="auto"/>
              <w:right w:val="single" w:sz="4" w:space="0" w:color="auto"/>
            </w:tcBorders>
            <w:shd w:val="clear" w:color="000000" w:fill="E7E6E6"/>
            <w:vAlign w:val="center"/>
          </w:tcPr>
          <w:p w14:paraId="57F3997C" w14:textId="430C83F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82</w:t>
            </w:r>
          </w:p>
        </w:tc>
        <w:tc>
          <w:tcPr>
            <w:tcW w:w="1295" w:type="dxa"/>
            <w:tcBorders>
              <w:top w:val="nil"/>
              <w:left w:val="nil"/>
              <w:bottom w:val="single" w:sz="4" w:space="0" w:color="auto"/>
              <w:right w:val="single" w:sz="4" w:space="0" w:color="auto"/>
            </w:tcBorders>
            <w:shd w:val="clear" w:color="000000" w:fill="E7E6E6"/>
            <w:noWrap/>
            <w:vAlign w:val="center"/>
          </w:tcPr>
          <w:p w14:paraId="37541160" w14:textId="522F55B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32.3</w:t>
            </w:r>
          </w:p>
        </w:tc>
        <w:tc>
          <w:tcPr>
            <w:tcW w:w="1173" w:type="dxa"/>
            <w:tcBorders>
              <w:top w:val="nil"/>
              <w:left w:val="nil"/>
              <w:bottom w:val="single" w:sz="4" w:space="0" w:color="auto"/>
              <w:right w:val="single" w:sz="4" w:space="0" w:color="auto"/>
            </w:tcBorders>
            <w:shd w:val="clear" w:color="000000" w:fill="E7E6E6"/>
            <w:noWrap/>
            <w:vAlign w:val="center"/>
          </w:tcPr>
          <w:p w14:paraId="2F2B55DC" w14:textId="7CF78BF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55.3</w:t>
            </w:r>
          </w:p>
        </w:tc>
      </w:tr>
      <w:tr w:rsidR="0072387E" w:rsidRPr="0072387E" w14:paraId="49B6FFD5"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379C0B88" w14:textId="3FC2728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301–400</w:t>
            </w:r>
          </w:p>
        </w:tc>
        <w:tc>
          <w:tcPr>
            <w:tcW w:w="3357" w:type="dxa"/>
            <w:tcBorders>
              <w:top w:val="nil"/>
              <w:left w:val="nil"/>
              <w:bottom w:val="single" w:sz="4" w:space="0" w:color="auto"/>
              <w:right w:val="single" w:sz="4" w:space="0" w:color="auto"/>
            </w:tcBorders>
            <w:shd w:val="clear" w:color="auto" w:fill="auto"/>
            <w:noWrap/>
            <w:vAlign w:val="center"/>
          </w:tcPr>
          <w:p w14:paraId="78733E70" w14:textId="21B17EFD"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Girona</w:t>
            </w:r>
          </w:p>
        </w:tc>
        <w:tc>
          <w:tcPr>
            <w:tcW w:w="896" w:type="dxa"/>
            <w:tcBorders>
              <w:top w:val="nil"/>
              <w:left w:val="nil"/>
              <w:bottom w:val="single" w:sz="4" w:space="0" w:color="auto"/>
              <w:right w:val="single" w:sz="4" w:space="0" w:color="auto"/>
            </w:tcBorders>
            <w:shd w:val="clear" w:color="auto" w:fill="auto"/>
            <w:vAlign w:val="center"/>
          </w:tcPr>
          <w:p w14:paraId="782F4D50" w14:textId="31617BB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49B5F55E" w14:textId="03D4D49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34.7–38.7</w:t>
            </w:r>
          </w:p>
        </w:tc>
        <w:tc>
          <w:tcPr>
            <w:tcW w:w="841" w:type="dxa"/>
            <w:tcBorders>
              <w:top w:val="nil"/>
              <w:left w:val="nil"/>
              <w:bottom w:val="single" w:sz="4" w:space="0" w:color="auto"/>
              <w:right w:val="single" w:sz="4" w:space="0" w:color="auto"/>
            </w:tcBorders>
            <w:shd w:val="clear" w:color="auto" w:fill="auto"/>
            <w:noWrap/>
            <w:vAlign w:val="center"/>
          </w:tcPr>
          <w:p w14:paraId="6492E200" w14:textId="16ED1B1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14.7</w:t>
            </w:r>
          </w:p>
        </w:tc>
        <w:tc>
          <w:tcPr>
            <w:tcW w:w="1126" w:type="dxa"/>
            <w:tcBorders>
              <w:top w:val="nil"/>
              <w:left w:val="nil"/>
              <w:bottom w:val="single" w:sz="4" w:space="0" w:color="auto"/>
              <w:right w:val="single" w:sz="4" w:space="0" w:color="auto"/>
            </w:tcBorders>
            <w:shd w:val="clear" w:color="auto" w:fill="auto"/>
            <w:noWrap/>
            <w:vAlign w:val="center"/>
          </w:tcPr>
          <w:p w14:paraId="71F50572" w14:textId="2134566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10.6</w:t>
            </w:r>
          </w:p>
        </w:tc>
        <w:tc>
          <w:tcPr>
            <w:tcW w:w="788" w:type="dxa"/>
            <w:tcBorders>
              <w:top w:val="nil"/>
              <w:left w:val="nil"/>
              <w:bottom w:val="single" w:sz="4" w:space="0" w:color="auto"/>
              <w:right w:val="single" w:sz="4" w:space="0" w:color="auto"/>
            </w:tcBorders>
            <w:shd w:val="clear" w:color="auto" w:fill="auto"/>
            <w:vAlign w:val="center"/>
          </w:tcPr>
          <w:p w14:paraId="5FDED262" w14:textId="6FE4B27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82.2</w:t>
            </w:r>
          </w:p>
        </w:tc>
        <w:tc>
          <w:tcPr>
            <w:tcW w:w="1295" w:type="dxa"/>
            <w:tcBorders>
              <w:top w:val="nil"/>
              <w:left w:val="nil"/>
              <w:bottom w:val="single" w:sz="4" w:space="0" w:color="auto"/>
              <w:right w:val="single" w:sz="4" w:space="0" w:color="auto"/>
            </w:tcBorders>
            <w:shd w:val="clear" w:color="auto" w:fill="auto"/>
            <w:noWrap/>
            <w:vAlign w:val="center"/>
          </w:tcPr>
          <w:p w14:paraId="0239F011" w14:textId="339E9C4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35.1</w:t>
            </w:r>
          </w:p>
        </w:tc>
        <w:tc>
          <w:tcPr>
            <w:tcW w:w="1173" w:type="dxa"/>
            <w:tcBorders>
              <w:top w:val="nil"/>
              <w:left w:val="nil"/>
              <w:bottom w:val="single" w:sz="4" w:space="0" w:color="auto"/>
              <w:right w:val="single" w:sz="4" w:space="0" w:color="auto"/>
            </w:tcBorders>
            <w:shd w:val="clear" w:color="auto" w:fill="auto"/>
            <w:noWrap/>
            <w:vAlign w:val="center"/>
          </w:tcPr>
          <w:p w14:paraId="03BB7653" w14:textId="66DD1F2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52.8</w:t>
            </w:r>
          </w:p>
        </w:tc>
      </w:tr>
      <w:tr w:rsidR="0072387E" w:rsidRPr="0072387E" w14:paraId="53FE56F1"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0C816943" w14:textId="4C02496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301–400</w:t>
            </w:r>
          </w:p>
        </w:tc>
        <w:tc>
          <w:tcPr>
            <w:tcW w:w="3357" w:type="dxa"/>
            <w:tcBorders>
              <w:top w:val="nil"/>
              <w:left w:val="nil"/>
              <w:bottom w:val="single" w:sz="4" w:space="0" w:color="auto"/>
              <w:right w:val="single" w:sz="4" w:space="0" w:color="auto"/>
            </w:tcBorders>
            <w:shd w:val="clear" w:color="000000" w:fill="E7E6E6"/>
            <w:noWrap/>
            <w:vAlign w:val="center"/>
          </w:tcPr>
          <w:p w14:paraId="5BAFE031" w14:textId="0EC6F3E0"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Granada</w:t>
            </w:r>
          </w:p>
        </w:tc>
        <w:tc>
          <w:tcPr>
            <w:tcW w:w="896" w:type="dxa"/>
            <w:tcBorders>
              <w:top w:val="nil"/>
              <w:left w:val="nil"/>
              <w:bottom w:val="single" w:sz="4" w:space="0" w:color="auto"/>
              <w:right w:val="single" w:sz="4" w:space="0" w:color="auto"/>
            </w:tcBorders>
            <w:shd w:val="clear" w:color="000000" w:fill="E7E6E6"/>
            <w:vAlign w:val="center"/>
          </w:tcPr>
          <w:p w14:paraId="0538A221" w14:textId="01868AB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68B075CC" w14:textId="2184DDC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34.7–38.7</w:t>
            </w:r>
          </w:p>
        </w:tc>
        <w:tc>
          <w:tcPr>
            <w:tcW w:w="841" w:type="dxa"/>
            <w:tcBorders>
              <w:top w:val="nil"/>
              <w:left w:val="nil"/>
              <w:bottom w:val="single" w:sz="4" w:space="0" w:color="auto"/>
              <w:right w:val="single" w:sz="4" w:space="0" w:color="auto"/>
            </w:tcBorders>
            <w:shd w:val="clear" w:color="000000" w:fill="E7E6E6"/>
            <w:noWrap/>
            <w:vAlign w:val="center"/>
          </w:tcPr>
          <w:p w14:paraId="54A3FA96" w14:textId="013E18A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13.5</w:t>
            </w:r>
          </w:p>
        </w:tc>
        <w:tc>
          <w:tcPr>
            <w:tcW w:w="1126" w:type="dxa"/>
            <w:tcBorders>
              <w:top w:val="nil"/>
              <w:left w:val="nil"/>
              <w:bottom w:val="single" w:sz="4" w:space="0" w:color="auto"/>
              <w:right w:val="single" w:sz="4" w:space="0" w:color="auto"/>
            </w:tcBorders>
            <w:shd w:val="clear" w:color="000000" w:fill="E7E6E6"/>
            <w:noWrap/>
            <w:vAlign w:val="center"/>
          </w:tcPr>
          <w:p w14:paraId="31D1206A" w14:textId="46459F5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19.1</w:t>
            </w:r>
          </w:p>
        </w:tc>
        <w:tc>
          <w:tcPr>
            <w:tcW w:w="788" w:type="dxa"/>
            <w:tcBorders>
              <w:top w:val="nil"/>
              <w:left w:val="nil"/>
              <w:bottom w:val="single" w:sz="4" w:space="0" w:color="auto"/>
              <w:right w:val="single" w:sz="4" w:space="0" w:color="auto"/>
            </w:tcBorders>
            <w:shd w:val="clear" w:color="000000" w:fill="E7E6E6"/>
            <w:vAlign w:val="center"/>
          </w:tcPr>
          <w:p w14:paraId="3ED546C5" w14:textId="77FDCF4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72.5</w:t>
            </w:r>
          </w:p>
        </w:tc>
        <w:tc>
          <w:tcPr>
            <w:tcW w:w="1295" w:type="dxa"/>
            <w:tcBorders>
              <w:top w:val="nil"/>
              <w:left w:val="nil"/>
              <w:bottom w:val="single" w:sz="4" w:space="0" w:color="auto"/>
              <w:right w:val="single" w:sz="4" w:space="0" w:color="auto"/>
            </w:tcBorders>
            <w:shd w:val="clear" w:color="000000" w:fill="E7E6E6"/>
            <w:noWrap/>
            <w:vAlign w:val="center"/>
          </w:tcPr>
          <w:p w14:paraId="1708B941" w14:textId="5F0623F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36.8</w:t>
            </w:r>
          </w:p>
        </w:tc>
        <w:tc>
          <w:tcPr>
            <w:tcW w:w="1173" w:type="dxa"/>
            <w:tcBorders>
              <w:top w:val="nil"/>
              <w:left w:val="nil"/>
              <w:bottom w:val="single" w:sz="4" w:space="0" w:color="auto"/>
              <w:right w:val="single" w:sz="4" w:space="0" w:color="auto"/>
            </w:tcBorders>
            <w:shd w:val="clear" w:color="000000" w:fill="E7E6E6"/>
            <w:noWrap/>
            <w:vAlign w:val="center"/>
          </w:tcPr>
          <w:p w14:paraId="44B7A33E" w14:textId="099DE1A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43.5</w:t>
            </w:r>
          </w:p>
        </w:tc>
      </w:tr>
      <w:tr w:rsidR="0072387E" w:rsidRPr="0072387E" w14:paraId="78AB3F06"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F5A3816" w14:textId="08E62B8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301–400</w:t>
            </w:r>
          </w:p>
        </w:tc>
        <w:tc>
          <w:tcPr>
            <w:tcW w:w="3357" w:type="dxa"/>
            <w:tcBorders>
              <w:top w:val="nil"/>
              <w:left w:val="nil"/>
              <w:bottom w:val="single" w:sz="4" w:space="0" w:color="auto"/>
              <w:right w:val="single" w:sz="4" w:space="0" w:color="auto"/>
            </w:tcBorders>
            <w:shd w:val="clear" w:color="auto" w:fill="auto"/>
            <w:noWrap/>
            <w:vAlign w:val="center"/>
          </w:tcPr>
          <w:p w14:paraId="23268A59" w14:textId="01213A9B"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Lérida</w:t>
            </w:r>
          </w:p>
        </w:tc>
        <w:tc>
          <w:tcPr>
            <w:tcW w:w="896" w:type="dxa"/>
            <w:tcBorders>
              <w:top w:val="nil"/>
              <w:left w:val="nil"/>
              <w:bottom w:val="single" w:sz="4" w:space="0" w:color="auto"/>
              <w:right w:val="single" w:sz="4" w:space="0" w:color="auto"/>
            </w:tcBorders>
            <w:shd w:val="clear" w:color="auto" w:fill="auto"/>
            <w:vAlign w:val="center"/>
          </w:tcPr>
          <w:p w14:paraId="18963075" w14:textId="72D20E3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54CDADDA" w14:textId="7F795AB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34.7–38.7</w:t>
            </w:r>
          </w:p>
        </w:tc>
        <w:tc>
          <w:tcPr>
            <w:tcW w:w="841" w:type="dxa"/>
            <w:tcBorders>
              <w:top w:val="nil"/>
              <w:left w:val="nil"/>
              <w:bottom w:val="single" w:sz="4" w:space="0" w:color="auto"/>
              <w:right w:val="single" w:sz="4" w:space="0" w:color="auto"/>
            </w:tcBorders>
            <w:shd w:val="clear" w:color="auto" w:fill="auto"/>
            <w:noWrap/>
            <w:vAlign w:val="center"/>
          </w:tcPr>
          <w:p w14:paraId="71936A9F" w14:textId="6D9AA73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20.3</w:t>
            </w:r>
          </w:p>
        </w:tc>
        <w:tc>
          <w:tcPr>
            <w:tcW w:w="1126" w:type="dxa"/>
            <w:tcBorders>
              <w:top w:val="nil"/>
              <w:left w:val="nil"/>
              <w:bottom w:val="single" w:sz="4" w:space="0" w:color="auto"/>
              <w:right w:val="single" w:sz="4" w:space="0" w:color="auto"/>
            </w:tcBorders>
            <w:shd w:val="clear" w:color="auto" w:fill="auto"/>
            <w:noWrap/>
            <w:vAlign w:val="center"/>
          </w:tcPr>
          <w:p w14:paraId="3F6E3B37" w14:textId="610D45B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16.1</w:t>
            </w:r>
          </w:p>
        </w:tc>
        <w:tc>
          <w:tcPr>
            <w:tcW w:w="788" w:type="dxa"/>
            <w:tcBorders>
              <w:top w:val="nil"/>
              <w:left w:val="nil"/>
              <w:bottom w:val="single" w:sz="4" w:space="0" w:color="auto"/>
              <w:right w:val="single" w:sz="4" w:space="0" w:color="auto"/>
            </w:tcBorders>
            <w:shd w:val="clear" w:color="auto" w:fill="auto"/>
            <w:vAlign w:val="center"/>
          </w:tcPr>
          <w:p w14:paraId="02E284BA" w14:textId="55375C0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70.3</w:t>
            </w:r>
          </w:p>
        </w:tc>
        <w:tc>
          <w:tcPr>
            <w:tcW w:w="1295" w:type="dxa"/>
            <w:tcBorders>
              <w:top w:val="nil"/>
              <w:left w:val="nil"/>
              <w:bottom w:val="single" w:sz="4" w:space="0" w:color="auto"/>
              <w:right w:val="single" w:sz="4" w:space="0" w:color="auto"/>
            </w:tcBorders>
            <w:shd w:val="clear" w:color="auto" w:fill="auto"/>
            <w:noWrap/>
            <w:vAlign w:val="center"/>
          </w:tcPr>
          <w:p w14:paraId="470A7B95" w14:textId="47D1A83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34.1</w:t>
            </w:r>
          </w:p>
        </w:tc>
        <w:tc>
          <w:tcPr>
            <w:tcW w:w="1173" w:type="dxa"/>
            <w:tcBorders>
              <w:top w:val="nil"/>
              <w:left w:val="nil"/>
              <w:bottom w:val="single" w:sz="4" w:space="0" w:color="auto"/>
              <w:right w:val="single" w:sz="4" w:space="0" w:color="auto"/>
            </w:tcBorders>
            <w:shd w:val="clear" w:color="auto" w:fill="auto"/>
            <w:noWrap/>
            <w:vAlign w:val="center"/>
          </w:tcPr>
          <w:p w14:paraId="7833DCD1" w14:textId="512F50F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43.2</w:t>
            </w:r>
          </w:p>
        </w:tc>
      </w:tr>
      <w:tr w:rsidR="0072387E" w:rsidRPr="0072387E" w14:paraId="7411F7B7"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5C9DC82F" w14:textId="1F42382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301–400</w:t>
            </w:r>
          </w:p>
        </w:tc>
        <w:tc>
          <w:tcPr>
            <w:tcW w:w="3357" w:type="dxa"/>
            <w:tcBorders>
              <w:top w:val="nil"/>
              <w:left w:val="nil"/>
              <w:bottom w:val="single" w:sz="4" w:space="0" w:color="auto"/>
              <w:right w:val="single" w:sz="4" w:space="0" w:color="auto"/>
            </w:tcBorders>
            <w:shd w:val="clear" w:color="000000" w:fill="E7E6E6"/>
            <w:noWrap/>
            <w:vAlign w:val="center"/>
          </w:tcPr>
          <w:p w14:paraId="2C15886B" w14:textId="4A6FEB08"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Oporto</w:t>
            </w:r>
          </w:p>
        </w:tc>
        <w:tc>
          <w:tcPr>
            <w:tcW w:w="896" w:type="dxa"/>
            <w:tcBorders>
              <w:top w:val="nil"/>
              <w:left w:val="nil"/>
              <w:bottom w:val="single" w:sz="4" w:space="0" w:color="auto"/>
              <w:right w:val="single" w:sz="4" w:space="0" w:color="auto"/>
            </w:tcBorders>
            <w:shd w:val="clear" w:color="000000" w:fill="E7E6E6"/>
            <w:vAlign w:val="center"/>
          </w:tcPr>
          <w:p w14:paraId="511F4670" w14:textId="42986FB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Portugal</w:t>
            </w:r>
          </w:p>
        </w:tc>
        <w:tc>
          <w:tcPr>
            <w:tcW w:w="1044" w:type="dxa"/>
            <w:tcBorders>
              <w:top w:val="nil"/>
              <w:left w:val="nil"/>
              <w:bottom w:val="single" w:sz="4" w:space="0" w:color="auto"/>
              <w:right w:val="single" w:sz="4" w:space="0" w:color="auto"/>
            </w:tcBorders>
            <w:shd w:val="clear" w:color="000000" w:fill="E7E6E6"/>
            <w:noWrap/>
            <w:vAlign w:val="center"/>
          </w:tcPr>
          <w:p w14:paraId="37DE2129" w14:textId="6D02A93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34.7–38.7</w:t>
            </w:r>
          </w:p>
        </w:tc>
        <w:tc>
          <w:tcPr>
            <w:tcW w:w="841" w:type="dxa"/>
            <w:tcBorders>
              <w:top w:val="nil"/>
              <w:left w:val="nil"/>
              <w:bottom w:val="single" w:sz="4" w:space="0" w:color="auto"/>
              <w:right w:val="single" w:sz="4" w:space="0" w:color="auto"/>
            </w:tcBorders>
            <w:shd w:val="clear" w:color="000000" w:fill="E7E6E6"/>
            <w:noWrap/>
            <w:vAlign w:val="center"/>
          </w:tcPr>
          <w:p w14:paraId="5FAB0001" w14:textId="1A22150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26.1</w:t>
            </w:r>
          </w:p>
        </w:tc>
        <w:tc>
          <w:tcPr>
            <w:tcW w:w="1126" w:type="dxa"/>
            <w:tcBorders>
              <w:top w:val="nil"/>
              <w:left w:val="nil"/>
              <w:bottom w:val="single" w:sz="4" w:space="0" w:color="auto"/>
              <w:right w:val="single" w:sz="4" w:space="0" w:color="auto"/>
            </w:tcBorders>
            <w:shd w:val="clear" w:color="000000" w:fill="E7E6E6"/>
            <w:noWrap/>
            <w:vAlign w:val="center"/>
          </w:tcPr>
          <w:p w14:paraId="3E2C0599" w14:textId="288E293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20.9</w:t>
            </w:r>
          </w:p>
        </w:tc>
        <w:tc>
          <w:tcPr>
            <w:tcW w:w="788" w:type="dxa"/>
            <w:tcBorders>
              <w:top w:val="nil"/>
              <w:left w:val="nil"/>
              <w:bottom w:val="single" w:sz="4" w:space="0" w:color="auto"/>
              <w:right w:val="single" w:sz="4" w:space="0" w:color="auto"/>
            </w:tcBorders>
            <w:shd w:val="clear" w:color="000000" w:fill="E7E6E6"/>
            <w:vAlign w:val="center"/>
          </w:tcPr>
          <w:p w14:paraId="39DF9340" w14:textId="70D074E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56.2</w:t>
            </w:r>
          </w:p>
        </w:tc>
        <w:tc>
          <w:tcPr>
            <w:tcW w:w="1295" w:type="dxa"/>
            <w:tcBorders>
              <w:top w:val="nil"/>
              <w:left w:val="nil"/>
              <w:bottom w:val="single" w:sz="4" w:space="0" w:color="auto"/>
              <w:right w:val="single" w:sz="4" w:space="0" w:color="auto"/>
            </w:tcBorders>
            <w:shd w:val="clear" w:color="000000" w:fill="E7E6E6"/>
            <w:noWrap/>
            <w:vAlign w:val="center"/>
          </w:tcPr>
          <w:p w14:paraId="5120E1D4" w14:textId="0822A6A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37.8</w:t>
            </w:r>
          </w:p>
        </w:tc>
        <w:tc>
          <w:tcPr>
            <w:tcW w:w="1173" w:type="dxa"/>
            <w:tcBorders>
              <w:top w:val="nil"/>
              <w:left w:val="nil"/>
              <w:bottom w:val="single" w:sz="4" w:space="0" w:color="auto"/>
              <w:right w:val="single" w:sz="4" w:space="0" w:color="auto"/>
            </w:tcBorders>
            <w:shd w:val="clear" w:color="000000" w:fill="E7E6E6"/>
            <w:noWrap/>
            <w:vAlign w:val="center"/>
          </w:tcPr>
          <w:p w14:paraId="75846B36" w14:textId="3460269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48.4</w:t>
            </w:r>
          </w:p>
        </w:tc>
      </w:tr>
      <w:tr w:rsidR="0072387E" w:rsidRPr="0072387E" w14:paraId="064CEF17"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059267B" w14:textId="53E5098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601–800</w:t>
            </w:r>
          </w:p>
        </w:tc>
        <w:tc>
          <w:tcPr>
            <w:tcW w:w="3357" w:type="dxa"/>
            <w:tcBorders>
              <w:top w:val="nil"/>
              <w:left w:val="nil"/>
              <w:bottom w:val="single" w:sz="4" w:space="0" w:color="auto"/>
              <w:right w:val="single" w:sz="4" w:space="0" w:color="auto"/>
            </w:tcBorders>
            <w:shd w:val="clear" w:color="auto" w:fill="auto"/>
            <w:noWrap/>
            <w:vAlign w:val="center"/>
          </w:tcPr>
          <w:p w14:paraId="27263864" w14:textId="14ABB8D2"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Nacional Autónoma de México</w:t>
            </w:r>
          </w:p>
        </w:tc>
        <w:tc>
          <w:tcPr>
            <w:tcW w:w="896" w:type="dxa"/>
            <w:tcBorders>
              <w:top w:val="nil"/>
              <w:left w:val="nil"/>
              <w:bottom w:val="single" w:sz="4" w:space="0" w:color="auto"/>
              <w:right w:val="single" w:sz="4" w:space="0" w:color="auto"/>
            </w:tcBorders>
            <w:shd w:val="clear" w:color="auto" w:fill="auto"/>
            <w:vAlign w:val="center"/>
          </w:tcPr>
          <w:p w14:paraId="004E29FA" w14:textId="1ADE17E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México</w:t>
            </w:r>
          </w:p>
        </w:tc>
        <w:tc>
          <w:tcPr>
            <w:tcW w:w="1044" w:type="dxa"/>
            <w:tcBorders>
              <w:top w:val="nil"/>
              <w:left w:val="nil"/>
              <w:bottom w:val="single" w:sz="4" w:space="0" w:color="auto"/>
              <w:right w:val="single" w:sz="4" w:space="0" w:color="auto"/>
            </w:tcBorders>
            <w:shd w:val="clear" w:color="auto" w:fill="auto"/>
            <w:noWrap/>
            <w:vAlign w:val="center"/>
          </w:tcPr>
          <w:p w14:paraId="51AD0089" w14:textId="5548851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18.5–26.8</w:t>
            </w:r>
          </w:p>
        </w:tc>
        <w:tc>
          <w:tcPr>
            <w:tcW w:w="841" w:type="dxa"/>
            <w:tcBorders>
              <w:top w:val="nil"/>
              <w:left w:val="nil"/>
              <w:bottom w:val="single" w:sz="4" w:space="0" w:color="auto"/>
              <w:right w:val="single" w:sz="4" w:space="0" w:color="auto"/>
            </w:tcBorders>
            <w:shd w:val="clear" w:color="auto" w:fill="auto"/>
            <w:noWrap/>
            <w:vAlign w:val="center"/>
          </w:tcPr>
          <w:p w14:paraId="74FA61C2" w14:textId="5A267A5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21.2</w:t>
            </w:r>
          </w:p>
        </w:tc>
        <w:tc>
          <w:tcPr>
            <w:tcW w:w="1126" w:type="dxa"/>
            <w:tcBorders>
              <w:top w:val="nil"/>
              <w:left w:val="nil"/>
              <w:bottom w:val="single" w:sz="4" w:space="0" w:color="auto"/>
              <w:right w:val="single" w:sz="4" w:space="0" w:color="auto"/>
            </w:tcBorders>
            <w:shd w:val="clear" w:color="auto" w:fill="auto"/>
            <w:noWrap/>
            <w:vAlign w:val="center"/>
          </w:tcPr>
          <w:p w14:paraId="44853D79" w14:textId="1130B4F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17.9</w:t>
            </w:r>
          </w:p>
        </w:tc>
        <w:tc>
          <w:tcPr>
            <w:tcW w:w="788" w:type="dxa"/>
            <w:tcBorders>
              <w:top w:val="nil"/>
              <w:left w:val="nil"/>
              <w:bottom w:val="single" w:sz="4" w:space="0" w:color="auto"/>
              <w:right w:val="single" w:sz="4" w:space="0" w:color="auto"/>
            </w:tcBorders>
            <w:shd w:val="clear" w:color="auto" w:fill="auto"/>
            <w:vAlign w:val="center"/>
          </w:tcPr>
          <w:p w14:paraId="4694174F" w14:textId="149B8BF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16.4</w:t>
            </w:r>
          </w:p>
        </w:tc>
        <w:tc>
          <w:tcPr>
            <w:tcW w:w="1295" w:type="dxa"/>
            <w:tcBorders>
              <w:top w:val="nil"/>
              <w:left w:val="nil"/>
              <w:bottom w:val="single" w:sz="4" w:space="0" w:color="auto"/>
              <w:right w:val="single" w:sz="4" w:space="0" w:color="auto"/>
            </w:tcBorders>
            <w:shd w:val="clear" w:color="auto" w:fill="auto"/>
            <w:noWrap/>
            <w:vAlign w:val="center"/>
          </w:tcPr>
          <w:p w14:paraId="3A4F0F0F" w14:textId="2E55AF4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63.4</w:t>
            </w:r>
          </w:p>
        </w:tc>
        <w:tc>
          <w:tcPr>
            <w:tcW w:w="1173" w:type="dxa"/>
            <w:tcBorders>
              <w:top w:val="nil"/>
              <w:left w:val="nil"/>
              <w:bottom w:val="single" w:sz="4" w:space="0" w:color="auto"/>
              <w:right w:val="single" w:sz="4" w:space="0" w:color="auto"/>
            </w:tcBorders>
            <w:shd w:val="clear" w:color="auto" w:fill="auto"/>
            <w:noWrap/>
            <w:vAlign w:val="center"/>
          </w:tcPr>
          <w:p w14:paraId="060198BB" w14:textId="28328FF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42.3</w:t>
            </w:r>
          </w:p>
        </w:tc>
      </w:tr>
    </w:tbl>
    <w:p w14:paraId="61808DC0" w14:textId="77777777" w:rsidR="0081233E" w:rsidRPr="008C72D8" w:rsidRDefault="0081233E" w:rsidP="0078703F">
      <w:pPr>
        <w:spacing w:line="240" w:lineRule="auto"/>
      </w:pPr>
    </w:p>
    <w:tbl>
      <w:tblPr>
        <w:tblW w:w="11321" w:type="dxa"/>
        <w:jc w:val="center"/>
        <w:tblCellMar>
          <w:left w:w="70" w:type="dxa"/>
          <w:right w:w="70" w:type="dxa"/>
        </w:tblCellMar>
        <w:tblLook w:val="04A0" w:firstRow="1" w:lastRow="0" w:firstColumn="1" w:lastColumn="0" w:noHBand="0" w:noVBand="1"/>
      </w:tblPr>
      <w:tblGrid>
        <w:gridCol w:w="801"/>
        <w:gridCol w:w="3357"/>
        <w:gridCol w:w="896"/>
        <w:gridCol w:w="1044"/>
        <w:gridCol w:w="841"/>
        <w:gridCol w:w="1126"/>
        <w:gridCol w:w="788"/>
        <w:gridCol w:w="1295"/>
        <w:gridCol w:w="1173"/>
      </w:tblGrid>
      <w:tr w:rsidR="00810B7C" w:rsidRPr="008C72D8" w14:paraId="0825561A" w14:textId="77777777" w:rsidTr="0081233E">
        <w:trPr>
          <w:trHeight w:val="298"/>
          <w:jc w:val="center"/>
        </w:trPr>
        <w:tc>
          <w:tcPr>
            <w:tcW w:w="11321" w:type="dxa"/>
            <w:gridSpan w:val="9"/>
            <w:tcBorders>
              <w:top w:val="nil"/>
              <w:left w:val="nil"/>
              <w:bottom w:val="single" w:sz="4" w:space="0" w:color="auto"/>
              <w:right w:val="nil"/>
            </w:tcBorders>
            <w:shd w:val="clear" w:color="auto" w:fill="auto"/>
            <w:vAlign w:val="center"/>
            <w:hideMark/>
          </w:tcPr>
          <w:p w14:paraId="44E7B55C" w14:textId="76FAA6AA" w:rsidR="00810B7C" w:rsidRPr="008C72D8" w:rsidRDefault="00810B7C" w:rsidP="0078703F">
            <w:pPr>
              <w:spacing w:line="240" w:lineRule="auto"/>
              <w:jc w:val="center"/>
              <w:rPr>
                <w:rFonts w:ascii="Calibri" w:eastAsia="Times New Roman" w:hAnsi="Calibri" w:cs="Calibri"/>
                <w:b/>
                <w:bCs/>
                <w:color w:val="000000"/>
                <w:sz w:val="20"/>
                <w:szCs w:val="20"/>
                <w:lang w:eastAsia="es-MX"/>
              </w:rPr>
            </w:pPr>
            <w:r w:rsidRPr="008C72D8">
              <w:rPr>
                <w:rFonts w:ascii="Calibri" w:eastAsia="Times New Roman" w:hAnsi="Calibri" w:cs="Calibri"/>
                <w:b/>
                <w:bCs/>
                <w:color w:val="000000"/>
                <w:sz w:val="20"/>
                <w:szCs w:val="20"/>
                <w:lang w:eastAsia="es-MX"/>
              </w:rPr>
              <w:t>Tabla 1</w:t>
            </w:r>
            <w:r w:rsidR="0024082E" w:rsidRPr="008C72D8">
              <w:rPr>
                <w:rFonts w:ascii="Calibri" w:eastAsia="Times New Roman" w:hAnsi="Calibri" w:cs="Calibri"/>
                <w:b/>
                <w:bCs/>
                <w:color w:val="000000"/>
                <w:sz w:val="20"/>
                <w:szCs w:val="20"/>
                <w:lang w:eastAsia="es-MX"/>
              </w:rPr>
              <w:t>2</w:t>
            </w:r>
            <w:r w:rsidRPr="008C72D8">
              <w:rPr>
                <w:rFonts w:ascii="Calibri" w:eastAsia="Times New Roman" w:hAnsi="Calibri" w:cs="Calibri"/>
                <w:b/>
                <w:bCs/>
                <w:color w:val="000000"/>
                <w:sz w:val="20"/>
                <w:szCs w:val="20"/>
                <w:lang w:eastAsia="es-MX"/>
              </w:rPr>
              <w:t xml:space="preserve">. Posición de las universidades iberoamericanas </w:t>
            </w:r>
            <w:r w:rsidR="0072387E">
              <w:rPr>
                <w:rFonts w:ascii="Calibri" w:eastAsia="Times New Roman" w:hAnsi="Calibri" w:cs="Calibri"/>
                <w:b/>
                <w:bCs/>
                <w:color w:val="000000"/>
                <w:sz w:val="20"/>
                <w:szCs w:val="20"/>
                <w:lang w:eastAsia="es-MX"/>
              </w:rPr>
              <w:t xml:space="preserve">en el TOP 10 </w:t>
            </w:r>
            <w:r w:rsidRPr="008C72D8">
              <w:rPr>
                <w:rFonts w:ascii="Calibri" w:eastAsia="Times New Roman" w:hAnsi="Calibri" w:cs="Calibri"/>
                <w:b/>
                <w:bCs/>
                <w:color w:val="000000"/>
                <w:sz w:val="20"/>
                <w:szCs w:val="20"/>
                <w:lang w:eastAsia="es-MX"/>
              </w:rPr>
              <w:t xml:space="preserve">del ranking </w:t>
            </w:r>
            <w:r w:rsidR="0081233E" w:rsidRPr="008C72D8">
              <w:rPr>
                <w:rFonts w:ascii="Calibri" w:eastAsia="Times New Roman" w:hAnsi="Calibri" w:cs="Calibri"/>
                <w:b/>
                <w:bCs/>
                <w:color w:val="000000"/>
                <w:sz w:val="20"/>
                <w:szCs w:val="20"/>
                <w:lang w:eastAsia="es-MX"/>
              </w:rPr>
              <w:t xml:space="preserve">THE en el área de </w:t>
            </w:r>
            <w:r w:rsidRPr="008C72D8">
              <w:rPr>
                <w:rFonts w:ascii="Calibri" w:eastAsia="Times New Roman" w:hAnsi="Calibri" w:cs="Calibri"/>
                <w:b/>
                <w:bCs/>
                <w:color w:val="000000"/>
                <w:sz w:val="20"/>
                <w:szCs w:val="20"/>
                <w:lang w:eastAsia="es-MX"/>
              </w:rPr>
              <w:t>Ciencias de la Computación, 2020.</w:t>
            </w:r>
          </w:p>
        </w:tc>
      </w:tr>
      <w:tr w:rsidR="00810B7C" w:rsidRPr="008C72D8" w14:paraId="1C4AC28D" w14:textId="77777777" w:rsidTr="0072387E">
        <w:trPr>
          <w:trHeight w:val="477"/>
          <w:jc w:val="center"/>
        </w:trPr>
        <w:tc>
          <w:tcPr>
            <w:tcW w:w="801" w:type="dxa"/>
            <w:tcBorders>
              <w:top w:val="nil"/>
              <w:left w:val="single" w:sz="4" w:space="0" w:color="auto"/>
              <w:bottom w:val="single" w:sz="4" w:space="0" w:color="auto"/>
              <w:right w:val="single" w:sz="4" w:space="0" w:color="auto"/>
            </w:tcBorders>
            <w:shd w:val="clear" w:color="000000" w:fill="BDD6EE"/>
            <w:vAlign w:val="center"/>
            <w:hideMark/>
          </w:tcPr>
          <w:p w14:paraId="1B64E875"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Posición</w:t>
            </w:r>
          </w:p>
        </w:tc>
        <w:tc>
          <w:tcPr>
            <w:tcW w:w="3357" w:type="dxa"/>
            <w:tcBorders>
              <w:top w:val="nil"/>
              <w:left w:val="nil"/>
              <w:bottom w:val="single" w:sz="4" w:space="0" w:color="auto"/>
              <w:right w:val="single" w:sz="4" w:space="0" w:color="auto"/>
            </w:tcBorders>
            <w:shd w:val="clear" w:color="auto" w:fill="BDD6EE" w:themeFill="accent1" w:themeFillTint="66"/>
            <w:vAlign w:val="center"/>
            <w:hideMark/>
          </w:tcPr>
          <w:p w14:paraId="09368F26"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Institución</w:t>
            </w:r>
          </w:p>
        </w:tc>
        <w:tc>
          <w:tcPr>
            <w:tcW w:w="896" w:type="dxa"/>
            <w:tcBorders>
              <w:top w:val="nil"/>
              <w:left w:val="nil"/>
              <w:bottom w:val="single" w:sz="4" w:space="0" w:color="auto"/>
              <w:right w:val="single" w:sz="4" w:space="0" w:color="auto"/>
            </w:tcBorders>
            <w:shd w:val="clear" w:color="000000" w:fill="BDD6EE"/>
            <w:vAlign w:val="center"/>
            <w:hideMark/>
          </w:tcPr>
          <w:p w14:paraId="0D1E5297"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País</w:t>
            </w:r>
          </w:p>
        </w:tc>
        <w:tc>
          <w:tcPr>
            <w:tcW w:w="1044" w:type="dxa"/>
            <w:tcBorders>
              <w:top w:val="nil"/>
              <w:left w:val="nil"/>
              <w:bottom w:val="single" w:sz="4" w:space="0" w:color="auto"/>
              <w:right w:val="single" w:sz="4" w:space="0" w:color="auto"/>
            </w:tcBorders>
            <w:shd w:val="clear" w:color="000000" w:fill="BDD6EE"/>
            <w:vAlign w:val="center"/>
            <w:hideMark/>
          </w:tcPr>
          <w:p w14:paraId="5F531DA8"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Puntaje General</w:t>
            </w:r>
          </w:p>
        </w:tc>
        <w:tc>
          <w:tcPr>
            <w:tcW w:w="841" w:type="dxa"/>
            <w:tcBorders>
              <w:top w:val="nil"/>
              <w:left w:val="nil"/>
              <w:bottom w:val="single" w:sz="4" w:space="0" w:color="auto"/>
              <w:right w:val="single" w:sz="4" w:space="0" w:color="auto"/>
            </w:tcBorders>
            <w:shd w:val="clear" w:color="000000" w:fill="BDD6EE"/>
            <w:vAlign w:val="center"/>
            <w:hideMark/>
          </w:tcPr>
          <w:p w14:paraId="12A595B8"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 xml:space="preserve">Docencia </w:t>
            </w:r>
          </w:p>
        </w:tc>
        <w:tc>
          <w:tcPr>
            <w:tcW w:w="1126" w:type="dxa"/>
            <w:tcBorders>
              <w:top w:val="nil"/>
              <w:left w:val="nil"/>
              <w:bottom w:val="single" w:sz="4" w:space="0" w:color="auto"/>
              <w:right w:val="single" w:sz="4" w:space="0" w:color="auto"/>
            </w:tcBorders>
            <w:shd w:val="clear" w:color="000000" w:fill="BDD6EE"/>
            <w:vAlign w:val="center"/>
            <w:hideMark/>
          </w:tcPr>
          <w:p w14:paraId="756D6598"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Investigación</w:t>
            </w:r>
          </w:p>
        </w:tc>
        <w:tc>
          <w:tcPr>
            <w:tcW w:w="788" w:type="dxa"/>
            <w:tcBorders>
              <w:top w:val="nil"/>
              <w:left w:val="nil"/>
              <w:bottom w:val="single" w:sz="4" w:space="0" w:color="auto"/>
              <w:right w:val="single" w:sz="4" w:space="0" w:color="auto"/>
            </w:tcBorders>
            <w:shd w:val="clear" w:color="000000" w:fill="BDD6EE"/>
            <w:vAlign w:val="center"/>
            <w:hideMark/>
          </w:tcPr>
          <w:p w14:paraId="00DF6971"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Citas</w:t>
            </w:r>
          </w:p>
        </w:tc>
        <w:tc>
          <w:tcPr>
            <w:tcW w:w="1295" w:type="dxa"/>
            <w:tcBorders>
              <w:top w:val="nil"/>
              <w:left w:val="nil"/>
              <w:bottom w:val="single" w:sz="4" w:space="0" w:color="auto"/>
              <w:right w:val="single" w:sz="4" w:space="0" w:color="auto"/>
            </w:tcBorders>
            <w:shd w:val="clear" w:color="000000" w:fill="BDD6EE"/>
            <w:vAlign w:val="center"/>
            <w:hideMark/>
          </w:tcPr>
          <w:p w14:paraId="15DCB2D9"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 xml:space="preserve">Financiamiento de la industria </w:t>
            </w:r>
          </w:p>
        </w:tc>
        <w:tc>
          <w:tcPr>
            <w:tcW w:w="1173" w:type="dxa"/>
            <w:tcBorders>
              <w:top w:val="nil"/>
              <w:left w:val="nil"/>
              <w:bottom w:val="single" w:sz="4" w:space="0" w:color="auto"/>
              <w:right w:val="single" w:sz="4" w:space="0" w:color="auto"/>
            </w:tcBorders>
            <w:shd w:val="clear" w:color="000000" w:fill="BDD6EE"/>
            <w:vAlign w:val="center"/>
            <w:hideMark/>
          </w:tcPr>
          <w:p w14:paraId="4EC5FB69" w14:textId="77777777" w:rsidR="00810B7C" w:rsidRPr="008C72D8" w:rsidRDefault="00810B7C"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Perspectiva internacional</w:t>
            </w:r>
          </w:p>
        </w:tc>
      </w:tr>
      <w:tr w:rsidR="0072387E" w:rsidRPr="008C72D8" w14:paraId="3382E807"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B165D75" w14:textId="6CC3097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201–250</w:t>
            </w:r>
          </w:p>
        </w:tc>
        <w:tc>
          <w:tcPr>
            <w:tcW w:w="3357" w:type="dxa"/>
            <w:tcBorders>
              <w:top w:val="nil"/>
              <w:left w:val="nil"/>
              <w:bottom w:val="single" w:sz="4" w:space="0" w:color="auto"/>
              <w:right w:val="single" w:sz="4" w:space="0" w:color="auto"/>
            </w:tcBorders>
            <w:shd w:val="clear" w:color="auto" w:fill="auto"/>
            <w:noWrap/>
            <w:vAlign w:val="center"/>
          </w:tcPr>
          <w:p w14:paraId="240C4139" w14:textId="114F15A4"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Granada</w:t>
            </w:r>
          </w:p>
        </w:tc>
        <w:tc>
          <w:tcPr>
            <w:tcW w:w="896" w:type="dxa"/>
            <w:tcBorders>
              <w:top w:val="nil"/>
              <w:left w:val="nil"/>
              <w:bottom w:val="single" w:sz="4" w:space="0" w:color="auto"/>
              <w:right w:val="single" w:sz="4" w:space="0" w:color="auto"/>
            </w:tcBorders>
            <w:shd w:val="clear" w:color="auto" w:fill="auto"/>
            <w:vAlign w:val="center"/>
          </w:tcPr>
          <w:p w14:paraId="052EFAF5" w14:textId="21FDEE5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765E34E9" w14:textId="25ADA7E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40.1–42.9</w:t>
            </w:r>
          </w:p>
        </w:tc>
        <w:tc>
          <w:tcPr>
            <w:tcW w:w="841" w:type="dxa"/>
            <w:tcBorders>
              <w:top w:val="nil"/>
              <w:left w:val="nil"/>
              <w:bottom w:val="single" w:sz="4" w:space="0" w:color="auto"/>
              <w:right w:val="single" w:sz="4" w:space="0" w:color="auto"/>
            </w:tcBorders>
            <w:shd w:val="clear" w:color="auto" w:fill="auto"/>
            <w:noWrap/>
            <w:vAlign w:val="center"/>
          </w:tcPr>
          <w:p w14:paraId="1720B96C" w14:textId="120ED4A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24.6</w:t>
            </w:r>
          </w:p>
        </w:tc>
        <w:tc>
          <w:tcPr>
            <w:tcW w:w="1126" w:type="dxa"/>
            <w:tcBorders>
              <w:top w:val="nil"/>
              <w:left w:val="nil"/>
              <w:bottom w:val="single" w:sz="4" w:space="0" w:color="auto"/>
              <w:right w:val="single" w:sz="4" w:space="0" w:color="auto"/>
            </w:tcBorders>
            <w:shd w:val="clear" w:color="auto" w:fill="auto"/>
            <w:noWrap/>
            <w:vAlign w:val="center"/>
          </w:tcPr>
          <w:p w14:paraId="5D761191" w14:textId="5E0204E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15.5</w:t>
            </w:r>
          </w:p>
        </w:tc>
        <w:tc>
          <w:tcPr>
            <w:tcW w:w="788" w:type="dxa"/>
            <w:tcBorders>
              <w:top w:val="nil"/>
              <w:left w:val="nil"/>
              <w:bottom w:val="single" w:sz="4" w:space="0" w:color="auto"/>
              <w:right w:val="single" w:sz="4" w:space="0" w:color="auto"/>
            </w:tcBorders>
            <w:shd w:val="clear" w:color="auto" w:fill="auto"/>
            <w:vAlign w:val="center"/>
          </w:tcPr>
          <w:p w14:paraId="158CBD66" w14:textId="0E830F2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93.5</w:t>
            </w:r>
          </w:p>
        </w:tc>
        <w:tc>
          <w:tcPr>
            <w:tcW w:w="1295" w:type="dxa"/>
            <w:tcBorders>
              <w:top w:val="nil"/>
              <w:left w:val="nil"/>
              <w:bottom w:val="single" w:sz="4" w:space="0" w:color="auto"/>
              <w:right w:val="single" w:sz="4" w:space="0" w:color="auto"/>
            </w:tcBorders>
            <w:shd w:val="clear" w:color="auto" w:fill="auto"/>
            <w:noWrap/>
            <w:vAlign w:val="center"/>
          </w:tcPr>
          <w:p w14:paraId="534A9DBD" w14:textId="54E8061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38.6</w:t>
            </w:r>
          </w:p>
        </w:tc>
        <w:tc>
          <w:tcPr>
            <w:tcW w:w="1173" w:type="dxa"/>
            <w:tcBorders>
              <w:top w:val="nil"/>
              <w:left w:val="nil"/>
              <w:bottom w:val="single" w:sz="4" w:space="0" w:color="auto"/>
              <w:right w:val="single" w:sz="4" w:space="0" w:color="auto"/>
            </w:tcBorders>
            <w:shd w:val="clear" w:color="auto" w:fill="auto"/>
            <w:noWrap/>
            <w:vAlign w:val="center"/>
          </w:tcPr>
          <w:p w14:paraId="70923186" w14:textId="643F1E9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42.6</w:t>
            </w:r>
          </w:p>
        </w:tc>
      </w:tr>
      <w:tr w:rsidR="0072387E" w:rsidRPr="008C72D8" w14:paraId="1839C583"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400C223E" w14:textId="6485461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251–300</w:t>
            </w:r>
          </w:p>
        </w:tc>
        <w:tc>
          <w:tcPr>
            <w:tcW w:w="3357" w:type="dxa"/>
            <w:tcBorders>
              <w:top w:val="nil"/>
              <w:left w:val="nil"/>
              <w:bottom w:val="single" w:sz="4" w:space="0" w:color="auto"/>
              <w:right w:val="single" w:sz="4" w:space="0" w:color="auto"/>
            </w:tcBorders>
            <w:shd w:val="clear" w:color="000000" w:fill="E7E6E6"/>
            <w:noWrap/>
            <w:vAlign w:val="center"/>
          </w:tcPr>
          <w:p w14:paraId="2C8A8C3A" w14:textId="67DEEC3F"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Pontificia Universidad Católica de Chile</w:t>
            </w:r>
          </w:p>
        </w:tc>
        <w:tc>
          <w:tcPr>
            <w:tcW w:w="896" w:type="dxa"/>
            <w:tcBorders>
              <w:top w:val="nil"/>
              <w:left w:val="nil"/>
              <w:bottom w:val="single" w:sz="4" w:space="0" w:color="auto"/>
              <w:right w:val="single" w:sz="4" w:space="0" w:color="auto"/>
            </w:tcBorders>
            <w:shd w:val="clear" w:color="000000" w:fill="E7E6E6"/>
            <w:vAlign w:val="center"/>
          </w:tcPr>
          <w:p w14:paraId="5A324F88" w14:textId="6E1A0B7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Chile</w:t>
            </w:r>
          </w:p>
        </w:tc>
        <w:tc>
          <w:tcPr>
            <w:tcW w:w="1044" w:type="dxa"/>
            <w:tcBorders>
              <w:top w:val="nil"/>
              <w:left w:val="nil"/>
              <w:bottom w:val="single" w:sz="4" w:space="0" w:color="auto"/>
              <w:right w:val="single" w:sz="4" w:space="0" w:color="auto"/>
            </w:tcBorders>
            <w:shd w:val="clear" w:color="000000" w:fill="E7E6E6"/>
            <w:noWrap/>
            <w:vAlign w:val="center"/>
          </w:tcPr>
          <w:p w14:paraId="5721F2AA" w14:textId="7835F71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37.5–39.9</w:t>
            </w:r>
          </w:p>
        </w:tc>
        <w:tc>
          <w:tcPr>
            <w:tcW w:w="841" w:type="dxa"/>
            <w:tcBorders>
              <w:top w:val="nil"/>
              <w:left w:val="nil"/>
              <w:bottom w:val="single" w:sz="4" w:space="0" w:color="auto"/>
              <w:right w:val="single" w:sz="4" w:space="0" w:color="auto"/>
            </w:tcBorders>
            <w:shd w:val="clear" w:color="000000" w:fill="E7E6E6"/>
            <w:noWrap/>
            <w:vAlign w:val="center"/>
          </w:tcPr>
          <w:p w14:paraId="4C6750EE" w14:textId="4955361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14.3</w:t>
            </w:r>
          </w:p>
        </w:tc>
        <w:tc>
          <w:tcPr>
            <w:tcW w:w="1126" w:type="dxa"/>
            <w:tcBorders>
              <w:top w:val="nil"/>
              <w:left w:val="nil"/>
              <w:bottom w:val="single" w:sz="4" w:space="0" w:color="auto"/>
              <w:right w:val="single" w:sz="4" w:space="0" w:color="auto"/>
            </w:tcBorders>
            <w:shd w:val="clear" w:color="000000" w:fill="E7E6E6"/>
            <w:noWrap/>
            <w:vAlign w:val="center"/>
          </w:tcPr>
          <w:p w14:paraId="329886E4" w14:textId="650949F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13.6</w:t>
            </w:r>
          </w:p>
        </w:tc>
        <w:tc>
          <w:tcPr>
            <w:tcW w:w="788" w:type="dxa"/>
            <w:tcBorders>
              <w:top w:val="nil"/>
              <w:left w:val="nil"/>
              <w:bottom w:val="single" w:sz="4" w:space="0" w:color="auto"/>
              <w:right w:val="single" w:sz="4" w:space="0" w:color="auto"/>
            </w:tcBorders>
            <w:shd w:val="clear" w:color="000000" w:fill="E7E6E6"/>
            <w:vAlign w:val="center"/>
          </w:tcPr>
          <w:p w14:paraId="207B96CC" w14:textId="3066EC8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83.7</w:t>
            </w:r>
          </w:p>
        </w:tc>
        <w:tc>
          <w:tcPr>
            <w:tcW w:w="1295" w:type="dxa"/>
            <w:tcBorders>
              <w:top w:val="nil"/>
              <w:left w:val="nil"/>
              <w:bottom w:val="single" w:sz="4" w:space="0" w:color="auto"/>
              <w:right w:val="single" w:sz="4" w:space="0" w:color="auto"/>
            </w:tcBorders>
            <w:shd w:val="clear" w:color="000000" w:fill="E7E6E6"/>
            <w:noWrap/>
            <w:vAlign w:val="center"/>
          </w:tcPr>
          <w:p w14:paraId="4054CBE7" w14:textId="778DF86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38.7</w:t>
            </w:r>
          </w:p>
        </w:tc>
        <w:tc>
          <w:tcPr>
            <w:tcW w:w="1173" w:type="dxa"/>
            <w:tcBorders>
              <w:top w:val="nil"/>
              <w:left w:val="nil"/>
              <w:bottom w:val="single" w:sz="4" w:space="0" w:color="auto"/>
              <w:right w:val="single" w:sz="4" w:space="0" w:color="auto"/>
            </w:tcBorders>
            <w:shd w:val="clear" w:color="000000" w:fill="E7E6E6"/>
            <w:noWrap/>
            <w:vAlign w:val="center"/>
          </w:tcPr>
          <w:p w14:paraId="101F34D0" w14:textId="1C7F41B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57.4</w:t>
            </w:r>
          </w:p>
        </w:tc>
      </w:tr>
      <w:tr w:rsidR="0072387E" w:rsidRPr="008C72D8" w14:paraId="71AA5793"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7B5B0409" w14:textId="5908C93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251–300</w:t>
            </w:r>
          </w:p>
        </w:tc>
        <w:tc>
          <w:tcPr>
            <w:tcW w:w="3357" w:type="dxa"/>
            <w:tcBorders>
              <w:top w:val="nil"/>
              <w:left w:val="nil"/>
              <w:bottom w:val="single" w:sz="4" w:space="0" w:color="auto"/>
              <w:right w:val="single" w:sz="4" w:space="0" w:color="auto"/>
            </w:tcBorders>
            <w:shd w:val="clear" w:color="auto" w:fill="auto"/>
            <w:noWrap/>
            <w:vAlign w:val="center"/>
          </w:tcPr>
          <w:p w14:paraId="6DB6B81D" w14:textId="411D3F77"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Abierta de Cataluña</w:t>
            </w:r>
          </w:p>
        </w:tc>
        <w:tc>
          <w:tcPr>
            <w:tcW w:w="896" w:type="dxa"/>
            <w:tcBorders>
              <w:top w:val="nil"/>
              <w:left w:val="nil"/>
              <w:bottom w:val="single" w:sz="4" w:space="0" w:color="auto"/>
              <w:right w:val="single" w:sz="4" w:space="0" w:color="auto"/>
            </w:tcBorders>
            <w:shd w:val="clear" w:color="auto" w:fill="auto"/>
            <w:vAlign w:val="center"/>
          </w:tcPr>
          <w:p w14:paraId="15C231A4" w14:textId="1A18A04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55F712DB" w14:textId="3DCAB5A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37.5–39.9</w:t>
            </w:r>
          </w:p>
        </w:tc>
        <w:tc>
          <w:tcPr>
            <w:tcW w:w="841" w:type="dxa"/>
            <w:tcBorders>
              <w:top w:val="nil"/>
              <w:left w:val="nil"/>
              <w:bottom w:val="single" w:sz="4" w:space="0" w:color="auto"/>
              <w:right w:val="single" w:sz="4" w:space="0" w:color="auto"/>
            </w:tcBorders>
            <w:shd w:val="clear" w:color="auto" w:fill="auto"/>
            <w:noWrap/>
            <w:vAlign w:val="center"/>
          </w:tcPr>
          <w:p w14:paraId="029B30D5" w14:textId="24A71E3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12.2</w:t>
            </w:r>
          </w:p>
        </w:tc>
        <w:tc>
          <w:tcPr>
            <w:tcW w:w="1126" w:type="dxa"/>
            <w:tcBorders>
              <w:top w:val="nil"/>
              <w:left w:val="nil"/>
              <w:bottom w:val="single" w:sz="4" w:space="0" w:color="auto"/>
              <w:right w:val="single" w:sz="4" w:space="0" w:color="auto"/>
            </w:tcBorders>
            <w:shd w:val="clear" w:color="auto" w:fill="auto"/>
            <w:noWrap/>
            <w:vAlign w:val="center"/>
          </w:tcPr>
          <w:p w14:paraId="16AD039E" w14:textId="3A3FAC7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11</w:t>
            </w:r>
          </w:p>
        </w:tc>
        <w:tc>
          <w:tcPr>
            <w:tcW w:w="788" w:type="dxa"/>
            <w:tcBorders>
              <w:top w:val="nil"/>
              <w:left w:val="nil"/>
              <w:bottom w:val="single" w:sz="4" w:space="0" w:color="auto"/>
              <w:right w:val="single" w:sz="4" w:space="0" w:color="auto"/>
            </w:tcBorders>
            <w:shd w:val="clear" w:color="auto" w:fill="auto"/>
            <w:vAlign w:val="center"/>
          </w:tcPr>
          <w:p w14:paraId="06708CA3" w14:textId="37C8A58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95.6</w:t>
            </w:r>
          </w:p>
        </w:tc>
        <w:tc>
          <w:tcPr>
            <w:tcW w:w="1295" w:type="dxa"/>
            <w:tcBorders>
              <w:top w:val="nil"/>
              <w:left w:val="nil"/>
              <w:bottom w:val="single" w:sz="4" w:space="0" w:color="auto"/>
              <w:right w:val="single" w:sz="4" w:space="0" w:color="auto"/>
            </w:tcBorders>
            <w:shd w:val="clear" w:color="auto" w:fill="auto"/>
            <w:noWrap/>
            <w:vAlign w:val="center"/>
          </w:tcPr>
          <w:p w14:paraId="26CFF13A" w14:textId="27820FE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38.9</w:t>
            </w:r>
          </w:p>
        </w:tc>
        <w:tc>
          <w:tcPr>
            <w:tcW w:w="1173" w:type="dxa"/>
            <w:tcBorders>
              <w:top w:val="nil"/>
              <w:left w:val="nil"/>
              <w:bottom w:val="single" w:sz="4" w:space="0" w:color="auto"/>
              <w:right w:val="single" w:sz="4" w:space="0" w:color="auto"/>
            </w:tcBorders>
            <w:shd w:val="clear" w:color="auto" w:fill="auto"/>
            <w:noWrap/>
            <w:vAlign w:val="center"/>
          </w:tcPr>
          <w:p w14:paraId="126617C3" w14:textId="43A8895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w:t>
            </w:r>
          </w:p>
        </w:tc>
      </w:tr>
      <w:tr w:rsidR="0072387E" w:rsidRPr="008C72D8" w14:paraId="778E0918"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2EEE8409" w14:textId="33AA0E4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251–300</w:t>
            </w:r>
          </w:p>
        </w:tc>
        <w:tc>
          <w:tcPr>
            <w:tcW w:w="3357" w:type="dxa"/>
            <w:tcBorders>
              <w:top w:val="nil"/>
              <w:left w:val="nil"/>
              <w:bottom w:val="single" w:sz="4" w:space="0" w:color="auto"/>
              <w:right w:val="single" w:sz="4" w:space="0" w:color="auto"/>
            </w:tcBorders>
            <w:shd w:val="clear" w:color="000000" w:fill="E7E6E6"/>
            <w:noWrap/>
            <w:vAlign w:val="center"/>
          </w:tcPr>
          <w:p w14:paraId="0F4C1AD3" w14:textId="1DF25F56"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Autónoma de Barcelona</w:t>
            </w:r>
          </w:p>
        </w:tc>
        <w:tc>
          <w:tcPr>
            <w:tcW w:w="896" w:type="dxa"/>
            <w:tcBorders>
              <w:top w:val="nil"/>
              <w:left w:val="nil"/>
              <w:bottom w:val="single" w:sz="4" w:space="0" w:color="auto"/>
              <w:right w:val="single" w:sz="4" w:space="0" w:color="auto"/>
            </w:tcBorders>
            <w:shd w:val="clear" w:color="000000" w:fill="E7E6E6"/>
            <w:vAlign w:val="center"/>
          </w:tcPr>
          <w:p w14:paraId="75ADC40D" w14:textId="764019C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264717CB" w14:textId="142A596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37.5–39.9</w:t>
            </w:r>
          </w:p>
        </w:tc>
        <w:tc>
          <w:tcPr>
            <w:tcW w:w="841" w:type="dxa"/>
            <w:tcBorders>
              <w:top w:val="nil"/>
              <w:left w:val="nil"/>
              <w:bottom w:val="single" w:sz="4" w:space="0" w:color="auto"/>
              <w:right w:val="single" w:sz="4" w:space="0" w:color="auto"/>
            </w:tcBorders>
            <w:shd w:val="clear" w:color="000000" w:fill="E7E6E6"/>
            <w:noWrap/>
            <w:vAlign w:val="center"/>
          </w:tcPr>
          <w:p w14:paraId="10687DF9" w14:textId="37B4004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23.6</w:t>
            </w:r>
          </w:p>
        </w:tc>
        <w:tc>
          <w:tcPr>
            <w:tcW w:w="1126" w:type="dxa"/>
            <w:tcBorders>
              <w:top w:val="nil"/>
              <w:left w:val="nil"/>
              <w:bottom w:val="single" w:sz="4" w:space="0" w:color="auto"/>
              <w:right w:val="single" w:sz="4" w:space="0" w:color="auto"/>
            </w:tcBorders>
            <w:shd w:val="clear" w:color="000000" w:fill="E7E6E6"/>
            <w:noWrap/>
            <w:vAlign w:val="center"/>
          </w:tcPr>
          <w:p w14:paraId="13B567EA" w14:textId="0F7CAC4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19.7</w:t>
            </w:r>
          </w:p>
        </w:tc>
        <w:tc>
          <w:tcPr>
            <w:tcW w:w="788" w:type="dxa"/>
            <w:tcBorders>
              <w:top w:val="nil"/>
              <w:left w:val="nil"/>
              <w:bottom w:val="single" w:sz="4" w:space="0" w:color="auto"/>
              <w:right w:val="single" w:sz="4" w:space="0" w:color="auto"/>
            </w:tcBorders>
            <w:shd w:val="clear" w:color="000000" w:fill="E7E6E6"/>
            <w:vAlign w:val="center"/>
          </w:tcPr>
          <w:p w14:paraId="31604729" w14:textId="3CE9972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72.5</w:t>
            </w:r>
          </w:p>
        </w:tc>
        <w:tc>
          <w:tcPr>
            <w:tcW w:w="1295" w:type="dxa"/>
            <w:tcBorders>
              <w:top w:val="nil"/>
              <w:left w:val="nil"/>
              <w:bottom w:val="single" w:sz="4" w:space="0" w:color="auto"/>
              <w:right w:val="single" w:sz="4" w:space="0" w:color="auto"/>
            </w:tcBorders>
            <w:shd w:val="clear" w:color="000000" w:fill="E7E6E6"/>
            <w:noWrap/>
            <w:vAlign w:val="center"/>
          </w:tcPr>
          <w:p w14:paraId="5596D0DA" w14:textId="6859777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42.8</w:t>
            </w:r>
          </w:p>
        </w:tc>
        <w:tc>
          <w:tcPr>
            <w:tcW w:w="1173" w:type="dxa"/>
            <w:tcBorders>
              <w:top w:val="nil"/>
              <w:left w:val="nil"/>
              <w:bottom w:val="single" w:sz="4" w:space="0" w:color="auto"/>
              <w:right w:val="single" w:sz="4" w:space="0" w:color="auto"/>
            </w:tcBorders>
            <w:shd w:val="clear" w:color="000000" w:fill="E7E6E6"/>
            <w:noWrap/>
            <w:vAlign w:val="center"/>
          </w:tcPr>
          <w:p w14:paraId="15D716B0" w14:textId="4B48A2B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51.9</w:t>
            </w:r>
          </w:p>
        </w:tc>
      </w:tr>
      <w:tr w:rsidR="0072387E" w:rsidRPr="008C72D8" w14:paraId="53090F15"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1EFFCF8A" w14:textId="3C98015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251–300</w:t>
            </w:r>
          </w:p>
        </w:tc>
        <w:tc>
          <w:tcPr>
            <w:tcW w:w="3357" w:type="dxa"/>
            <w:tcBorders>
              <w:top w:val="nil"/>
              <w:left w:val="nil"/>
              <w:bottom w:val="single" w:sz="4" w:space="0" w:color="auto"/>
              <w:right w:val="single" w:sz="4" w:space="0" w:color="auto"/>
            </w:tcBorders>
            <w:shd w:val="clear" w:color="auto" w:fill="auto"/>
            <w:noWrap/>
            <w:vAlign w:val="center"/>
          </w:tcPr>
          <w:p w14:paraId="56C99150" w14:textId="2E77D719"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Jaén</w:t>
            </w:r>
          </w:p>
        </w:tc>
        <w:tc>
          <w:tcPr>
            <w:tcW w:w="896" w:type="dxa"/>
            <w:tcBorders>
              <w:top w:val="nil"/>
              <w:left w:val="nil"/>
              <w:bottom w:val="single" w:sz="4" w:space="0" w:color="auto"/>
              <w:right w:val="single" w:sz="4" w:space="0" w:color="auto"/>
            </w:tcBorders>
            <w:shd w:val="clear" w:color="auto" w:fill="auto"/>
            <w:vAlign w:val="center"/>
          </w:tcPr>
          <w:p w14:paraId="0DD87C0A" w14:textId="46839CE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451B342B" w14:textId="4227BE1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37.5–39.9</w:t>
            </w:r>
          </w:p>
        </w:tc>
        <w:tc>
          <w:tcPr>
            <w:tcW w:w="841" w:type="dxa"/>
            <w:tcBorders>
              <w:top w:val="nil"/>
              <w:left w:val="nil"/>
              <w:bottom w:val="single" w:sz="4" w:space="0" w:color="auto"/>
              <w:right w:val="single" w:sz="4" w:space="0" w:color="auto"/>
            </w:tcBorders>
            <w:shd w:val="clear" w:color="auto" w:fill="auto"/>
            <w:noWrap/>
            <w:vAlign w:val="center"/>
          </w:tcPr>
          <w:p w14:paraId="3FAD39BA" w14:textId="09B510B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13.6</w:t>
            </w:r>
          </w:p>
        </w:tc>
        <w:tc>
          <w:tcPr>
            <w:tcW w:w="1126" w:type="dxa"/>
            <w:tcBorders>
              <w:top w:val="nil"/>
              <w:left w:val="nil"/>
              <w:bottom w:val="single" w:sz="4" w:space="0" w:color="auto"/>
              <w:right w:val="single" w:sz="4" w:space="0" w:color="auto"/>
            </w:tcBorders>
            <w:shd w:val="clear" w:color="auto" w:fill="auto"/>
            <w:noWrap/>
            <w:vAlign w:val="center"/>
          </w:tcPr>
          <w:p w14:paraId="738C61D2" w14:textId="024FF0F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9</w:t>
            </w:r>
          </w:p>
        </w:tc>
        <w:tc>
          <w:tcPr>
            <w:tcW w:w="788" w:type="dxa"/>
            <w:tcBorders>
              <w:top w:val="nil"/>
              <w:left w:val="nil"/>
              <w:bottom w:val="single" w:sz="4" w:space="0" w:color="auto"/>
              <w:right w:val="single" w:sz="4" w:space="0" w:color="auto"/>
            </w:tcBorders>
            <w:shd w:val="clear" w:color="auto" w:fill="auto"/>
            <w:vAlign w:val="center"/>
          </w:tcPr>
          <w:p w14:paraId="6B91998A" w14:textId="4FDBE01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96.3</w:t>
            </w:r>
          </w:p>
        </w:tc>
        <w:tc>
          <w:tcPr>
            <w:tcW w:w="1295" w:type="dxa"/>
            <w:tcBorders>
              <w:top w:val="nil"/>
              <w:left w:val="nil"/>
              <w:bottom w:val="single" w:sz="4" w:space="0" w:color="auto"/>
              <w:right w:val="single" w:sz="4" w:space="0" w:color="auto"/>
            </w:tcBorders>
            <w:shd w:val="clear" w:color="auto" w:fill="auto"/>
            <w:noWrap/>
            <w:vAlign w:val="center"/>
          </w:tcPr>
          <w:p w14:paraId="4BBC44D5" w14:textId="41309A3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38.2</w:t>
            </w:r>
          </w:p>
        </w:tc>
        <w:tc>
          <w:tcPr>
            <w:tcW w:w="1173" w:type="dxa"/>
            <w:tcBorders>
              <w:top w:val="nil"/>
              <w:left w:val="nil"/>
              <w:bottom w:val="single" w:sz="4" w:space="0" w:color="auto"/>
              <w:right w:val="single" w:sz="4" w:space="0" w:color="auto"/>
            </w:tcBorders>
            <w:shd w:val="clear" w:color="auto" w:fill="auto"/>
            <w:noWrap/>
            <w:vAlign w:val="center"/>
          </w:tcPr>
          <w:p w14:paraId="10A98968" w14:textId="009901E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34.8</w:t>
            </w:r>
          </w:p>
        </w:tc>
      </w:tr>
      <w:tr w:rsidR="0072387E" w:rsidRPr="008C72D8" w14:paraId="507B2E70"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1D946A3A" w14:textId="08E9DCA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251–300</w:t>
            </w:r>
          </w:p>
        </w:tc>
        <w:tc>
          <w:tcPr>
            <w:tcW w:w="3357" w:type="dxa"/>
            <w:tcBorders>
              <w:top w:val="nil"/>
              <w:left w:val="nil"/>
              <w:bottom w:val="single" w:sz="4" w:space="0" w:color="auto"/>
              <w:right w:val="single" w:sz="4" w:space="0" w:color="auto"/>
            </w:tcBorders>
            <w:shd w:val="clear" w:color="000000" w:fill="E7E6E6"/>
            <w:noWrap/>
            <w:vAlign w:val="center"/>
          </w:tcPr>
          <w:p w14:paraId="61BC057D" w14:textId="0EC3745A"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Politécnica de Cataluña</w:t>
            </w:r>
          </w:p>
        </w:tc>
        <w:tc>
          <w:tcPr>
            <w:tcW w:w="896" w:type="dxa"/>
            <w:tcBorders>
              <w:top w:val="nil"/>
              <w:left w:val="nil"/>
              <w:bottom w:val="single" w:sz="4" w:space="0" w:color="auto"/>
              <w:right w:val="single" w:sz="4" w:space="0" w:color="auto"/>
            </w:tcBorders>
            <w:shd w:val="clear" w:color="000000" w:fill="E7E6E6"/>
            <w:vAlign w:val="center"/>
          </w:tcPr>
          <w:p w14:paraId="052B8520" w14:textId="7B5352B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000000" w:fill="E7E6E6"/>
            <w:noWrap/>
            <w:vAlign w:val="center"/>
          </w:tcPr>
          <w:p w14:paraId="719EC1A3" w14:textId="4698E02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37.5–39.9</w:t>
            </w:r>
          </w:p>
        </w:tc>
        <w:tc>
          <w:tcPr>
            <w:tcW w:w="841" w:type="dxa"/>
            <w:tcBorders>
              <w:top w:val="nil"/>
              <w:left w:val="nil"/>
              <w:bottom w:val="single" w:sz="4" w:space="0" w:color="auto"/>
              <w:right w:val="single" w:sz="4" w:space="0" w:color="auto"/>
            </w:tcBorders>
            <w:shd w:val="clear" w:color="000000" w:fill="E7E6E6"/>
            <w:noWrap/>
            <w:vAlign w:val="center"/>
          </w:tcPr>
          <w:p w14:paraId="72778013" w14:textId="71DD0EA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26.8</w:t>
            </w:r>
          </w:p>
        </w:tc>
        <w:tc>
          <w:tcPr>
            <w:tcW w:w="1126" w:type="dxa"/>
            <w:tcBorders>
              <w:top w:val="nil"/>
              <w:left w:val="nil"/>
              <w:bottom w:val="single" w:sz="4" w:space="0" w:color="auto"/>
              <w:right w:val="single" w:sz="4" w:space="0" w:color="auto"/>
            </w:tcBorders>
            <w:shd w:val="clear" w:color="000000" w:fill="E7E6E6"/>
            <w:noWrap/>
            <w:vAlign w:val="center"/>
          </w:tcPr>
          <w:p w14:paraId="6D794E76" w14:textId="4888745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26.7</w:t>
            </w:r>
          </w:p>
        </w:tc>
        <w:tc>
          <w:tcPr>
            <w:tcW w:w="788" w:type="dxa"/>
            <w:tcBorders>
              <w:top w:val="nil"/>
              <w:left w:val="nil"/>
              <w:bottom w:val="single" w:sz="4" w:space="0" w:color="auto"/>
              <w:right w:val="single" w:sz="4" w:space="0" w:color="auto"/>
            </w:tcBorders>
            <w:shd w:val="clear" w:color="000000" w:fill="E7E6E6"/>
            <w:vAlign w:val="center"/>
          </w:tcPr>
          <w:p w14:paraId="61C404EB" w14:textId="35E2F1E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60</w:t>
            </w:r>
          </w:p>
        </w:tc>
        <w:tc>
          <w:tcPr>
            <w:tcW w:w="1295" w:type="dxa"/>
            <w:tcBorders>
              <w:top w:val="nil"/>
              <w:left w:val="nil"/>
              <w:bottom w:val="single" w:sz="4" w:space="0" w:color="auto"/>
              <w:right w:val="single" w:sz="4" w:space="0" w:color="auto"/>
            </w:tcBorders>
            <w:shd w:val="clear" w:color="000000" w:fill="E7E6E6"/>
            <w:noWrap/>
            <w:vAlign w:val="center"/>
          </w:tcPr>
          <w:p w14:paraId="37FD958C" w14:textId="5E67511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41.8</w:t>
            </w:r>
          </w:p>
        </w:tc>
        <w:tc>
          <w:tcPr>
            <w:tcW w:w="1173" w:type="dxa"/>
            <w:tcBorders>
              <w:top w:val="nil"/>
              <w:left w:val="nil"/>
              <w:bottom w:val="single" w:sz="4" w:space="0" w:color="auto"/>
              <w:right w:val="single" w:sz="4" w:space="0" w:color="auto"/>
            </w:tcBorders>
            <w:shd w:val="clear" w:color="000000" w:fill="E7E6E6"/>
            <w:noWrap/>
            <w:vAlign w:val="center"/>
          </w:tcPr>
          <w:p w14:paraId="165EDE19" w14:textId="3C9F745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46.6</w:t>
            </w:r>
          </w:p>
        </w:tc>
      </w:tr>
      <w:tr w:rsidR="0072387E" w:rsidRPr="008C72D8" w14:paraId="3BE9A048"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20B151DC" w14:textId="4C4001C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301–400</w:t>
            </w:r>
          </w:p>
        </w:tc>
        <w:tc>
          <w:tcPr>
            <w:tcW w:w="3357" w:type="dxa"/>
            <w:tcBorders>
              <w:top w:val="nil"/>
              <w:left w:val="nil"/>
              <w:bottom w:val="single" w:sz="4" w:space="0" w:color="auto"/>
              <w:right w:val="single" w:sz="4" w:space="0" w:color="auto"/>
            </w:tcBorders>
            <w:shd w:val="clear" w:color="auto" w:fill="auto"/>
            <w:noWrap/>
            <w:vAlign w:val="center"/>
          </w:tcPr>
          <w:p w14:paraId="4D9E3039" w14:textId="4E912202"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Carlos III de Madrid</w:t>
            </w:r>
          </w:p>
        </w:tc>
        <w:tc>
          <w:tcPr>
            <w:tcW w:w="896" w:type="dxa"/>
            <w:tcBorders>
              <w:top w:val="nil"/>
              <w:left w:val="nil"/>
              <w:bottom w:val="single" w:sz="4" w:space="0" w:color="auto"/>
              <w:right w:val="single" w:sz="4" w:space="0" w:color="auto"/>
            </w:tcBorders>
            <w:shd w:val="clear" w:color="auto" w:fill="auto"/>
            <w:vAlign w:val="center"/>
          </w:tcPr>
          <w:p w14:paraId="48ACE99A" w14:textId="30D2841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España</w:t>
            </w:r>
          </w:p>
        </w:tc>
        <w:tc>
          <w:tcPr>
            <w:tcW w:w="1044" w:type="dxa"/>
            <w:tcBorders>
              <w:top w:val="nil"/>
              <w:left w:val="nil"/>
              <w:bottom w:val="single" w:sz="4" w:space="0" w:color="auto"/>
              <w:right w:val="single" w:sz="4" w:space="0" w:color="auto"/>
            </w:tcBorders>
            <w:shd w:val="clear" w:color="auto" w:fill="auto"/>
            <w:noWrap/>
            <w:vAlign w:val="center"/>
          </w:tcPr>
          <w:p w14:paraId="2C8A8C31" w14:textId="1722264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33.0–37.3</w:t>
            </w:r>
          </w:p>
        </w:tc>
        <w:tc>
          <w:tcPr>
            <w:tcW w:w="841" w:type="dxa"/>
            <w:tcBorders>
              <w:top w:val="nil"/>
              <w:left w:val="nil"/>
              <w:bottom w:val="single" w:sz="4" w:space="0" w:color="auto"/>
              <w:right w:val="single" w:sz="4" w:space="0" w:color="auto"/>
            </w:tcBorders>
            <w:shd w:val="clear" w:color="auto" w:fill="auto"/>
            <w:noWrap/>
            <w:vAlign w:val="center"/>
          </w:tcPr>
          <w:p w14:paraId="5A310612" w14:textId="1422FC9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26.1</w:t>
            </w:r>
          </w:p>
        </w:tc>
        <w:tc>
          <w:tcPr>
            <w:tcW w:w="1126" w:type="dxa"/>
            <w:tcBorders>
              <w:top w:val="nil"/>
              <w:left w:val="nil"/>
              <w:bottom w:val="single" w:sz="4" w:space="0" w:color="auto"/>
              <w:right w:val="single" w:sz="4" w:space="0" w:color="auto"/>
            </w:tcBorders>
            <w:shd w:val="clear" w:color="auto" w:fill="auto"/>
            <w:noWrap/>
            <w:vAlign w:val="center"/>
          </w:tcPr>
          <w:p w14:paraId="25C2CB50" w14:textId="1D40BFF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18.5</w:t>
            </w:r>
          </w:p>
        </w:tc>
        <w:tc>
          <w:tcPr>
            <w:tcW w:w="788" w:type="dxa"/>
            <w:tcBorders>
              <w:top w:val="nil"/>
              <w:left w:val="nil"/>
              <w:bottom w:val="single" w:sz="4" w:space="0" w:color="auto"/>
              <w:right w:val="single" w:sz="4" w:space="0" w:color="auto"/>
            </w:tcBorders>
            <w:shd w:val="clear" w:color="auto" w:fill="auto"/>
            <w:vAlign w:val="center"/>
          </w:tcPr>
          <w:p w14:paraId="3CFE8FAF" w14:textId="5811266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61.4</w:t>
            </w:r>
          </w:p>
        </w:tc>
        <w:tc>
          <w:tcPr>
            <w:tcW w:w="1295" w:type="dxa"/>
            <w:tcBorders>
              <w:top w:val="nil"/>
              <w:left w:val="nil"/>
              <w:bottom w:val="single" w:sz="4" w:space="0" w:color="auto"/>
              <w:right w:val="single" w:sz="4" w:space="0" w:color="auto"/>
            </w:tcBorders>
            <w:shd w:val="clear" w:color="auto" w:fill="auto"/>
            <w:noWrap/>
            <w:vAlign w:val="center"/>
          </w:tcPr>
          <w:p w14:paraId="0CDAFB54" w14:textId="24FBBFD9"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41.4</w:t>
            </w:r>
          </w:p>
        </w:tc>
        <w:tc>
          <w:tcPr>
            <w:tcW w:w="1173" w:type="dxa"/>
            <w:tcBorders>
              <w:top w:val="nil"/>
              <w:left w:val="nil"/>
              <w:bottom w:val="single" w:sz="4" w:space="0" w:color="auto"/>
              <w:right w:val="single" w:sz="4" w:space="0" w:color="auto"/>
            </w:tcBorders>
            <w:shd w:val="clear" w:color="auto" w:fill="auto"/>
            <w:noWrap/>
            <w:vAlign w:val="center"/>
          </w:tcPr>
          <w:p w14:paraId="47E87552" w14:textId="68FBADAA"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44.8</w:t>
            </w:r>
          </w:p>
        </w:tc>
      </w:tr>
      <w:tr w:rsidR="0072387E" w:rsidRPr="008C72D8" w14:paraId="2BB55976"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0CB6CDAA" w14:textId="1A4237B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301–400</w:t>
            </w:r>
          </w:p>
        </w:tc>
        <w:tc>
          <w:tcPr>
            <w:tcW w:w="3357" w:type="dxa"/>
            <w:tcBorders>
              <w:top w:val="nil"/>
              <w:left w:val="nil"/>
              <w:bottom w:val="single" w:sz="4" w:space="0" w:color="auto"/>
              <w:right w:val="single" w:sz="4" w:space="0" w:color="auto"/>
            </w:tcBorders>
            <w:shd w:val="clear" w:color="000000" w:fill="E7E6E6"/>
            <w:noWrap/>
            <w:vAlign w:val="center"/>
          </w:tcPr>
          <w:p w14:paraId="5BFCAEA0" w14:textId="795F281C"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Beira Interior</w:t>
            </w:r>
          </w:p>
        </w:tc>
        <w:tc>
          <w:tcPr>
            <w:tcW w:w="896" w:type="dxa"/>
            <w:tcBorders>
              <w:top w:val="nil"/>
              <w:left w:val="nil"/>
              <w:bottom w:val="single" w:sz="4" w:space="0" w:color="auto"/>
              <w:right w:val="single" w:sz="4" w:space="0" w:color="auto"/>
            </w:tcBorders>
            <w:shd w:val="clear" w:color="000000" w:fill="E7E6E6"/>
            <w:vAlign w:val="center"/>
          </w:tcPr>
          <w:p w14:paraId="07C40EFD" w14:textId="5292BDD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Portugal</w:t>
            </w:r>
          </w:p>
        </w:tc>
        <w:tc>
          <w:tcPr>
            <w:tcW w:w="1044" w:type="dxa"/>
            <w:tcBorders>
              <w:top w:val="nil"/>
              <w:left w:val="nil"/>
              <w:bottom w:val="single" w:sz="4" w:space="0" w:color="auto"/>
              <w:right w:val="single" w:sz="4" w:space="0" w:color="auto"/>
            </w:tcBorders>
            <w:shd w:val="clear" w:color="000000" w:fill="E7E6E6"/>
            <w:noWrap/>
            <w:vAlign w:val="center"/>
          </w:tcPr>
          <w:p w14:paraId="077FB1BE" w14:textId="628900A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33.0–37.3</w:t>
            </w:r>
          </w:p>
        </w:tc>
        <w:tc>
          <w:tcPr>
            <w:tcW w:w="841" w:type="dxa"/>
            <w:tcBorders>
              <w:top w:val="nil"/>
              <w:left w:val="nil"/>
              <w:bottom w:val="single" w:sz="4" w:space="0" w:color="auto"/>
              <w:right w:val="single" w:sz="4" w:space="0" w:color="auto"/>
            </w:tcBorders>
            <w:shd w:val="clear" w:color="000000" w:fill="E7E6E6"/>
            <w:noWrap/>
            <w:vAlign w:val="center"/>
          </w:tcPr>
          <w:p w14:paraId="48D2717B" w14:textId="3CEBA917"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15.3</w:t>
            </w:r>
          </w:p>
        </w:tc>
        <w:tc>
          <w:tcPr>
            <w:tcW w:w="1126" w:type="dxa"/>
            <w:tcBorders>
              <w:top w:val="nil"/>
              <w:left w:val="nil"/>
              <w:bottom w:val="single" w:sz="4" w:space="0" w:color="auto"/>
              <w:right w:val="single" w:sz="4" w:space="0" w:color="auto"/>
            </w:tcBorders>
            <w:shd w:val="clear" w:color="000000" w:fill="E7E6E6"/>
            <w:noWrap/>
            <w:vAlign w:val="center"/>
          </w:tcPr>
          <w:p w14:paraId="4C586302" w14:textId="37C2B2B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10.8</w:t>
            </w:r>
          </w:p>
        </w:tc>
        <w:tc>
          <w:tcPr>
            <w:tcW w:w="788" w:type="dxa"/>
            <w:tcBorders>
              <w:top w:val="nil"/>
              <w:left w:val="nil"/>
              <w:bottom w:val="single" w:sz="4" w:space="0" w:color="auto"/>
              <w:right w:val="single" w:sz="4" w:space="0" w:color="auto"/>
            </w:tcBorders>
            <w:shd w:val="clear" w:color="000000" w:fill="E7E6E6"/>
            <w:vAlign w:val="center"/>
          </w:tcPr>
          <w:p w14:paraId="75DB3012" w14:textId="434E1A4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84.6</w:t>
            </w:r>
          </w:p>
        </w:tc>
        <w:tc>
          <w:tcPr>
            <w:tcW w:w="1295" w:type="dxa"/>
            <w:tcBorders>
              <w:top w:val="nil"/>
              <w:left w:val="nil"/>
              <w:bottom w:val="single" w:sz="4" w:space="0" w:color="auto"/>
              <w:right w:val="single" w:sz="4" w:space="0" w:color="auto"/>
            </w:tcBorders>
            <w:shd w:val="clear" w:color="000000" w:fill="E7E6E6"/>
            <w:noWrap/>
            <w:vAlign w:val="center"/>
          </w:tcPr>
          <w:p w14:paraId="74D01567" w14:textId="2651DCF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38.3</w:t>
            </w:r>
          </w:p>
        </w:tc>
        <w:tc>
          <w:tcPr>
            <w:tcW w:w="1173" w:type="dxa"/>
            <w:tcBorders>
              <w:top w:val="nil"/>
              <w:left w:val="nil"/>
              <w:bottom w:val="single" w:sz="4" w:space="0" w:color="auto"/>
              <w:right w:val="single" w:sz="4" w:space="0" w:color="auto"/>
            </w:tcBorders>
            <w:shd w:val="clear" w:color="000000" w:fill="E7E6E6"/>
            <w:noWrap/>
            <w:vAlign w:val="center"/>
          </w:tcPr>
          <w:p w14:paraId="6DD1FBCA" w14:textId="2D9605A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54.2</w:t>
            </w:r>
          </w:p>
        </w:tc>
      </w:tr>
      <w:tr w:rsidR="0072387E" w:rsidRPr="008C72D8" w14:paraId="300A6E9D"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6735DF0E" w14:textId="6F62E9E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301–400</w:t>
            </w:r>
          </w:p>
        </w:tc>
        <w:tc>
          <w:tcPr>
            <w:tcW w:w="3357" w:type="dxa"/>
            <w:tcBorders>
              <w:top w:val="nil"/>
              <w:left w:val="nil"/>
              <w:bottom w:val="single" w:sz="4" w:space="0" w:color="auto"/>
              <w:right w:val="single" w:sz="4" w:space="0" w:color="auto"/>
            </w:tcBorders>
            <w:shd w:val="clear" w:color="auto" w:fill="auto"/>
            <w:noWrap/>
            <w:vAlign w:val="center"/>
          </w:tcPr>
          <w:p w14:paraId="18BAF81A" w14:textId="40B3F26C"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Campinas</w:t>
            </w:r>
          </w:p>
        </w:tc>
        <w:tc>
          <w:tcPr>
            <w:tcW w:w="896" w:type="dxa"/>
            <w:tcBorders>
              <w:top w:val="nil"/>
              <w:left w:val="nil"/>
              <w:bottom w:val="single" w:sz="4" w:space="0" w:color="auto"/>
              <w:right w:val="single" w:sz="4" w:space="0" w:color="auto"/>
            </w:tcBorders>
            <w:shd w:val="clear" w:color="auto" w:fill="auto"/>
            <w:vAlign w:val="center"/>
          </w:tcPr>
          <w:p w14:paraId="57CCB305" w14:textId="5267F95E"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Brasil</w:t>
            </w:r>
          </w:p>
        </w:tc>
        <w:tc>
          <w:tcPr>
            <w:tcW w:w="1044" w:type="dxa"/>
            <w:tcBorders>
              <w:top w:val="nil"/>
              <w:left w:val="nil"/>
              <w:bottom w:val="single" w:sz="4" w:space="0" w:color="auto"/>
              <w:right w:val="single" w:sz="4" w:space="0" w:color="auto"/>
            </w:tcBorders>
            <w:shd w:val="clear" w:color="auto" w:fill="auto"/>
            <w:noWrap/>
            <w:vAlign w:val="center"/>
          </w:tcPr>
          <w:p w14:paraId="62FC9BC9" w14:textId="79D666B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33.0–37.3</w:t>
            </w:r>
          </w:p>
        </w:tc>
        <w:tc>
          <w:tcPr>
            <w:tcW w:w="841" w:type="dxa"/>
            <w:tcBorders>
              <w:top w:val="nil"/>
              <w:left w:val="nil"/>
              <w:bottom w:val="single" w:sz="4" w:space="0" w:color="auto"/>
              <w:right w:val="single" w:sz="4" w:space="0" w:color="auto"/>
            </w:tcBorders>
            <w:shd w:val="clear" w:color="auto" w:fill="auto"/>
            <w:noWrap/>
            <w:vAlign w:val="center"/>
          </w:tcPr>
          <w:p w14:paraId="0FF1471D" w14:textId="312F2C9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28.4</w:t>
            </w:r>
          </w:p>
        </w:tc>
        <w:tc>
          <w:tcPr>
            <w:tcW w:w="1126" w:type="dxa"/>
            <w:tcBorders>
              <w:top w:val="nil"/>
              <w:left w:val="nil"/>
              <w:bottom w:val="single" w:sz="4" w:space="0" w:color="auto"/>
              <w:right w:val="single" w:sz="4" w:space="0" w:color="auto"/>
            </w:tcBorders>
            <w:shd w:val="clear" w:color="auto" w:fill="auto"/>
            <w:noWrap/>
            <w:vAlign w:val="center"/>
          </w:tcPr>
          <w:p w14:paraId="3641D5E3" w14:textId="79CF241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31.2</w:t>
            </w:r>
          </w:p>
        </w:tc>
        <w:tc>
          <w:tcPr>
            <w:tcW w:w="788" w:type="dxa"/>
            <w:tcBorders>
              <w:top w:val="nil"/>
              <w:left w:val="nil"/>
              <w:bottom w:val="single" w:sz="4" w:space="0" w:color="auto"/>
              <w:right w:val="single" w:sz="4" w:space="0" w:color="auto"/>
            </w:tcBorders>
            <w:shd w:val="clear" w:color="auto" w:fill="auto"/>
            <w:vAlign w:val="center"/>
          </w:tcPr>
          <w:p w14:paraId="16B741B4" w14:textId="1AA7F11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44.3</w:t>
            </w:r>
          </w:p>
        </w:tc>
        <w:tc>
          <w:tcPr>
            <w:tcW w:w="1295" w:type="dxa"/>
            <w:tcBorders>
              <w:top w:val="nil"/>
              <w:left w:val="nil"/>
              <w:bottom w:val="single" w:sz="4" w:space="0" w:color="auto"/>
              <w:right w:val="single" w:sz="4" w:space="0" w:color="auto"/>
            </w:tcBorders>
            <w:shd w:val="clear" w:color="auto" w:fill="auto"/>
            <w:noWrap/>
            <w:vAlign w:val="center"/>
          </w:tcPr>
          <w:p w14:paraId="0F6060DF" w14:textId="37D84FA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w:t>
            </w:r>
          </w:p>
        </w:tc>
        <w:tc>
          <w:tcPr>
            <w:tcW w:w="1173" w:type="dxa"/>
            <w:tcBorders>
              <w:top w:val="nil"/>
              <w:left w:val="nil"/>
              <w:bottom w:val="single" w:sz="4" w:space="0" w:color="auto"/>
              <w:right w:val="single" w:sz="4" w:space="0" w:color="auto"/>
            </w:tcBorders>
            <w:shd w:val="clear" w:color="auto" w:fill="auto"/>
            <w:noWrap/>
            <w:vAlign w:val="center"/>
          </w:tcPr>
          <w:p w14:paraId="7F71139D" w14:textId="00739248"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29.3</w:t>
            </w:r>
          </w:p>
        </w:tc>
      </w:tr>
      <w:tr w:rsidR="0072387E" w:rsidRPr="008C72D8" w14:paraId="4AC725E3"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000000" w:fill="E7E6E6"/>
            <w:noWrap/>
            <w:vAlign w:val="center"/>
          </w:tcPr>
          <w:p w14:paraId="1B424B30" w14:textId="6CBF8FDF"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301–400</w:t>
            </w:r>
          </w:p>
        </w:tc>
        <w:tc>
          <w:tcPr>
            <w:tcW w:w="3357" w:type="dxa"/>
            <w:tcBorders>
              <w:top w:val="nil"/>
              <w:left w:val="nil"/>
              <w:bottom w:val="single" w:sz="4" w:space="0" w:color="auto"/>
              <w:right w:val="single" w:sz="4" w:space="0" w:color="auto"/>
            </w:tcBorders>
            <w:shd w:val="clear" w:color="000000" w:fill="E7E6E6"/>
            <w:noWrap/>
            <w:vAlign w:val="center"/>
          </w:tcPr>
          <w:p w14:paraId="594B3538" w14:textId="0BFF554D"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de Chile</w:t>
            </w:r>
          </w:p>
        </w:tc>
        <w:tc>
          <w:tcPr>
            <w:tcW w:w="896" w:type="dxa"/>
            <w:tcBorders>
              <w:top w:val="nil"/>
              <w:left w:val="nil"/>
              <w:bottom w:val="single" w:sz="4" w:space="0" w:color="auto"/>
              <w:right w:val="single" w:sz="4" w:space="0" w:color="auto"/>
            </w:tcBorders>
            <w:shd w:val="clear" w:color="000000" w:fill="E7E6E6"/>
            <w:vAlign w:val="center"/>
          </w:tcPr>
          <w:p w14:paraId="35459BCE" w14:textId="5D783094"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Chile</w:t>
            </w:r>
          </w:p>
        </w:tc>
        <w:tc>
          <w:tcPr>
            <w:tcW w:w="1044" w:type="dxa"/>
            <w:tcBorders>
              <w:top w:val="nil"/>
              <w:left w:val="nil"/>
              <w:bottom w:val="single" w:sz="4" w:space="0" w:color="auto"/>
              <w:right w:val="single" w:sz="4" w:space="0" w:color="auto"/>
            </w:tcBorders>
            <w:shd w:val="clear" w:color="000000" w:fill="E7E6E6"/>
            <w:noWrap/>
            <w:vAlign w:val="center"/>
          </w:tcPr>
          <w:p w14:paraId="4A770E58" w14:textId="66EC942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33.0–37.3</w:t>
            </w:r>
          </w:p>
        </w:tc>
        <w:tc>
          <w:tcPr>
            <w:tcW w:w="841" w:type="dxa"/>
            <w:tcBorders>
              <w:top w:val="nil"/>
              <w:left w:val="nil"/>
              <w:bottom w:val="single" w:sz="4" w:space="0" w:color="auto"/>
              <w:right w:val="single" w:sz="4" w:space="0" w:color="auto"/>
            </w:tcBorders>
            <w:shd w:val="clear" w:color="000000" w:fill="E7E6E6"/>
            <w:noWrap/>
            <w:vAlign w:val="center"/>
          </w:tcPr>
          <w:p w14:paraId="546E1E02" w14:textId="1CFC75B6"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22.9</w:t>
            </w:r>
          </w:p>
        </w:tc>
        <w:tc>
          <w:tcPr>
            <w:tcW w:w="1126" w:type="dxa"/>
            <w:tcBorders>
              <w:top w:val="nil"/>
              <w:left w:val="nil"/>
              <w:bottom w:val="single" w:sz="4" w:space="0" w:color="auto"/>
              <w:right w:val="single" w:sz="4" w:space="0" w:color="auto"/>
            </w:tcBorders>
            <w:shd w:val="clear" w:color="000000" w:fill="E7E6E6"/>
            <w:noWrap/>
            <w:vAlign w:val="center"/>
          </w:tcPr>
          <w:p w14:paraId="1F821CFA" w14:textId="1C3C7CE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16.2</w:t>
            </w:r>
          </w:p>
        </w:tc>
        <w:tc>
          <w:tcPr>
            <w:tcW w:w="788" w:type="dxa"/>
            <w:tcBorders>
              <w:top w:val="nil"/>
              <w:left w:val="nil"/>
              <w:bottom w:val="single" w:sz="4" w:space="0" w:color="auto"/>
              <w:right w:val="single" w:sz="4" w:space="0" w:color="auto"/>
            </w:tcBorders>
            <w:shd w:val="clear" w:color="000000" w:fill="E7E6E6"/>
            <w:vAlign w:val="center"/>
          </w:tcPr>
          <w:p w14:paraId="5D9E6C06" w14:textId="579106E1"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65.7</w:t>
            </w:r>
          </w:p>
        </w:tc>
        <w:tc>
          <w:tcPr>
            <w:tcW w:w="1295" w:type="dxa"/>
            <w:tcBorders>
              <w:top w:val="nil"/>
              <w:left w:val="nil"/>
              <w:bottom w:val="single" w:sz="4" w:space="0" w:color="auto"/>
              <w:right w:val="single" w:sz="4" w:space="0" w:color="auto"/>
            </w:tcBorders>
            <w:shd w:val="clear" w:color="000000" w:fill="E7E6E6"/>
            <w:noWrap/>
            <w:vAlign w:val="center"/>
          </w:tcPr>
          <w:p w14:paraId="21A30DC7" w14:textId="71C1D8D3"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38.3</w:t>
            </w:r>
          </w:p>
        </w:tc>
        <w:tc>
          <w:tcPr>
            <w:tcW w:w="1173" w:type="dxa"/>
            <w:tcBorders>
              <w:top w:val="nil"/>
              <w:left w:val="nil"/>
              <w:bottom w:val="single" w:sz="4" w:space="0" w:color="auto"/>
              <w:right w:val="single" w:sz="4" w:space="0" w:color="auto"/>
            </w:tcBorders>
            <w:shd w:val="clear" w:color="000000" w:fill="E7E6E6"/>
            <w:noWrap/>
            <w:vAlign w:val="center"/>
          </w:tcPr>
          <w:p w14:paraId="07545ED8" w14:textId="34A816DB"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72.1</w:t>
            </w:r>
          </w:p>
        </w:tc>
      </w:tr>
      <w:tr w:rsidR="0072387E" w:rsidRPr="008C72D8" w14:paraId="70CD289D" w14:textId="77777777" w:rsidTr="0072387E">
        <w:trPr>
          <w:trHeight w:val="298"/>
          <w:jc w:val="center"/>
        </w:trPr>
        <w:tc>
          <w:tcPr>
            <w:tcW w:w="801" w:type="dxa"/>
            <w:tcBorders>
              <w:top w:val="nil"/>
              <w:left w:val="single" w:sz="4" w:space="0" w:color="auto"/>
              <w:bottom w:val="single" w:sz="4" w:space="0" w:color="auto"/>
              <w:right w:val="single" w:sz="4" w:space="0" w:color="auto"/>
            </w:tcBorders>
            <w:shd w:val="clear" w:color="auto" w:fill="auto"/>
            <w:noWrap/>
            <w:vAlign w:val="center"/>
          </w:tcPr>
          <w:p w14:paraId="55054FC1" w14:textId="19F2172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601+</w:t>
            </w:r>
          </w:p>
        </w:tc>
        <w:tc>
          <w:tcPr>
            <w:tcW w:w="3357" w:type="dxa"/>
            <w:tcBorders>
              <w:top w:val="nil"/>
              <w:left w:val="nil"/>
              <w:bottom w:val="single" w:sz="4" w:space="0" w:color="auto"/>
              <w:right w:val="single" w:sz="4" w:space="0" w:color="auto"/>
            </w:tcBorders>
            <w:shd w:val="clear" w:color="auto" w:fill="auto"/>
            <w:noWrap/>
            <w:vAlign w:val="center"/>
          </w:tcPr>
          <w:p w14:paraId="47D1743B" w14:textId="776E210E" w:rsidR="0072387E" w:rsidRPr="0072387E" w:rsidRDefault="0072387E" w:rsidP="0078703F">
            <w:pPr>
              <w:spacing w:line="240" w:lineRule="auto"/>
              <w:rPr>
                <w:rFonts w:ascii="Calibri" w:eastAsia="Times New Roman" w:hAnsi="Calibri" w:cs="Calibri"/>
                <w:color w:val="000000"/>
                <w:sz w:val="18"/>
                <w:szCs w:val="18"/>
                <w:lang w:eastAsia="es-MX"/>
              </w:rPr>
            </w:pPr>
            <w:r w:rsidRPr="0072387E">
              <w:rPr>
                <w:rFonts w:ascii="Calibri" w:hAnsi="Calibri" w:cs="Calibri"/>
                <w:color w:val="000000"/>
                <w:sz w:val="18"/>
                <w:szCs w:val="18"/>
              </w:rPr>
              <w:t>Universidad Nacional Autónoma de México</w:t>
            </w:r>
          </w:p>
        </w:tc>
        <w:tc>
          <w:tcPr>
            <w:tcW w:w="896" w:type="dxa"/>
            <w:tcBorders>
              <w:top w:val="nil"/>
              <w:left w:val="nil"/>
              <w:bottom w:val="single" w:sz="4" w:space="0" w:color="auto"/>
              <w:right w:val="single" w:sz="4" w:space="0" w:color="auto"/>
            </w:tcBorders>
            <w:shd w:val="clear" w:color="auto" w:fill="auto"/>
            <w:vAlign w:val="center"/>
          </w:tcPr>
          <w:p w14:paraId="4964E276" w14:textId="56F70EA5"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México</w:t>
            </w:r>
          </w:p>
        </w:tc>
        <w:tc>
          <w:tcPr>
            <w:tcW w:w="1044" w:type="dxa"/>
            <w:tcBorders>
              <w:top w:val="nil"/>
              <w:left w:val="nil"/>
              <w:bottom w:val="single" w:sz="4" w:space="0" w:color="auto"/>
              <w:right w:val="single" w:sz="4" w:space="0" w:color="auto"/>
            </w:tcBorders>
            <w:shd w:val="clear" w:color="auto" w:fill="auto"/>
            <w:noWrap/>
            <w:vAlign w:val="center"/>
          </w:tcPr>
          <w:p w14:paraId="3E509957" w14:textId="5EF9B3D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11.2–23.4</w:t>
            </w:r>
          </w:p>
        </w:tc>
        <w:tc>
          <w:tcPr>
            <w:tcW w:w="841" w:type="dxa"/>
            <w:tcBorders>
              <w:top w:val="nil"/>
              <w:left w:val="nil"/>
              <w:bottom w:val="single" w:sz="4" w:space="0" w:color="auto"/>
              <w:right w:val="single" w:sz="4" w:space="0" w:color="auto"/>
            </w:tcBorders>
            <w:shd w:val="clear" w:color="auto" w:fill="auto"/>
            <w:noWrap/>
            <w:vAlign w:val="center"/>
          </w:tcPr>
          <w:p w14:paraId="35177B98" w14:textId="2C745E0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23.3</w:t>
            </w:r>
          </w:p>
        </w:tc>
        <w:tc>
          <w:tcPr>
            <w:tcW w:w="1126" w:type="dxa"/>
            <w:tcBorders>
              <w:top w:val="nil"/>
              <w:left w:val="nil"/>
              <w:bottom w:val="single" w:sz="4" w:space="0" w:color="auto"/>
              <w:right w:val="single" w:sz="4" w:space="0" w:color="auto"/>
            </w:tcBorders>
            <w:shd w:val="clear" w:color="auto" w:fill="auto"/>
            <w:noWrap/>
            <w:vAlign w:val="center"/>
          </w:tcPr>
          <w:p w14:paraId="60ED39A7" w14:textId="0746F042"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12.9</w:t>
            </w:r>
          </w:p>
        </w:tc>
        <w:tc>
          <w:tcPr>
            <w:tcW w:w="788" w:type="dxa"/>
            <w:tcBorders>
              <w:top w:val="nil"/>
              <w:left w:val="nil"/>
              <w:bottom w:val="single" w:sz="4" w:space="0" w:color="auto"/>
              <w:right w:val="single" w:sz="4" w:space="0" w:color="auto"/>
            </w:tcBorders>
            <w:shd w:val="clear" w:color="auto" w:fill="auto"/>
            <w:vAlign w:val="center"/>
          </w:tcPr>
          <w:p w14:paraId="07C9A7CB" w14:textId="477BC7AD"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20.6</w:t>
            </w:r>
          </w:p>
        </w:tc>
        <w:tc>
          <w:tcPr>
            <w:tcW w:w="1295" w:type="dxa"/>
            <w:tcBorders>
              <w:top w:val="nil"/>
              <w:left w:val="nil"/>
              <w:bottom w:val="single" w:sz="4" w:space="0" w:color="auto"/>
              <w:right w:val="single" w:sz="4" w:space="0" w:color="auto"/>
            </w:tcBorders>
            <w:shd w:val="clear" w:color="auto" w:fill="auto"/>
            <w:noWrap/>
            <w:vAlign w:val="center"/>
          </w:tcPr>
          <w:p w14:paraId="5E36CE57" w14:textId="72A81E6C"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53.5</w:t>
            </w:r>
          </w:p>
        </w:tc>
        <w:tc>
          <w:tcPr>
            <w:tcW w:w="1173" w:type="dxa"/>
            <w:tcBorders>
              <w:top w:val="nil"/>
              <w:left w:val="nil"/>
              <w:bottom w:val="single" w:sz="4" w:space="0" w:color="auto"/>
              <w:right w:val="single" w:sz="4" w:space="0" w:color="auto"/>
            </w:tcBorders>
            <w:shd w:val="clear" w:color="auto" w:fill="auto"/>
            <w:noWrap/>
            <w:vAlign w:val="center"/>
          </w:tcPr>
          <w:p w14:paraId="7796D743" w14:textId="36A408A0" w:rsidR="0072387E" w:rsidRPr="0072387E" w:rsidRDefault="0072387E" w:rsidP="0078703F">
            <w:pPr>
              <w:spacing w:line="240" w:lineRule="auto"/>
              <w:jc w:val="center"/>
              <w:rPr>
                <w:rFonts w:ascii="Calibri" w:eastAsia="Times New Roman" w:hAnsi="Calibri" w:cs="Calibri"/>
                <w:color w:val="000000"/>
                <w:sz w:val="18"/>
                <w:szCs w:val="18"/>
                <w:lang w:eastAsia="es-MX"/>
              </w:rPr>
            </w:pPr>
            <w:r w:rsidRPr="0072387E">
              <w:rPr>
                <w:rFonts w:ascii="Calibri" w:hAnsi="Calibri" w:cs="Calibri"/>
                <w:color w:val="000000"/>
                <w:sz w:val="18"/>
                <w:szCs w:val="18"/>
              </w:rPr>
              <w:t>40.8</w:t>
            </w:r>
          </w:p>
        </w:tc>
      </w:tr>
    </w:tbl>
    <w:p w14:paraId="0B9F8866" w14:textId="77777777" w:rsidR="00810B7C" w:rsidRPr="008C72D8" w:rsidRDefault="00810B7C" w:rsidP="0078703F">
      <w:pPr>
        <w:spacing w:line="240" w:lineRule="auto"/>
        <w:jc w:val="both"/>
        <w:rPr>
          <w:sz w:val="24"/>
        </w:rPr>
      </w:pPr>
    </w:p>
    <w:p w14:paraId="3EA71AE5" w14:textId="780C00E7" w:rsidR="00CD4017" w:rsidRPr="008C72D8" w:rsidRDefault="00CD4017" w:rsidP="0078703F">
      <w:pPr>
        <w:spacing w:line="240" w:lineRule="auto"/>
        <w:ind w:firstLine="708"/>
        <w:jc w:val="both"/>
        <w:rPr>
          <w:b/>
          <w:sz w:val="24"/>
        </w:rPr>
      </w:pPr>
      <w:r w:rsidRPr="008C72D8">
        <w:rPr>
          <w:b/>
          <w:sz w:val="24"/>
        </w:rPr>
        <w:t>Comportamiento de las Universidades Mexicanas</w:t>
      </w:r>
    </w:p>
    <w:p w14:paraId="6250298E" w14:textId="799B2AC7" w:rsidR="00D74C94" w:rsidRPr="008C72D8" w:rsidRDefault="00D74C94" w:rsidP="0078703F">
      <w:pPr>
        <w:pStyle w:val="Prrafodelista"/>
        <w:numPr>
          <w:ilvl w:val="0"/>
          <w:numId w:val="1"/>
        </w:numPr>
        <w:spacing w:line="240" w:lineRule="auto"/>
        <w:jc w:val="both"/>
        <w:rPr>
          <w:sz w:val="24"/>
        </w:rPr>
      </w:pPr>
      <w:r w:rsidRPr="008C72D8">
        <w:rPr>
          <w:sz w:val="24"/>
        </w:rPr>
        <w:t>El número de universidades mexicanas aumentó de 4 en 2019 a 16 en la edición 2020, las cuales son las siguientes:</w:t>
      </w:r>
    </w:p>
    <w:p w14:paraId="6877E5F3" w14:textId="38571A8B" w:rsidR="00074F2B" w:rsidRPr="008C72D8" w:rsidRDefault="00A53D28" w:rsidP="0078703F">
      <w:pPr>
        <w:pStyle w:val="Prrafodelista"/>
        <w:numPr>
          <w:ilvl w:val="1"/>
          <w:numId w:val="1"/>
        </w:numPr>
        <w:spacing w:line="240" w:lineRule="auto"/>
        <w:jc w:val="both"/>
        <w:rPr>
          <w:sz w:val="24"/>
        </w:rPr>
      </w:pPr>
      <w:r w:rsidRPr="008C72D8">
        <w:rPr>
          <w:sz w:val="24"/>
        </w:rPr>
        <w:t>Benemérita Universidad Autónoma de Puebla (BUAP), Instituto Politécnico Nacional (IPN), Instituto Tecnológico y de Estudios Superiores de Monterrey (ITESM), Universidad Autónoma de Baja California (UABC), Universidad Autónoma de Nuevo León (UANL), Universidad Autónoma de Querétaro (UAQ), Universidad Autónoma de San Luis Potosí (UASLP), Universidad Autónoma de Yucatán (UADY), Universidad Autónoma del Estado de Hidalgo (UAEH), Universidad Autónoma del Estado de México (UAEM), Universidad Autónoma Metropolitana (UAM), Universidad de Guadalajara (UdeG), Universidad de Guanajuato (UGTO), Universidad de Sonora (UNISON), Universidad Michoacana de San Nicolás de Hidalgo (UMSNH), y Universidad Nacional Autónoma de México (UNAM).</w:t>
      </w:r>
    </w:p>
    <w:p w14:paraId="324F9584" w14:textId="77777777" w:rsidR="00074F2B" w:rsidRPr="008C72D8" w:rsidRDefault="00074F2B" w:rsidP="0078703F">
      <w:pPr>
        <w:pStyle w:val="Prrafodelista"/>
        <w:spacing w:line="240" w:lineRule="auto"/>
        <w:jc w:val="both"/>
        <w:rPr>
          <w:sz w:val="24"/>
        </w:rPr>
      </w:pPr>
    </w:p>
    <w:p w14:paraId="75DC62A0" w14:textId="4A4F7EC0" w:rsidR="000B56FF" w:rsidRPr="008C72D8" w:rsidRDefault="000B56FF" w:rsidP="0078703F">
      <w:pPr>
        <w:pStyle w:val="Prrafodelista"/>
        <w:numPr>
          <w:ilvl w:val="0"/>
          <w:numId w:val="1"/>
        </w:numPr>
        <w:spacing w:line="240" w:lineRule="auto"/>
        <w:jc w:val="both"/>
        <w:rPr>
          <w:sz w:val="24"/>
        </w:rPr>
      </w:pPr>
      <w:r w:rsidRPr="008C72D8">
        <w:rPr>
          <w:sz w:val="24"/>
        </w:rPr>
        <w:t xml:space="preserve">De las universidades mexicanas, </w:t>
      </w:r>
      <w:r w:rsidR="008D7F96" w:rsidRPr="008C72D8">
        <w:rPr>
          <w:sz w:val="24"/>
        </w:rPr>
        <w:t xml:space="preserve">93.75% (15) </w:t>
      </w:r>
      <w:r w:rsidRPr="008C72D8">
        <w:rPr>
          <w:sz w:val="24"/>
        </w:rPr>
        <w:t xml:space="preserve">de las universidades </w:t>
      </w:r>
      <w:r w:rsidR="008D7F96" w:rsidRPr="008C72D8">
        <w:rPr>
          <w:sz w:val="24"/>
        </w:rPr>
        <w:t xml:space="preserve">son </w:t>
      </w:r>
      <w:r w:rsidRPr="008C72D8">
        <w:rPr>
          <w:sz w:val="24"/>
        </w:rPr>
        <w:t>públicas</w:t>
      </w:r>
      <w:r w:rsidR="008D7F96" w:rsidRPr="008C72D8">
        <w:rPr>
          <w:sz w:val="24"/>
        </w:rPr>
        <w:t>, y el 6.25% (1) son privadas</w:t>
      </w:r>
      <w:r w:rsidRPr="008C72D8">
        <w:rPr>
          <w:sz w:val="24"/>
        </w:rPr>
        <w:t xml:space="preserve">. </w:t>
      </w:r>
    </w:p>
    <w:p w14:paraId="6A1646D7" w14:textId="77777777" w:rsidR="000B56FF" w:rsidRPr="008C72D8" w:rsidRDefault="000B56FF" w:rsidP="0078703F">
      <w:pPr>
        <w:pStyle w:val="Prrafodelista"/>
        <w:spacing w:line="240" w:lineRule="auto"/>
        <w:jc w:val="both"/>
        <w:rPr>
          <w:sz w:val="24"/>
        </w:rPr>
      </w:pPr>
    </w:p>
    <w:tbl>
      <w:tblPr>
        <w:tblW w:w="11672" w:type="dxa"/>
        <w:jc w:val="center"/>
        <w:tblLayout w:type="fixed"/>
        <w:tblCellMar>
          <w:left w:w="70" w:type="dxa"/>
          <w:right w:w="70" w:type="dxa"/>
        </w:tblCellMar>
        <w:tblLook w:val="04A0" w:firstRow="1" w:lastRow="0" w:firstColumn="1" w:lastColumn="0" w:noHBand="0" w:noVBand="1"/>
      </w:tblPr>
      <w:tblGrid>
        <w:gridCol w:w="889"/>
        <w:gridCol w:w="888"/>
        <w:gridCol w:w="1059"/>
        <w:gridCol w:w="1142"/>
        <w:gridCol w:w="987"/>
        <w:gridCol w:w="922"/>
        <w:gridCol w:w="890"/>
        <w:gridCol w:w="736"/>
        <w:gridCol w:w="823"/>
        <w:gridCol w:w="917"/>
        <w:gridCol w:w="709"/>
        <w:gridCol w:w="7"/>
        <w:gridCol w:w="843"/>
        <w:gridCol w:w="7"/>
        <w:gridCol w:w="844"/>
        <w:gridCol w:w="9"/>
      </w:tblGrid>
      <w:tr w:rsidR="00B513FC" w:rsidRPr="008C72D8" w14:paraId="559FBAC2" w14:textId="45D256D8" w:rsidTr="00954A14">
        <w:trPr>
          <w:trHeight w:val="268"/>
          <w:tblHeader/>
          <w:jc w:val="center"/>
        </w:trPr>
        <w:tc>
          <w:tcPr>
            <w:tcW w:w="11672" w:type="dxa"/>
            <w:gridSpan w:val="16"/>
            <w:tcBorders>
              <w:bottom w:val="single" w:sz="4" w:space="0" w:color="auto"/>
            </w:tcBorders>
          </w:tcPr>
          <w:p w14:paraId="315A8213" w14:textId="30DEE032" w:rsidR="00B513FC" w:rsidRPr="008C72D8" w:rsidRDefault="00B513FC" w:rsidP="0078703F">
            <w:pPr>
              <w:spacing w:line="240" w:lineRule="auto"/>
              <w:jc w:val="center"/>
              <w:rPr>
                <w:b/>
                <w:sz w:val="20"/>
              </w:rPr>
            </w:pPr>
            <w:r w:rsidRPr="008C72D8">
              <w:rPr>
                <w:b/>
                <w:sz w:val="20"/>
              </w:rPr>
              <w:lastRenderedPageBreak/>
              <w:t>Tabla 1</w:t>
            </w:r>
            <w:r w:rsidR="002B2D2F" w:rsidRPr="008C72D8">
              <w:rPr>
                <w:b/>
                <w:sz w:val="20"/>
              </w:rPr>
              <w:t>3</w:t>
            </w:r>
            <w:r w:rsidRPr="008C72D8">
              <w:rPr>
                <w:b/>
                <w:sz w:val="20"/>
              </w:rPr>
              <w:t>. Número de áreas de conocimiento por universidades mexicanas, 2020.</w:t>
            </w:r>
          </w:p>
        </w:tc>
      </w:tr>
      <w:tr w:rsidR="00B513FC" w:rsidRPr="008C72D8" w14:paraId="26853376" w14:textId="783CD210" w:rsidTr="00954A14">
        <w:trPr>
          <w:gridAfter w:val="1"/>
          <w:wAfter w:w="9" w:type="dxa"/>
          <w:trHeight w:val="268"/>
          <w:tblHeader/>
          <w:jc w:val="center"/>
        </w:trPr>
        <w:tc>
          <w:tcPr>
            <w:tcW w:w="88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CC77DF" w14:textId="77777777" w:rsidR="00B513FC" w:rsidRPr="008C72D8" w:rsidRDefault="00B513FC" w:rsidP="0078703F">
            <w:pPr>
              <w:spacing w:line="240" w:lineRule="auto"/>
              <w:ind w:right="-39"/>
              <w:jc w:val="center"/>
              <w:rPr>
                <w:rFonts w:ascii="Calibri" w:eastAsia="Times New Roman" w:hAnsi="Calibri" w:cs="Calibri"/>
                <w:b/>
                <w:bCs/>
                <w:color w:val="000000"/>
                <w:sz w:val="16"/>
                <w:szCs w:val="18"/>
                <w:lang w:eastAsia="es-MX"/>
              </w:rPr>
            </w:pPr>
            <w:r w:rsidRPr="008C72D8">
              <w:rPr>
                <w:rFonts w:ascii="Calibri" w:eastAsia="Times New Roman" w:hAnsi="Calibri" w:cs="Calibri"/>
                <w:b/>
                <w:bCs/>
                <w:color w:val="000000"/>
                <w:sz w:val="16"/>
                <w:szCs w:val="18"/>
                <w:lang w:eastAsia="es-MX"/>
              </w:rPr>
              <w:t>Institución</w:t>
            </w:r>
          </w:p>
        </w:tc>
        <w:tc>
          <w:tcPr>
            <w:tcW w:w="8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1F8639" w14:textId="6FEAD3EF" w:rsidR="00B513FC" w:rsidRPr="008C72D8" w:rsidRDefault="00B513FC" w:rsidP="0078703F">
            <w:pPr>
              <w:spacing w:line="240" w:lineRule="auto"/>
              <w:jc w:val="center"/>
              <w:rPr>
                <w:rFonts w:ascii="Calibri" w:eastAsia="Times New Roman" w:hAnsi="Calibri" w:cs="Calibri"/>
                <w:b/>
                <w:bCs/>
                <w:color w:val="000000"/>
                <w:sz w:val="16"/>
                <w:szCs w:val="18"/>
                <w:lang w:eastAsia="es-MX"/>
              </w:rPr>
            </w:pPr>
            <w:r w:rsidRPr="008C72D8">
              <w:rPr>
                <w:rFonts w:ascii="Calibri" w:hAnsi="Calibri" w:cs="Calibri"/>
                <w:b/>
                <w:bCs/>
                <w:color w:val="000000"/>
                <w:sz w:val="16"/>
                <w:szCs w:val="18"/>
              </w:rPr>
              <w:t xml:space="preserve">Número de Disciplinas </w:t>
            </w:r>
          </w:p>
        </w:tc>
        <w:tc>
          <w:tcPr>
            <w:tcW w:w="105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3A6CF4E0" w14:textId="659D2EC9" w:rsidR="00B513FC" w:rsidRPr="008C72D8" w:rsidRDefault="00B513FC" w:rsidP="0078703F">
            <w:pPr>
              <w:spacing w:line="240" w:lineRule="auto"/>
              <w:jc w:val="center"/>
              <w:rPr>
                <w:rFonts w:ascii="Calibri" w:eastAsia="Times New Roman" w:hAnsi="Calibri" w:cs="Calibri"/>
                <w:b/>
                <w:bCs/>
                <w:color w:val="000000"/>
                <w:sz w:val="16"/>
                <w:szCs w:val="18"/>
                <w:lang w:eastAsia="es-MX"/>
              </w:rPr>
            </w:pPr>
            <w:r w:rsidRPr="008C72D8">
              <w:rPr>
                <w:rFonts w:ascii="Calibri" w:hAnsi="Calibri" w:cs="Calibri"/>
                <w:b/>
                <w:bCs/>
                <w:color w:val="000000"/>
                <w:sz w:val="16"/>
                <w:szCs w:val="18"/>
              </w:rPr>
              <w:t>Artes y Humanidades</w:t>
            </w:r>
          </w:p>
        </w:tc>
        <w:tc>
          <w:tcPr>
            <w:tcW w:w="114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00FB09C0" w14:textId="055FA164" w:rsidR="00B513FC" w:rsidRPr="008C72D8" w:rsidRDefault="00B513FC" w:rsidP="0078703F">
            <w:pPr>
              <w:spacing w:line="240" w:lineRule="auto"/>
              <w:jc w:val="center"/>
              <w:rPr>
                <w:rFonts w:ascii="Calibri" w:eastAsia="Times New Roman" w:hAnsi="Calibri" w:cs="Calibri"/>
                <w:b/>
                <w:bCs/>
                <w:color w:val="000000"/>
                <w:sz w:val="16"/>
                <w:szCs w:val="18"/>
                <w:lang w:eastAsia="es-MX"/>
              </w:rPr>
            </w:pPr>
            <w:r w:rsidRPr="008C72D8">
              <w:rPr>
                <w:rFonts w:ascii="Calibri" w:hAnsi="Calibri" w:cs="Calibri"/>
                <w:b/>
                <w:bCs/>
                <w:color w:val="000000"/>
                <w:sz w:val="16"/>
                <w:szCs w:val="18"/>
              </w:rPr>
              <w:t>Ciencias de la Computación</w:t>
            </w:r>
          </w:p>
        </w:tc>
        <w:tc>
          <w:tcPr>
            <w:tcW w:w="98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39B1AC18" w14:textId="02FB376F" w:rsidR="00B513FC" w:rsidRPr="008C72D8" w:rsidRDefault="00B513FC" w:rsidP="0078703F">
            <w:pPr>
              <w:spacing w:line="240" w:lineRule="auto"/>
              <w:jc w:val="center"/>
              <w:rPr>
                <w:rFonts w:ascii="Calibri" w:eastAsia="Times New Roman" w:hAnsi="Calibri" w:cs="Calibri"/>
                <w:b/>
                <w:bCs/>
                <w:color w:val="000000"/>
                <w:sz w:val="16"/>
                <w:szCs w:val="18"/>
                <w:lang w:eastAsia="es-MX"/>
              </w:rPr>
            </w:pPr>
            <w:r w:rsidRPr="008C72D8">
              <w:rPr>
                <w:rFonts w:ascii="Calibri" w:hAnsi="Calibri" w:cs="Calibri"/>
                <w:b/>
                <w:bCs/>
                <w:color w:val="000000"/>
                <w:sz w:val="16"/>
                <w:szCs w:val="18"/>
              </w:rPr>
              <w:t>Ingeniería y Tecnología</w:t>
            </w:r>
          </w:p>
        </w:tc>
        <w:tc>
          <w:tcPr>
            <w:tcW w:w="9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023E80A" w14:textId="244B1CAE" w:rsidR="00B513FC" w:rsidRPr="008C72D8" w:rsidRDefault="00B513FC" w:rsidP="0078703F">
            <w:pPr>
              <w:spacing w:line="240" w:lineRule="auto"/>
              <w:jc w:val="center"/>
              <w:rPr>
                <w:rFonts w:ascii="Calibri" w:eastAsia="Times New Roman" w:hAnsi="Calibri" w:cs="Calibri"/>
                <w:b/>
                <w:bCs/>
                <w:color w:val="000000"/>
                <w:sz w:val="16"/>
                <w:szCs w:val="18"/>
                <w:lang w:eastAsia="es-MX"/>
              </w:rPr>
            </w:pPr>
            <w:r w:rsidRPr="008C72D8">
              <w:rPr>
                <w:rFonts w:ascii="Calibri" w:hAnsi="Calibri" w:cs="Calibri"/>
                <w:b/>
                <w:bCs/>
                <w:color w:val="000000"/>
                <w:sz w:val="16"/>
                <w:szCs w:val="18"/>
              </w:rPr>
              <w:t>Negocios y Economía</w:t>
            </w:r>
          </w:p>
        </w:tc>
        <w:tc>
          <w:tcPr>
            <w:tcW w:w="8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C89AC57" w14:textId="11D2C9C4" w:rsidR="00B513FC" w:rsidRPr="008C72D8" w:rsidRDefault="00B513FC" w:rsidP="0078703F">
            <w:pPr>
              <w:spacing w:line="240" w:lineRule="auto"/>
              <w:jc w:val="center"/>
              <w:rPr>
                <w:rFonts w:ascii="Calibri" w:eastAsia="Times New Roman" w:hAnsi="Calibri" w:cs="Calibri"/>
                <w:b/>
                <w:bCs/>
                <w:color w:val="000000"/>
                <w:sz w:val="16"/>
                <w:szCs w:val="18"/>
                <w:lang w:eastAsia="es-MX"/>
              </w:rPr>
            </w:pPr>
            <w:r w:rsidRPr="008C72D8">
              <w:rPr>
                <w:rFonts w:ascii="Calibri" w:hAnsi="Calibri" w:cs="Calibri"/>
                <w:b/>
                <w:bCs/>
                <w:color w:val="000000"/>
                <w:sz w:val="16"/>
                <w:szCs w:val="18"/>
              </w:rPr>
              <w:t>Ciencias Sociales</w:t>
            </w:r>
          </w:p>
        </w:tc>
        <w:tc>
          <w:tcPr>
            <w:tcW w:w="736"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38A53DE1" w14:textId="4CF1B505" w:rsidR="00B513FC" w:rsidRPr="008C72D8" w:rsidRDefault="00B513FC" w:rsidP="0078703F">
            <w:pPr>
              <w:spacing w:line="240" w:lineRule="auto"/>
              <w:jc w:val="center"/>
              <w:rPr>
                <w:rFonts w:ascii="Calibri" w:eastAsia="Times New Roman" w:hAnsi="Calibri" w:cs="Calibri"/>
                <w:b/>
                <w:bCs/>
                <w:color w:val="000000"/>
                <w:sz w:val="16"/>
                <w:szCs w:val="18"/>
                <w:lang w:eastAsia="es-MX"/>
              </w:rPr>
            </w:pPr>
            <w:r w:rsidRPr="008C72D8">
              <w:rPr>
                <w:rFonts w:ascii="Calibri" w:hAnsi="Calibri" w:cs="Calibri"/>
                <w:b/>
                <w:bCs/>
                <w:color w:val="000000"/>
                <w:sz w:val="16"/>
                <w:szCs w:val="18"/>
              </w:rPr>
              <w:t>Derecho</w:t>
            </w:r>
          </w:p>
        </w:tc>
        <w:tc>
          <w:tcPr>
            <w:tcW w:w="8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643A406" w14:textId="5B00F308" w:rsidR="00B513FC" w:rsidRPr="008C72D8" w:rsidRDefault="00B513FC" w:rsidP="0078703F">
            <w:pPr>
              <w:spacing w:line="240" w:lineRule="auto"/>
              <w:jc w:val="center"/>
              <w:rPr>
                <w:rFonts w:ascii="Calibri" w:eastAsia="Times New Roman" w:hAnsi="Calibri" w:cs="Calibri"/>
                <w:b/>
                <w:bCs/>
                <w:color w:val="000000"/>
                <w:sz w:val="16"/>
                <w:szCs w:val="18"/>
                <w:lang w:eastAsia="es-MX"/>
              </w:rPr>
            </w:pPr>
            <w:r w:rsidRPr="008C72D8">
              <w:rPr>
                <w:rFonts w:ascii="Calibri" w:hAnsi="Calibri" w:cs="Calibri"/>
                <w:b/>
                <w:bCs/>
                <w:color w:val="000000"/>
                <w:sz w:val="16"/>
                <w:szCs w:val="18"/>
              </w:rPr>
              <w:t>Educación</w:t>
            </w:r>
          </w:p>
        </w:tc>
        <w:tc>
          <w:tcPr>
            <w:tcW w:w="91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5BF8585D" w14:textId="78BE9D3A" w:rsidR="00B513FC" w:rsidRPr="008C72D8" w:rsidRDefault="00B513FC" w:rsidP="0078703F">
            <w:pPr>
              <w:spacing w:line="240" w:lineRule="auto"/>
              <w:jc w:val="center"/>
              <w:rPr>
                <w:rFonts w:ascii="Calibri" w:eastAsia="Times New Roman" w:hAnsi="Calibri" w:cs="Calibri"/>
                <w:b/>
                <w:bCs/>
                <w:color w:val="000000"/>
                <w:sz w:val="16"/>
                <w:szCs w:val="18"/>
                <w:lang w:eastAsia="es-MX"/>
              </w:rPr>
            </w:pPr>
            <w:r w:rsidRPr="008C72D8">
              <w:rPr>
                <w:rFonts w:ascii="Calibri" w:hAnsi="Calibri" w:cs="Calibri"/>
                <w:b/>
                <w:bCs/>
                <w:color w:val="000000"/>
                <w:sz w:val="16"/>
                <w:szCs w:val="18"/>
              </w:rPr>
              <w:t>Clínica, Pre-Clínica y Salud</w:t>
            </w:r>
          </w:p>
        </w:tc>
        <w:tc>
          <w:tcPr>
            <w:tcW w:w="70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6162CDFC" w14:textId="56748E4B" w:rsidR="00B513FC" w:rsidRPr="008C72D8" w:rsidRDefault="00B513FC" w:rsidP="0078703F">
            <w:pPr>
              <w:spacing w:line="240" w:lineRule="auto"/>
              <w:jc w:val="center"/>
              <w:rPr>
                <w:rFonts w:ascii="Calibri" w:eastAsia="Times New Roman" w:hAnsi="Calibri" w:cs="Calibri"/>
                <w:b/>
                <w:bCs/>
                <w:color w:val="000000"/>
                <w:sz w:val="16"/>
                <w:szCs w:val="18"/>
                <w:lang w:eastAsia="es-MX"/>
              </w:rPr>
            </w:pPr>
            <w:r w:rsidRPr="008C72D8">
              <w:rPr>
                <w:rFonts w:ascii="Calibri" w:hAnsi="Calibri" w:cs="Calibri"/>
                <w:b/>
                <w:bCs/>
                <w:color w:val="000000"/>
                <w:sz w:val="16"/>
                <w:szCs w:val="18"/>
              </w:rPr>
              <w:t>Ciencias de la Vida</w:t>
            </w:r>
          </w:p>
        </w:tc>
        <w:tc>
          <w:tcPr>
            <w:tcW w:w="85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AE1FF77" w14:textId="5083BFBE" w:rsidR="00B513FC" w:rsidRPr="008C72D8" w:rsidRDefault="00B513FC" w:rsidP="0078703F">
            <w:pPr>
              <w:spacing w:line="240" w:lineRule="auto"/>
              <w:jc w:val="center"/>
              <w:rPr>
                <w:rFonts w:ascii="Calibri" w:eastAsia="Times New Roman" w:hAnsi="Calibri" w:cs="Calibri"/>
                <w:b/>
                <w:bCs/>
                <w:color w:val="000000"/>
                <w:sz w:val="16"/>
                <w:szCs w:val="18"/>
                <w:lang w:eastAsia="es-MX"/>
              </w:rPr>
            </w:pPr>
            <w:r w:rsidRPr="008C72D8">
              <w:rPr>
                <w:rFonts w:ascii="Calibri" w:hAnsi="Calibri" w:cs="Calibri"/>
                <w:b/>
                <w:bCs/>
                <w:color w:val="000000"/>
                <w:sz w:val="16"/>
                <w:szCs w:val="18"/>
              </w:rPr>
              <w:t>Ciencias Físicas</w:t>
            </w:r>
          </w:p>
        </w:tc>
        <w:tc>
          <w:tcPr>
            <w:tcW w:w="85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053B4BC" w14:textId="695FB676" w:rsidR="00B513FC" w:rsidRPr="008C72D8" w:rsidRDefault="00B513FC" w:rsidP="0078703F">
            <w:pPr>
              <w:spacing w:line="240" w:lineRule="auto"/>
              <w:jc w:val="center"/>
              <w:rPr>
                <w:rFonts w:ascii="Calibri" w:eastAsia="Times New Roman" w:hAnsi="Calibri" w:cs="Calibri"/>
                <w:b/>
                <w:bCs/>
                <w:color w:val="000000"/>
                <w:sz w:val="16"/>
                <w:szCs w:val="18"/>
                <w:lang w:eastAsia="es-MX"/>
              </w:rPr>
            </w:pPr>
            <w:r w:rsidRPr="008C72D8">
              <w:rPr>
                <w:rFonts w:ascii="Calibri" w:hAnsi="Calibri" w:cs="Calibri"/>
                <w:b/>
                <w:bCs/>
                <w:color w:val="000000"/>
                <w:sz w:val="16"/>
                <w:szCs w:val="18"/>
              </w:rPr>
              <w:t>Psicología</w:t>
            </w:r>
          </w:p>
        </w:tc>
      </w:tr>
      <w:tr w:rsidR="00B513FC" w:rsidRPr="008C72D8" w14:paraId="3901F35C" w14:textId="36497321" w:rsidTr="00410E21">
        <w:trPr>
          <w:gridAfter w:val="1"/>
          <w:wAfter w:w="9" w:type="dxa"/>
          <w:trHeight w:val="204"/>
          <w:jc w:val="center"/>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3F375" w14:textId="2D8FA970"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UNAM</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FB52F" w14:textId="7B63FCA9"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11</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869235" w14:textId="45E0CA78"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101–125</w:t>
            </w: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3D5B1" w14:textId="5BC426CC"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601+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9CA5B" w14:textId="0F114BB6"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601–800</w:t>
            </w:r>
          </w:p>
        </w:tc>
        <w:tc>
          <w:tcPr>
            <w:tcW w:w="922" w:type="dxa"/>
            <w:tcBorders>
              <w:top w:val="single" w:sz="4" w:space="0" w:color="auto"/>
              <w:left w:val="single" w:sz="4" w:space="0" w:color="auto"/>
              <w:bottom w:val="single" w:sz="4" w:space="0" w:color="auto"/>
              <w:right w:val="single" w:sz="4" w:space="0" w:color="auto"/>
            </w:tcBorders>
            <w:vAlign w:val="center"/>
          </w:tcPr>
          <w:p w14:paraId="21E4E3FF" w14:textId="2592324D"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501+</w:t>
            </w:r>
          </w:p>
        </w:tc>
        <w:tc>
          <w:tcPr>
            <w:tcW w:w="890" w:type="dxa"/>
            <w:tcBorders>
              <w:top w:val="single" w:sz="4" w:space="0" w:color="auto"/>
              <w:left w:val="single" w:sz="4" w:space="0" w:color="auto"/>
              <w:bottom w:val="single" w:sz="4" w:space="0" w:color="auto"/>
              <w:right w:val="single" w:sz="4" w:space="0" w:color="auto"/>
            </w:tcBorders>
            <w:vAlign w:val="center"/>
          </w:tcPr>
          <w:p w14:paraId="650B666E" w14:textId="74A07BC0"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301–400</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57E07" w14:textId="4BB87567"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101–125</w:t>
            </w:r>
          </w:p>
        </w:tc>
        <w:tc>
          <w:tcPr>
            <w:tcW w:w="823" w:type="dxa"/>
            <w:tcBorders>
              <w:top w:val="single" w:sz="4" w:space="0" w:color="auto"/>
              <w:left w:val="single" w:sz="4" w:space="0" w:color="auto"/>
              <w:bottom w:val="single" w:sz="4" w:space="0" w:color="auto"/>
              <w:right w:val="single" w:sz="4" w:space="0" w:color="auto"/>
            </w:tcBorders>
            <w:vAlign w:val="center"/>
          </w:tcPr>
          <w:p w14:paraId="2DA093E2" w14:textId="7E7CC59C"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151–175</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60791" w14:textId="13B5DFAB"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401–500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D0912" w14:textId="43526F79" w:rsidR="00B513FC" w:rsidRPr="008C72D8" w:rsidRDefault="00B513FC" w:rsidP="0078703F">
            <w:pPr>
              <w:spacing w:line="240" w:lineRule="auto"/>
              <w:jc w:val="center"/>
              <w:rPr>
                <w:rFonts w:eastAsia="Times New Roman" w:cstheme="minorHAnsi"/>
                <w:sz w:val="16"/>
                <w:szCs w:val="18"/>
                <w:lang w:eastAsia="es-MX"/>
              </w:rPr>
            </w:pPr>
            <w:r w:rsidRPr="008C72D8">
              <w:rPr>
                <w:rFonts w:ascii="Calibri" w:hAnsi="Calibri" w:cs="Calibri"/>
                <w:color w:val="000000"/>
                <w:sz w:val="16"/>
              </w:rPr>
              <w:t>501–600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DABD71D" w14:textId="4C8B5251" w:rsidR="00B513FC" w:rsidRPr="008C72D8" w:rsidRDefault="00B513FC" w:rsidP="0078703F">
            <w:pPr>
              <w:spacing w:line="240" w:lineRule="auto"/>
              <w:jc w:val="center"/>
              <w:rPr>
                <w:sz w:val="16"/>
              </w:rPr>
            </w:pPr>
            <w:r w:rsidRPr="008C72D8">
              <w:rPr>
                <w:rFonts w:ascii="Calibri" w:hAnsi="Calibri" w:cs="Calibri"/>
                <w:color w:val="000000"/>
                <w:sz w:val="16"/>
              </w:rPr>
              <w:t>601–800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AD282DE" w14:textId="17E1D3B5" w:rsidR="00B513FC" w:rsidRPr="008C72D8" w:rsidRDefault="00B513FC" w:rsidP="0078703F">
            <w:pPr>
              <w:spacing w:line="240" w:lineRule="auto"/>
              <w:jc w:val="center"/>
              <w:rPr>
                <w:sz w:val="16"/>
              </w:rPr>
            </w:pPr>
            <w:r w:rsidRPr="008C72D8">
              <w:rPr>
                <w:rFonts w:ascii="Calibri" w:hAnsi="Calibri" w:cs="Calibri"/>
                <w:color w:val="000000"/>
                <w:sz w:val="16"/>
              </w:rPr>
              <w:t>301–400</w:t>
            </w:r>
          </w:p>
        </w:tc>
      </w:tr>
      <w:tr w:rsidR="00B513FC" w:rsidRPr="008C72D8" w14:paraId="3798D577" w14:textId="38F35C3C" w:rsidTr="00410E21">
        <w:trPr>
          <w:gridAfter w:val="1"/>
          <w:wAfter w:w="9" w:type="dxa"/>
          <w:trHeight w:val="249"/>
          <w:jc w:val="center"/>
        </w:trPr>
        <w:tc>
          <w:tcPr>
            <w:tcW w:w="8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AE1DD60" w14:textId="4D8377E8"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ITESM</w:t>
            </w:r>
          </w:p>
        </w:tc>
        <w:tc>
          <w:tcPr>
            <w:tcW w:w="8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5F67441" w14:textId="479BDF1D"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7</w:t>
            </w:r>
          </w:p>
        </w:tc>
        <w:tc>
          <w:tcPr>
            <w:tcW w:w="105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AD6CD49" w14:textId="38FC18CC" w:rsidR="00B513FC" w:rsidRPr="008C72D8" w:rsidRDefault="00B513FC" w:rsidP="0078703F">
            <w:pPr>
              <w:spacing w:line="240" w:lineRule="auto"/>
              <w:jc w:val="center"/>
              <w:rPr>
                <w:rFonts w:eastAsia="Times New Roman" w:cstheme="minorHAnsi"/>
                <w:color w:val="000000"/>
                <w:sz w:val="16"/>
                <w:szCs w:val="18"/>
                <w:lang w:eastAsia="es-MX"/>
              </w:rPr>
            </w:pPr>
          </w:p>
        </w:tc>
        <w:tc>
          <w:tcPr>
            <w:tcW w:w="114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D8E4408" w14:textId="2DA00078" w:rsidR="00B513FC" w:rsidRPr="008C72D8" w:rsidRDefault="00B513FC" w:rsidP="0078703F">
            <w:pPr>
              <w:spacing w:line="240" w:lineRule="auto"/>
              <w:jc w:val="center"/>
              <w:rPr>
                <w:rFonts w:eastAsia="Times New Roman" w:cstheme="minorHAnsi"/>
                <w:sz w:val="16"/>
                <w:szCs w:val="18"/>
                <w:lang w:eastAsia="es-MX"/>
              </w:rPr>
            </w:pPr>
            <w:r w:rsidRPr="008C72D8">
              <w:rPr>
                <w:rFonts w:ascii="Calibri" w:hAnsi="Calibri" w:cs="Calibri"/>
                <w:color w:val="000000"/>
                <w:sz w:val="16"/>
              </w:rPr>
              <w:t>501–600</w:t>
            </w:r>
          </w:p>
        </w:tc>
        <w:tc>
          <w:tcPr>
            <w:tcW w:w="98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5D4D0EE" w14:textId="6E3EC16D"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301–400</w:t>
            </w:r>
          </w:p>
        </w:tc>
        <w:tc>
          <w:tcPr>
            <w:tcW w:w="9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601520" w14:textId="788F5786"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251–300</w:t>
            </w:r>
          </w:p>
        </w:tc>
        <w:tc>
          <w:tcPr>
            <w:tcW w:w="8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173E39" w14:textId="3A502DD7" w:rsidR="00B513FC" w:rsidRPr="008C72D8" w:rsidRDefault="00B513FC" w:rsidP="0078703F">
            <w:pPr>
              <w:spacing w:line="240" w:lineRule="auto"/>
              <w:jc w:val="center"/>
              <w:rPr>
                <w:rFonts w:eastAsia="Times New Roman" w:cstheme="minorHAnsi"/>
                <w:color w:val="000000"/>
                <w:sz w:val="16"/>
                <w:szCs w:val="18"/>
                <w:lang w:eastAsia="es-MX"/>
              </w:rPr>
            </w:pPr>
          </w:p>
        </w:tc>
        <w:tc>
          <w:tcPr>
            <w:tcW w:w="73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3BAE321" w14:textId="30FB61E1" w:rsidR="00B513FC" w:rsidRPr="008C72D8" w:rsidRDefault="00B513FC" w:rsidP="0078703F">
            <w:pPr>
              <w:spacing w:line="240" w:lineRule="auto"/>
              <w:jc w:val="center"/>
              <w:rPr>
                <w:rFonts w:eastAsia="Times New Roman" w:cstheme="minorHAnsi"/>
                <w:color w:val="000000"/>
                <w:sz w:val="16"/>
                <w:szCs w:val="18"/>
                <w:lang w:eastAsia="es-MX"/>
              </w:rPr>
            </w:pPr>
          </w:p>
        </w:tc>
        <w:tc>
          <w:tcPr>
            <w:tcW w:w="8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A83B56" w14:textId="3B68E18F"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176–200</w:t>
            </w:r>
          </w:p>
        </w:tc>
        <w:tc>
          <w:tcPr>
            <w:tcW w:w="9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F91DA0" w14:textId="41A202D7"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501–600</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AF22C42" w14:textId="7F53CE6A"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401–500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7A5C67" w14:textId="4D22B051" w:rsidR="00B513FC" w:rsidRPr="008C72D8" w:rsidRDefault="00B513FC" w:rsidP="0078703F">
            <w:pPr>
              <w:spacing w:line="240" w:lineRule="auto"/>
              <w:jc w:val="center"/>
              <w:rPr>
                <w:sz w:val="16"/>
              </w:rPr>
            </w:pPr>
            <w:r w:rsidRPr="008C72D8">
              <w:rPr>
                <w:rFonts w:ascii="Calibri" w:hAnsi="Calibri" w:cs="Calibri"/>
                <w:color w:val="000000"/>
                <w:sz w:val="16"/>
              </w:rPr>
              <w:t>501–600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B263E9D" w14:textId="36E6C73C" w:rsidR="00B513FC" w:rsidRPr="008C72D8" w:rsidRDefault="00B513FC" w:rsidP="0078703F">
            <w:pPr>
              <w:spacing w:line="240" w:lineRule="auto"/>
              <w:jc w:val="center"/>
              <w:rPr>
                <w:sz w:val="16"/>
              </w:rPr>
            </w:pPr>
          </w:p>
        </w:tc>
      </w:tr>
      <w:tr w:rsidR="00B513FC" w:rsidRPr="008C72D8" w14:paraId="437BD04B" w14:textId="353CFE8D" w:rsidTr="00410E21">
        <w:trPr>
          <w:gridAfter w:val="1"/>
          <w:wAfter w:w="9" w:type="dxa"/>
          <w:trHeight w:val="249"/>
          <w:jc w:val="center"/>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208DF" w14:textId="27747DE4"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UdeG</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B60A0" w14:textId="3B0E5A56"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7</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6BFA6" w14:textId="4E76221C" w:rsidR="00B513FC" w:rsidRPr="008C72D8" w:rsidRDefault="00B513FC" w:rsidP="0078703F">
            <w:pPr>
              <w:spacing w:line="240" w:lineRule="auto"/>
              <w:jc w:val="center"/>
              <w:rPr>
                <w:rFonts w:eastAsia="Times New Roman" w:cstheme="minorHAnsi"/>
                <w:color w:val="000000"/>
                <w:sz w:val="16"/>
                <w:szCs w:val="18"/>
                <w:lang w:eastAsia="es-MX"/>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3483A" w14:textId="61BE2F58"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601+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6BBE7" w14:textId="582B23A0"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801+</w:t>
            </w:r>
          </w:p>
        </w:tc>
        <w:tc>
          <w:tcPr>
            <w:tcW w:w="922" w:type="dxa"/>
            <w:tcBorders>
              <w:top w:val="single" w:sz="4" w:space="0" w:color="auto"/>
              <w:left w:val="single" w:sz="4" w:space="0" w:color="auto"/>
              <w:bottom w:val="single" w:sz="4" w:space="0" w:color="auto"/>
              <w:right w:val="single" w:sz="4" w:space="0" w:color="auto"/>
            </w:tcBorders>
            <w:vAlign w:val="center"/>
          </w:tcPr>
          <w:p w14:paraId="35D356CC" w14:textId="250779CB" w:rsidR="00B513FC" w:rsidRPr="008C72D8" w:rsidRDefault="00B513FC" w:rsidP="0078703F">
            <w:pPr>
              <w:spacing w:line="240" w:lineRule="auto"/>
              <w:jc w:val="center"/>
              <w:rPr>
                <w:rFonts w:eastAsia="Times New Roman" w:cstheme="minorHAnsi"/>
                <w:color w:val="000000"/>
                <w:sz w:val="16"/>
                <w:szCs w:val="18"/>
                <w:lang w:eastAsia="es-MX"/>
              </w:rPr>
            </w:pPr>
          </w:p>
        </w:tc>
        <w:tc>
          <w:tcPr>
            <w:tcW w:w="890" w:type="dxa"/>
            <w:tcBorders>
              <w:top w:val="single" w:sz="4" w:space="0" w:color="auto"/>
              <w:left w:val="single" w:sz="4" w:space="0" w:color="auto"/>
              <w:bottom w:val="single" w:sz="4" w:space="0" w:color="auto"/>
              <w:right w:val="single" w:sz="4" w:space="0" w:color="auto"/>
            </w:tcBorders>
            <w:vAlign w:val="center"/>
          </w:tcPr>
          <w:p w14:paraId="07B5ADB3" w14:textId="206BA274"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601+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55A7B" w14:textId="2AD8309F" w:rsidR="00B513FC" w:rsidRPr="008C72D8" w:rsidRDefault="00B513FC" w:rsidP="0078703F">
            <w:pPr>
              <w:spacing w:line="240" w:lineRule="auto"/>
              <w:jc w:val="center"/>
              <w:rPr>
                <w:rFonts w:eastAsia="Times New Roman" w:cstheme="minorHAnsi"/>
                <w:color w:val="000000"/>
                <w:sz w:val="16"/>
                <w:szCs w:val="18"/>
                <w:lang w:eastAsia="es-MX"/>
              </w:rPr>
            </w:pPr>
          </w:p>
        </w:tc>
        <w:tc>
          <w:tcPr>
            <w:tcW w:w="823" w:type="dxa"/>
            <w:tcBorders>
              <w:top w:val="single" w:sz="4" w:space="0" w:color="auto"/>
              <w:left w:val="single" w:sz="4" w:space="0" w:color="auto"/>
              <w:bottom w:val="single" w:sz="4" w:space="0" w:color="auto"/>
              <w:right w:val="single" w:sz="4" w:space="0" w:color="auto"/>
            </w:tcBorders>
            <w:vAlign w:val="center"/>
          </w:tcPr>
          <w:p w14:paraId="16FD1234" w14:textId="42CE0F5D" w:rsidR="00B513FC" w:rsidRPr="008C72D8" w:rsidRDefault="00B513FC" w:rsidP="0078703F">
            <w:pPr>
              <w:spacing w:line="240" w:lineRule="auto"/>
              <w:jc w:val="center"/>
              <w:rPr>
                <w:rFonts w:eastAsia="Times New Roman" w:cstheme="minorHAnsi"/>
                <w:color w:val="000000"/>
                <w:sz w:val="16"/>
                <w:szCs w:val="18"/>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00F7D" w14:textId="06796D22"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601+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EE389" w14:textId="7B5C5683" w:rsidR="00B513FC" w:rsidRPr="008C72D8" w:rsidRDefault="00B513FC" w:rsidP="0078703F">
            <w:pPr>
              <w:spacing w:line="240" w:lineRule="auto"/>
              <w:jc w:val="center"/>
              <w:rPr>
                <w:rFonts w:eastAsia="Times New Roman" w:cstheme="minorHAnsi"/>
                <w:sz w:val="16"/>
                <w:szCs w:val="18"/>
                <w:lang w:eastAsia="es-MX"/>
              </w:rPr>
            </w:pPr>
            <w:r w:rsidRPr="008C72D8">
              <w:rPr>
                <w:rFonts w:ascii="Calibri" w:hAnsi="Calibri" w:cs="Calibri"/>
                <w:color w:val="000000"/>
                <w:sz w:val="16"/>
              </w:rPr>
              <w:t>601+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444E7DA" w14:textId="206FE364" w:rsidR="00B513FC" w:rsidRPr="008C72D8" w:rsidRDefault="00B513FC" w:rsidP="0078703F">
            <w:pPr>
              <w:spacing w:line="240" w:lineRule="auto"/>
              <w:jc w:val="center"/>
              <w:rPr>
                <w:sz w:val="16"/>
              </w:rPr>
            </w:pPr>
            <w:r w:rsidRPr="008C72D8">
              <w:rPr>
                <w:rFonts w:ascii="Calibri" w:hAnsi="Calibri" w:cs="Calibri"/>
                <w:color w:val="000000"/>
                <w:sz w:val="16"/>
              </w:rPr>
              <w:t>801+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7FFE4840" w14:textId="7F733A48" w:rsidR="00B513FC" w:rsidRPr="008C72D8" w:rsidRDefault="00B513FC" w:rsidP="0078703F">
            <w:pPr>
              <w:spacing w:line="240" w:lineRule="auto"/>
              <w:jc w:val="center"/>
              <w:rPr>
                <w:sz w:val="16"/>
              </w:rPr>
            </w:pPr>
            <w:r w:rsidRPr="008C72D8">
              <w:rPr>
                <w:rFonts w:ascii="Calibri" w:hAnsi="Calibri" w:cs="Calibri"/>
                <w:color w:val="000000"/>
                <w:sz w:val="16"/>
              </w:rPr>
              <w:t>401+</w:t>
            </w:r>
          </w:p>
        </w:tc>
      </w:tr>
      <w:tr w:rsidR="00B513FC" w:rsidRPr="008C72D8" w14:paraId="6858D790" w14:textId="5926C811" w:rsidTr="00410E21">
        <w:trPr>
          <w:gridAfter w:val="1"/>
          <w:wAfter w:w="9" w:type="dxa"/>
          <w:trHeight w:val="249"/>
          <w:jc w:val="center"/>
        </w:trPr>
        <w:tc>
          <w:tcPr>
            <w:tcW w:w="8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FF298B2" w14:textId="028FDCE3"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UAM</w:t>
            </w:r>
          </w:p>
        </w:tc>
        <w:tc>
          <w:tcPr>
            <w:tcW w:w="8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8D8E17F" w14:textId="6419A656"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6</w:t>
            </w:r>
          </w:p>
        </w:tc>
        <w:tc>
          <w:tcPr>
            <w:tcW w:w="105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34F904A" w14:textId="76304730" w:rsidR="00B513FC" w:rsidRPr="008C72D8" w:rsidRDefault="00B513FC" w:rsidP="0078703F">
            <w:pPr>
              <w:spacing w:line="240" w:lineRule="auto"/>
              <w:jc w:val="center"/>
              <w:rPr>
                <w:rFonts w:eastAsia="Times New Roman" w:cstheme="minorHAnsi"/>
                <w:color w:val="000000"/>
                <w:sz w:val="16"/>
                <w:szCs w:val="18"/>
                <w:lang w:eastAsia="es-MX"/>
              </w:rPr>
            </w:pPr>
          </w:p>
        </w:tc>
        <w:tc>
          <w:tcPr>
            <w:tcW w:w="114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E5F47D7" w14:textId="2A9B859A"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601+</w:t>
            </w:r>
          </w:p>
        </w:tc>
        <w:tc>
          <w:tcPr>
            <w:tcW w:w="98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853DE98" w14:textId="2B613618"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801+</w:t>
            </w:r>
          </w:p>
        </w:tc>
        <w:tc>
          <w:tcPr>
            <w:tcW w:w="9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48F3EBD" w14:textId="3527E590" w:rsidR="00B513FC" w:rsidRPr="008C72D8" w:rsidRDefault="00B513FC" w:rsidP="0078703F">
            <w:pPr>
              <w:spacing w:line="240" w:lineRule="auto"/>
              <w:jc w:val="center"/>
              <w:rPr>
                <w:rFonts w:eastAsia="Times New Roman" w:cstheme="minorHAnsi"/>
                <w:color w:val="000000"/>
                <w:sz w:val="16"/>
                <w:szCs w:val="18"/>
                <w:lang w:eastAsia="es-MX"/>
              </w:rPr>
            </w:pPr>
          </w:p>
        </w:tc>
        <w:tc>
          <w:tcPr>
            <w:tcW w:w="8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66CA79" w14:textId="7D98425F"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601+</w:t>
            </w:r>
          </w:p>
        </w:tc>
        <w:tc>
          <w:tcPr>
            <w:tcW w:w="73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07280CA" w14:textId="569E9928" w:rsidR="00B513FC" w:rsidRPr="008C72D8" w:rsidRDefault="00B513FC" w:rsidP="0078703F">
            <w:pPr>
              <w:spacing w:line="240" w:lineRule="auto"/>
              <w:jc w:val="center"/>
              <w:rPr>
                <w:rFonts w:eastAsia="Times New Roman" w:cstheme="minorHAnsi"/>
                <w:color w:val="000000"/>
                <w:sz w:val="16"/>
                <w:szCs w:val="18"/>
                <w:lang w:eastAsia="es-MX"/>
              </w:rPr>
            </w:pPr>
          </w:p>
        </w:tc>
        <w:tc>
          <w:tcPr>
            <w:tcW w:w="8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C39064" w14:textId="1D667730" w:rsidR="00B513FC" w:rsidRPr="008C72D8" w:rsidRDefault="00B513FC" w:rsidP="0078703F">
            <w:pPr>
              <w:spacing w:line="240" w:lineRule="auto"/>
              <w:jc w:val="center"/>
              <w:rPr>
                <w:rFonts w:eastAsia="Times New Roman" w:cstheme="minorHAnsi"/>
                <w:color w:val="000000"/>
                <w:sz w:val="16"/>
                <w:szCs w:val="18"/>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086F8FC" w14:textId="57C65FF0"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151–175</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50ABF46" w14:textId="705B67F4"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601+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07E36D" w14:textId="7DAFFFD0" w:rsidR="00B513FC" w:rsidRPr="008C72D8" w:rsidRDefault="00B513FC" w:rsidP="0078703F">
            <w:pPr>
              <w:spacing w:line="240" w:lineRule="auto"/>
              <w:jc w:val="center"/>
              <w:rPr>
                <w:sz w:val="16"/>
              </w:rPr>
            </w:pPr>
            <w:r w:rsidRPr="008C72D8">
              <w:rPr>
                <w:rFonts w:ascii="Calibri" w:hAnsi="Calibri" w:cs="Calibri"/>
                <w:color w:val="000000"/>
                <w:sz w:val="16"/>
              </w:rPr>
              <w:t>801+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D62817" w14:textId="7EF7363D" w:rsidR="00B513FC" w:rsidRPr="008C72D8" w:rsidRDefault="00B513FC" w:rsidP="0078703F">
            <w:pPr>
              <w:spacing w:line="240" w:lineRule="auto"/>
              <w:jc w:val="center"/>
              <w:rPr>
                <w:sz w:val="16"/>
              </w:rPr>
            </w:pPr>
          </w:p>
        </w:tc>
      </w:tr>
      <w:tr w:rsidR="00B513FC" w:rsidRPr="008C72D8" w14:paraId="7F675BE7" w14:textId="15CCD41F" w:rsidTr="00410E21">
        <w:trPr>
          <w:gridAfter w:val="1"/>
          <w:wAfter w:w="9" w:type="dxa"/>
          <w:trHeight w:val="249"/>
          <w:jc w:val="center"/>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0D8EA" w14:textId="64ABADBF"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UANL</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E725B" w14:textId="29356170"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4</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5F5BB" w14:textId="6CE8BF23" w:rsidR="00B513FC" w:rsidRPr="008C72D8" w:rsidRDefault="00B513FC" w:rsidP="0078703F">
            <w:pPr>
              <w:spacing w:line="240" w:lineRule="auto"/>
              <w:jc w:val="center"/>
              <w:rPr>
                <w:rFonts w:eastAsia="Times New Roman" w:cstheme="minorHAnsi"/>
                <w:color w:val="000000"/>
                <w:sz w:val="16"/>
                <w:szCs w:val="18"/>
                <w:lang w:eastAsia="es-MX"/>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0FDB2" w14:textId="37F9A105" w:rsidR="00B513FC" w:rsidRPr="008C72D8" w:rsidRDefault="00B513FC" w:rsidP="0078703F">
            <w:pPr>
              <w:spacing w:line="240" w:lineRule="auto"/>
              <w:jc w:val="center"/>
              <w:rPr>
                <w:rFonts w:eastAsia="Times New Roman" w:cstheme="minorHAnsi"/>
                <w:color w:val="000000"/>
                <w:sz w:val="16"/>
                <w:szCs w:val="18"/>
                <w:lang w:eastAsia="es-MX"/>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16BC3" w14:textId="67C6BFE4"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801+</w:t>
            </w:r>
          </w:p>
        </w:tc>
        <w:tc>
          <w:tcPr>
            <w:tcW w:w="922" w:type="dxa"/>
            <w:tcBorders>
              <w:top w:val="single" w:sz="4" w:space="0" w:color="auto"/>
              <w:left w:val="single" w:sz="4" w:space="0" w:color="auto"/>
              <w:bottom w:val="single" w:sz="4" w:space="0" w:color="auto"/>
              <w:right w:val="single" w:sz="4" w:space="0" w:color="auto"/>
            </w:tcBorders>
            <w:vAlign w:val="center"/>
          </w:tcPr>
          <w:p w14:paraId="510FC000" w14:textId="7EA307AB" w:rsidR="00B513FC" w:rsidRPr="008C72D8" w:rsidRDefault="00B513FC" w:rsidP="0078703F">
            <w:pPr>
              <w:spacing w:line="240" w:lineRule="auto"/>
              <w:jc w:val="center"/>
              <w:rPr>
                <w:rFonts w:eastAsia="Times New Roman" w:cstheme="minorHAnsi"/>
                <w:color w:val="000000"/>
                <w:sz w:val="16"/>
                <w:szCs w:val="18"/>
                <w:lang w:eastAsia="es-MX"/>
              </w:rPr>
            </w:pPr>
          </w:p>
        </w:tc>
        <w:tc>
          <w:tcPr>
            <w:tcW w:w="890" w:type="dxa"/>
            <w:tcBorders>
              <w:top w:val="single" w:sz="4" w:space="0" w:color="auto"/>
              <w:left w:val="single" w:sz="4" w:space="0" w:color="auto"/>
              <w:bottom w:val="single" w:sz="4" w:space="0" w:color="auto"/>
              <w:right w:val="single" w:sz="4" w:space="0" w:color="auto"/>
            </w:tcBorders>
            <w:vAlign w:val="center"/>
          </w:tcPr>
          <w:p w14:paraId="6445A7A0" w14:textId="4F6A1691" w:rsidR="00B513FC" w:rsidRPr="008C72D8" w:rsidRDefault="00B513FC" w:rsidP="0078703F">
            <w:pPr>
              <w:spacing w:line="240" w:lineRule="auto"/>
              <w:jc w:val="center"/>
              <w:rPr>
                <w:rFonts w:eastAsia="Times New Roman" w:cstheme="minorHAnsi"/>
                <w:color w:val="000000"/>
                <w:sz w:val="16"/>
                <w:szCs w:val="18"/>
                <w:lang w:eastAsia="es-MX"/>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C86FB" w14:textId="33F0A4CC" w:rsidR="00B513FC" w:rsidRPr="008C72D8" w:rsidRDefault="00B513FC" w:rsidP="0078703F">
            <w:pPr>
              <w:spacing w:line="240" w:lineRule="auto"/>
              <w:jc w:val="center"/>
              <w:rPr>
                <w:rFonts w:eastAsia="Times New Roman" w:cstheme="minorHAnsi"/>
                <w:color w:val="000000"/>
                <w:sz w:val="16"/>
                <w:szCs w:val="18"/>
                <w:lang w:eastAsia="es-MX"/>
              </w:rPr>
            </w:pPr>
          </w:p>
        </w:tc>
        <w:tc>
          <w:tcPr>
            <w:tcW w:w="823" w:type="dxa"/>
            <w:tcBorders>
              <w:top w:val="single" w:sz="4" w:space="0" w:color="auto"/>
              <w:left w:val="single" w:sz="4" w:space="0" w:color="auto"/>
              <w:bottom w:val="single" w:sz="4" w:space="0" w:color="auto"/>
              <w:right w:val="single" w:sz="4" w:space="0" w:color="auto"/>
            </w:tcBorders>
            <w:vAlign w:val="center"/>
          </w:tcPr>
          <w:p w14:paraId="30132D91" w14:textId="31EF0412" w:rsidR="00B513FC" w:rsidRPr="008C72D8" w:rsidRDefault="00B513FC" w:rsidP="0078703F">
            <w:pPr>
              <w:spacing w:line="240" w:lineRule="auto"/>
              <w:jc w:val="center"/>
              <w:rPr>
                <w:rFonts w:eastAsia="Times New Roman" w:cstheme="minorHAnsi"/>
                <w:color w:val="000000"/>
                <w:sz w:val="16"/>
                <w:szCs w:val="18"/>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7DA1B" w14:textId="4A697B3B"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601+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73420" w14:textId="4BA95269" w:rsidR="00B513FC" w:rsidRPr="008C72D8" w:rsidRDefault="00B513FC" w:rsidP="0078703F">
            <w:pPr>
              <w:spacing w:line="240" w:lineRule="auto"/>
              <w:jc w:val="center"/>
              <w:rPr>
                <w:rFonts w:eastAsia="Times New Roman" w:cstheme="minorHAnsi"/>
                <w:sz w:val="16"/>
                <w:szCs w:val="18"/>
                <w:lang w:eastAsia="es-MX"/>
              </w:rPr>
            </w:pPr>
            <w:r w:rsidRPr="008C72D8">
              <w:rPr>
                <w:rFonts w:ascii="Calibri" w:hAnsi="Calibri" w:cs="Calibri"/>
                <w:color w:val="000000"/>
                <w:sz w:val="16"/>
              </w:rPr>
              <w:t>601+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DB69CAA" w14:textId="39CB6707" w:rsidR="00B513FC" w:rsidRPr="008C72D8" w:rsidRDefault="00B513FC" w:rsidP="0078703F">
            <w:pPr>
              <w:spacing w:line="240" w:lineRule="auto"/>
              <w:jc w:val="center"/>
              <w:rPr>
                <w:sz w:val="16"/>
              </w:rPr>
            </w:pPr>
            <w:r w:rsidRPr="008C72D8">
              <w:rPr>
                <w:rFonts w:ascii="Calibri" w:hAnsi="Calibri" w:cs="Calibri"/>
                <w:color w:val="000000"/>
                <w:sz w:val="16"/>
              </w:rPr>
              <w:t>801+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DF273F6" w14:textId="397BF7D6" w:rsidR="00B513FC" w:rsidRPr="008C72D8" w:rsidRDefault="00B513FC" w:rsidP="0078703F">
            <w:pPr>
              <w:spacing w:line="240" w:lineRule="auto"/>
              <w:jc w:val="center"/>
              <w:rPr>
                <w:sz w:val="16"/>
              </w:rPr>
            </w:pPr>
          </w:p>
        </w:tc>
      </w:tr>
      <w:tr w:rsidR="00B513FC" w:rsidRPr="008C72D8" w14:paraId="3F4D83A3" w14:textId="0957A83F" w:rsidTr="00410E21">
        <w:trPr>
          <w:gridAfter w:val="1"/>
          <w:wAfter w:w="9" w:type="dxa"/>
          <w:trHeight w:val="249"/>
          <w:jc w:val="center"/>
        </w:trPr>
        <w:tc>
          <w:tcPr>
            <w:tcW w:w="8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B3DBA88" w14:textId="633ED774"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UASLP</w:t>
            </w:r>
          </w:p>
        </w:tc>
        <w:tc>
          <w:tcPr>
            <w:tcW w:w="8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A29D8EF" w14:textId="7CDC6E94"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4</w:t>
            </w:r>
          </w:p>
        </w:tc>
        <w:tc>
          <w:tcPr>
            <w:tcW w:w="105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2742762" w14:textId="63DFA9A7" w:rsidR="00B513FC" w:rsidRPr="008C72D8" w:rsidRDefault="00B513FC" w:rsidP="0078703F">
            <w:pPr>
              <w:spacing w:line="240" w:lineRule="auto"/>
              <w:jc w:val="center"/>
              <w:rPr>
                <w:rFonts w:eastAsia="Times New Roman" w:cstheme="minorHAnsi"/>
                <w:color w:val="000000"/>
                <w:sz w:val="16"/>
                <w:szCs w:val="18"/>
                <w:lang w:eastAsia="es-MX"/>
              </w:rPr>
            </w:pPr>
          </w:p>
        </w:tc>
        <w:tc>
          <w:tcPr>
            <w:tcW w:w="114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D17BD47" w14:textId="167C4E80" w:rsidR="00B513FC" w:rsidRPr="008C72D8" w:rsidRDefault="00B513FC" w:rsidP="0078703F">
            <w:pPr>
              <w:spacing w:line="240" w:lineRule="auto"/>
              <w:jc w:val="center"/>
              <w:rPr>
                <w:rFonts w:eastAsia="Times New Roman" w:cstheme="minorHAnsi"/>
                <w:sz w:val="16"/>
                <w:szCs w:val="18"/>
                <w:lang w:eastAsia="es-MX"/>
              </w:rPr>
            </w:pPr>
          </w:p>
        </w:tc>
        <w:tc>
          <w:tcPr>
            <w:tcW w:w="98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2C55577" w14:textId="6E39963E"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801+</w:t>
            </w:r>
          </w:p>
        </w:tc>
        <w:tc>
          <w:tcPr>
            <w:tcW w:w="9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6C75B2" w14:textId="39DC4E61" w:rsidR="00B513FC" w:rsidRPr="008C72D8" w:rsidRDefault="00B513FC" w:rsidP="0078703F">
            <w:pPr>
              <w:spacing w:line="240" w:lineRule="auto"/>
              <w:jc w:val="center"/>
              <w:rPr>
                <w:rFonts w:eastAsia="Times New Roman" w:cstheme="minorHAnsi"/>
                <w:color w:val="000000"/>
                <w:sz w:val="16"/>
                <w:szCs w:val="18"/>
                <w:lang w:eastAsia="es-MX"/>
              </w:rPr>
            </w:pPr>
          </w:p>
        </w:tc>
        <w:tc>
          <w:tcPr>
            <w:tcW w:w="8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EC01BC" w14:textId="53B7BCD3" w:rsidR="00B513FC" w:rsidRPr="008C72D8" w:rsidRDefault="00B513FC" w:rsidP="0078703F">
            <w:pPr>
              <w:spacing w:line="240" w:lineRule="auto"/>
              <w:jc w:val="center"/>
              <w:rPr>
                <w:rFonts w:eastAsia="Times New Roman" w:cstheme="minorHAnsi"/>
                <w:color w:val="000000"/>
                <w:sz w:val="16"/>
                <w:szCs w:val="18"/>
                <w:lang w:eastAsia="es-MX"/>
              </w:rPr>
            </w:pPr>
          </w:p>
        </w:tc>
        <w:tc>
          <w:tcPr>
            <w:tcW w:w="73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70B5B7E" w14:textId="4AD3BF79" w:rsidR="00B513FC" w:rsidRPr="008C72D8" w:rsidRDefault="00B513FC" w:rsidP="0078703F">
            <w:pPr>
              <w:spacing w:line="240" w:lineRule="auto"/>
              <w:jc w:val="center"/>
              <w:rPr>
                <w:rFonts w:eastAsia="Times New Roman" w:cstheme="minorHAnsi"/>
                <w:color w:val="000000"/>
                <w:sz w:val="16"/>
                <w:szCs w:val="18"/>
                <w:lang w:eastAsia="es-MX"/>
              </w:rPr>
            </w:pPr>
          </w:p>
        </w:tc>
        <w:tc>
          <w:tcPr>
            <w:tcW w:w="8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9C1D494" w14:textId="3865501C" w:rsidR="00B513FC" w:rsidRPr="008C72D8" w:rsidRDefault="00B513FC" w:rsidP="0078703F">
            <w:pPr>
              <w:spacing w:line="240" w:lineRule="auto"/>
              <w:jc w:val="center"/>
              <w:rPr>
                <w:rFonts w:eastAsia="Times New Roman" w:cstheme="minorHAnsi"/>
                <w:color w:val="000000"/>
                <w:sz w:val="16"/>
                <w:szCs w:val="18"/>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C050982" w14:textId="78F412F3"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601+</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84A8E9A" w14:textId="4687F348"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601+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16CBF4" w14:textId="688CE67F" w:rsidR="00B513FC" w:rsidRPr="008C72D8" w:rsidRDefault="00B513FC" w:rsidP="0078703F">
            <w:pPr>
              <w:spacing w:line="240" w:lineRule="auto"/>
              <w:jc w:val="center"/>
              <w:rPr>
                <w:sz w:val="16"/>
              </w:rPr>
            </w:pPr>
            <w:r w:rsidRPr="008C72D8">
              <w:rPr>
                <w:rFonts w:ascii="Calibri" w:hAnsi="Calibri" w:cs="Calibri"/>
                <w:color w:val="000000"/>
                <w:sz w:val="16"/>
              </w:rPr>
              <w:t>801+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DE2061" w14:textId="21BF2322" w:rsidR="00B513FC" w:rsidRPr="008C72D8" w:rsidRDefault="00B513FC" w:rsidP="0078703F">
            <w:pPr>
              <w:spacing w:line="240" w:lineRule="auto"/>
              <w:jc w:val="center"/>
              <w:rPr>
                <w:sz w:val="16"/>
              </w:rPr>
            </w:pPr>
          </w:p>
        </w:tc>
      </w:tr>
      <w:tr w:rsidR="00B513FC" w:rsidRPr="008C72D8" w14:paraId="78706223" w14:textId="1E8CD227" w:rsidTr="00410E21">
        <w:trPr>
          <w:gridAfter w:val="1"/>
          <w:wAfter w:w="9" w:type="dxa"/>
          <w:trHeight w:val="249"/>
          <w:jc w:val="center"/>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FC7F4" w14:textId="6CB780A5"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UAEM</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696E9" w14:textId="56CF3E6A"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4</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8361F" w14:textId="3CB3847A" w:rsidR="00B513FC" w:rsidRPr="008C72D8" w:rsidRDefault="00B513FC" w:rsidP="0078703F">
            <w:pPr>
              <w:spacing w:line="240" w:lineRule="auto"/>
              <w:jc w:val="center"/>
              <w:rPr>
                <w:rFonts w:eastAsia="Times New Roman" w:cstheme="minorHAnsi"/>
                <w:color w:val="000000"/>
                <w:sz w:val="16"/>
                <w:szCs w:val="18"/>
                <w:lang w:eastAsia="es-MX"/>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1160F" w14:textId="4DEE0DD7" w:rsidR="00B513FC" w:rsidRPr="008C72D8" w:rsidRDefault="00B513FC" w:rsidP="0078703F">
            <w:pPr>
              <w:spacing w:line="240" w:lineRule="auto"/>
              <w:jc w:val="center"/>
              <w:rPr>
                <w:rFonts w:eastAsia="Times New Roman" w:cstheme="minorHAnsi"/>
                <w:color w:val="000000"/>
                <w:sz w:val="16"/>
                <w:szCs w:val="18"/>
                <w:lang w:eastAsia="es-MX"/>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80C45" w14:textId="287ED50B"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801+</w:t>
            </w:r>
          </w:p>
        </w:tc>
        <w:tc>
          <w:tcPr>
            <w:tcW w:w="922" w:type="dxa"/>
            <w:tcBorders>
              <w:top w:val="single" w:sz="4" w:space="0" w:color="auto"/>
              <w:left w:val="single" w:sz="4" w:space="0" w:color="auto"/>
              <w:bottom w:val="single" w:sz="4" w:space="0" w:color="auto"/>
              <w:right w:val="single" w:sz="4" w:space="0" w:color="auto"/>
            </w:tcBorders>
            <w:vAlign w:val="center"/>
          </w:tcPr>
          <w:p w14:paraId="02BBB692" w14:textId="4095E2EC" w:rsidR="00B513FC" w:rsidRPr="008C72D8" w:rsidRDefault="00B513FC" w:rsidP="0078703F">
            <w:pPr>
              <w:spacing w:line="240" w:lineRule="auto"/>
              <w:jc w:val="center"/>
              <w:rPr>
                <w:rFonts w:eastAsia="Times New Roman" w:cstheme="minorHAnsi"/>
                <w:color w:val="000000"/>
                <w:sz w:val="16"/>
                <w:szCs w:val="18"/>
                <w:lang w:eastAsia="es-MX"/>
              </w:rPr>
            </w:pPr>
          </w:p>
        </w:tc>
        <w:tc>
          <w:tcPr>
            <w:tcW w:w="890" w:type="dxa"/>
            <w:tcBorders>
              <w:top w:val="single" w:sz="4" w:space="0" w:color="auto"/>
              <w:left w:val="single" w:sz="4" w:space="0" w:color="auto"/>
              <w:bottom w:val="single" w:sz="4" w:space="0" w:color="auto"/>
              <w:right w:val="single" w:sz="4" w:space="0" w:color="auto"/>
            </w:tcBorders>
            <w:vAlign w:val="center"/>
          </w:tcPr>
          <w:p w14:paraId="7657AA1F" w14:textId="6F9469C0"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601+</w:t>
            </w: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6521D" w14:textId="512F4E33" w:rsidR="00B513FC" w:rsidRPr="008C72D8" w:rsidRDefault="00B513FC" w:rsidP="0078703F">
            <w:pPr>
              <w:spacing w:line="240" w:lineRule="auto"/>
              <w:jc w:val="center"/>
              <w:rPr>
                <w:rFonts w:eastAsia="Times New Roman" w:cstheme="minorHAnsi"/>
                <w:color w:val="000000"/>
                <w:sz w:val="16"/>
                <w:szCs w:val="18"/>
                <w:lang w:eastAsia="es-MX"/>
              </w:rPr>
            </w:pPr>
          </w:p>
        </w:tc>
        <w:tc>
          <w:tcPr>
            <w:tcW w:w="823" w:type="dxa"/>
            <w:tcBorders>
              <w:top w:val="single" w:sz="4" w:space="0" w:color="auto"/>
              <w:left w:val="single" w:sz="4" w:space="0" w:color="auto"/>
              <w:bottom w:val="single" w:sz="4" w:space="0" w:color="auto"/>
              <w:right w:val="single" w:sz="4" w:space="0" w:color="auto"/>
            </w:tcBorders>
            <w:vAlign w:val="center"/>
          </w:tcPr>
          <w:p w14:paraId="0528EDD8" w14:textId="1ED7EBE5" w:rsidR="00B513FC" w:rsidRPr="008C72D8" w:rsidRDefault="00B513FC" w:rsidP="0078703F">
            <w:pPr>
              <w:spacing w:line="240" w:lineRule="auto"/>
              <w:jc w:val="center"/>
              <w:rPr>
                <w:rFonts w:eastAsia="Times New Roman" w:cstheme="minorHAnsi"/>
                <w:color w:val="000000"/>
                <w:sz w:val="16"/>
                <w:szCs w:val="18"/>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919A4" w14:textId="5C818336" w:rsidR="00B513FC" w:rsidRPr="008C72D8" w:rsidRDefault="00B513FC" w:rsidP="0078703F">
            <w:pPr>
              <w:spacing w:line="240" w:lineRule="auto"/>
              <w:jc w:val="center"/>
              <w:rPr>
                <w:rFonts w:eastAsia="Times New Roman" w:cstheme="minorHAnsi"/>
                <w:color w:val="000000"/>
                <w:sz w:val="16"/>
                <w:szCs w:val="18"/>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95576" w14:textId="17FD74B6" w:rsidR="00B513FC" w:rsidRPr="008C72D8" w:rsidRDefault="00B513FC" w:rsidP="0078703F">
            <w:pPr>
              <w:spacing w:line="240" w:lineRule="auto"/>
              <w:jc w:val="center"/>
              <w:rPr>
                <w:rFonts w:eastAsia="Times New Roman" w:cstheme="minorHAnsi"/>
                <w:sz w:val="16"/>
                <w:szCs w:val="18"/>
                <w:lang w:eastAsia="es-MX"/>
              </w:rPr>
            </w:pPr>
            <w:r w:rsidRPr="008C72D8">
              <w:rPr>
                <w:rFonts w:ascii="Calibri" w:hAnsi="Calibri" w:cs="Calibri"/>
                <w:color w:val="000000"/>
                <w:sz w:val="16"/>
              </w:rPr>
              <w:t>601+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5D54262" w14:textId="71731593" w:rsidR="00B513FC" w:rsidRPr="008C72D8" w:rsidRDefault="00B513FC" w:rsidP="0078703F">
            <w:pPr>
              <w:spacing w:line="240" w:lineRule="auto"/>
              <w:jc w:val="center"/>
              <w:rPr>
                <w:sz w:val="16"/>
              </w:rPr>
            </w:pPr>
            <w:r w:rsidRPr="008C72D8">
              <w:rPr>
                <w:rFonts w:ascii="Calibri" w:hAnsi="Calibri" w:cs="Calibri"/>
                <w:color w:val="000000"/>
                <w:sz w:val="16"/>
              </w:rPr>
              <w:t>801+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B66DC64" w14:textId="6F939258" w:rsidR="00B513FC" w:rsidRPr="008C72D8" w:rsidRDefault="00B513FC" w:rsidP="0078703F">
            <w:pPr>
              <w:spacing w:line="240" w:lineRule="auto"/>
              <w:jc w:val="center"/>
              <w:rPr>
                <w:sz w:val="16"/>
              </w:rPr>
            </w:pPr>
          </w:p>
        </w:tc>
      </w:tr>
      <w:tr w:rsidR="00B513FC" w:rsidRPr="008C72D8" w14:paraId="37D74A40" w14:textId="5421B7FA" w:rsidTr="00410E21">
        <w:trPr>
          <w:gridAfter w:val="1"/>
          <w:wAfter w:w="9" w:type="dxa"/>
          <w:trHeight w:val="249"/>
          <w:jc w:val="center"/>
        </w:trPr>
        <w:tc>
          <w:tcPr>
            <w:tcW w:w="8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A71C37E" w14:textId="5B09BEFD"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BUAP</w:t>
            </w:r>
          </w:p>
        </w:tc>
        <w:tc>
          <w:tcPr>
            <w:tcW w:w="8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965661B" w14:textId="1FF0E9BF"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3</w:t>
            </w:r>
          </w:p>
        </w:tc>
        <w:tc>
          <w:tcPr>
            <w:tcW w:w="105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20AEF87" w14:textId="0B62311C" w:rsidR="00B513FC" w:rsidRPr="008C72D8" w:rsidRDefault="00B513FC" w:rsidP="0078703F">
            <w:pPr>
              <w:spacing w:line="240" w:lineRule="auto"/>
              <w:jc w:val="center"/>
              <w:rPr>
                <w:rFonts w:eastAsia="Times New Roman" w:cstheme="minorHAnsi"/>
                <w:color w:val="000000"/>
                <w:sz w:val="16"/>
                <w:szCs w:val="18"/>
                <w:lang w:eastAsia="es-MX"/>
              </w:rPr>
            </w:pPr>
          </w:p>
        </w:tc>
        <w:tc>
          <w:tcPr>
            <w:tcW w:w="114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893E018" w14:textId="5102AB74" w:rsidR="00B513FC" w:rsidRPr="008C72D8" w:rsidRDefault="00B513FC" w:rsidP="0078703F">
            <w:pPr>
              <w:spacing w:line="240" w:lineRule="auto"/>
              <w:jc w:val="center"/>
              <w:rPr>
                <w:rFonts w:eastAsia="Times New Roman" w:cstheme="minorHAnsi"/>
                <w:color w:val="000000"/>
                <w:sz w:val="16"/>
                <w:szCs w:val="18"/>
                <w:lang w:eastAsia="es-MX"/>
              </w:rPr>
            </w:pPr>
          </w:p>
        </w:tc>
        <w:tc>
          <w:tcPr>
            <w:tcW w:w="98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C08A83A" w14:textId="5D08F2EE"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801+</w:t>
            </w:r>
          </w:p>
        </w:tc>
        <w:tc>
          <w:tcPr>
            <w:tcW w:w="9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2A72B0" w14:textId="6E786864" w:rsidR="00B513FC" w:rsidRPr="008C72D8" w:rsidRDefault="00B513FC" w:rsidP="0078703F">
            <w:pPr>
              <w:spacing w:line="240" w:lineRule="auto"/>
              <w:jc w:val="center"/>
              <w:rPr>
                <w:rFonts w:eastAsia="Times New Roman" w:cstheme="minorHAnsi"/>
                <w:color w:val="000000"/>
                <w:sz w:val="16"/>
                <w:szCs w:val="18"/>
                <w:lang w:eastAsia="es-MX"/>
              </w:rPr>
            </w:pPr>
          </w:p>
        </w:tc>
        <w:tc>
          <w:tcPr>
            <w:tcW w:w="8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7EBDED" w14:textId="1C49A9B5" w:rsidR="00B513FC" w:rsidRPr="008C72D8" w:rsidRDefault="00B513FC" w:rsidP="0078703F">
            <w:pPr>
              <w:spacing w:line="240" w:lineRule="auto"/>
              <w:jc w:val="center"/>
              <w:rPr>
                <w:rFonts w:eastAsia="Times New Roman" w:cstheme="minorHAnsi"/>
                <w:color w:val="000000"/>
                <w:sz w:val="16"/>
                <w:szCs w:val="18"/>
                <w:lang w:eastAsia="es-MX"/>
              </w:rPr>
            </w:pPr>
          </w:p>
        </w:tc>
        <w:tc>
          <w:tcPr>
            <w:tcW w:w="73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F490DD5" w14:textId="51005573" w:rsidR="00B513FC" w:rsidRPr="008C72D8" w:rsidRDefault="00B513FC" w:rsidP="0078703F">
            <w:pPr>
              <w:spacing w:line="240" w:lineRule="auto"/>
              <w:jc w:val="center"/>
              <w:rPr>
                <w:rFonts w:eastAsia="Times New Roman" w:cstheme="minorHAnsi"/>
                <w:color w:val="000000"/>
                <w:sz w:val="16"/>
                <w:szCs w:val="18"/>
                <w:lang w:eastAsia="es-MX"/>
              </w:rPr>
            </w:pPr>
          </w:p>
        </w:tc>
        <w:tc>
          <w:tcPr>
            <w:tcW w:w="8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0A46B0A" w14:textId="14DB0EAC" w:rsidR="00B513FC" w:rsidRPr="008C72D8" w:rsidRDefault="00B513FC" w:rsidP="0078703F">
            <w:pPr>
              <w:spacing w:line="240" w:lineRule="auto"/>
              <w:jc w:val="center"/>
              <w:rPr>
                <w:rFonts w:eastAsia="Times New Roman" w:cstheme="minorHAnsi"/>
                <w:color w:val="000000"/>
                <w:sz w:val="16"/>
                <w:szCs w:val="18"/>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EAB1D20" w14:textId="32CE938F" w:rsidR="00B513FC" w:rsidRPr="008C72D8" w:rsidRDefault="00B513FC" w:rsidP="0078703F">
            <w:pPr>
              <w:spacing w:line="240" w:lineRule="auto"/>
              <w:jc w:val="center"/>
              <w:rPr>
                <w:rFonts w:eastAsia="Times New Roman" w:cstheme="minorHAnsi"/>
                <w:color w:val="000000"/>
                <w:sz w:val="16"/>
                <w:szCs w:val="18"/>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5891AD5" w14:textId="4958E66D"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601+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DC378A" w14:textId="728CC035" w:rsidR="00B513FC" w:rsidRPr="008C72D8" w:rsidRDefault="00B513FC" w:rsidP="0078703F">
            <w:pPr>
              <w:spacing w:line="240" w:lineRule="auto"/>
              <w:jc w:val="center"/>
              <w:rPr>
                <w:sz w:val="16"/>
              </w:rPr>
            </w:pPr>
            <w:r w:rsidRPr="008C72D8">
              <w:rPr>
                <w:rFonts w:ascii="Calibri" w:hAnsi="Calibri" w:cs="Calibri"/>
                <w:color w:val="000000"/>
                <w:sz w:val="16"/>
              </w:rPr>
              <w:t>801+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C9BCEE2" w14:textId="39FF9BD5" w:rsidR="00B513FC" w:rsidRPr="008C72D8" w:rsidRDefault="00B513FC" w:rsidP="0078703F">
            <w:pPr>
              <w:spacing w:line="240" w:lineRule="auto"/>
              <w:jc w:val="center"/>
              <w:rPr>
                <w:sz w:val="16"/>
              </w:rPr>
            </w:pPr>
          </w:p>
        </w:tc>
      </w:tr>
      <w:tr w:rsidR="00B513FC" w:rsidRPr="008C72D8" w14:paraId="54607E51" w14:textId="705C7E81" w:rsidTr="00410E21">
        <w:trPr>
          <w:gridAfter w:val="1"/>
          <w:wAfter w:w="9" w:type="dxa"/>
          <w:trHeight w:val="249"/>
          <w:jc w:val="center"/>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9DDB2" w14:textId="24EE47D8"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UABC</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ABFB3" w14:textId="6446E629"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3</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8D4D4" w14:textId="1E0A0DC7" w:rsidR="00B513FC" w:rsidRPr="008C72D8" w:rsidRDefault="00B513FC" w:rsidP="0078703F">
            <w:pPr>
              <w:spacing w:line="240" w:lineRule="auto"/>
              <w:jc w:val="center"/>
              <w:rPr>
                <w:rFonts w:eastAsia="Times New Roman" w:cstheme="minorHAnsi"/>
                <w:color w:val="000000"/>
                <w:sz w:val="16"/>
                <w:szCs w:val="18"/>
                <w:lang w:eastAsia="es-MX"/>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96F3B" w14:textId="02BF4524" w:rsidR="00B513FC" w:rsidRPr="008C72D8" w:rsidRDefault="00B513FC" w:rsidP="0078703F">
            <w:pPr>
              <w:spacing w:line="240" w:lineRule="auto"/>
              <w:jc w:val="center"/>
              <w:rPr>
                <w:rFonts w:eastAsia="Times New Roman" w:cstheme="minorHAnsi"/>
                <w:color w:val="000000"/>
                <w:sz w:val="16"/>
                <w:szCs w:val="18"/>
                <w:lang w:eastAsia="es-MX"/>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D0D56" w14:textId="314D2545"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801+</w:t>
            </w:r>
          </w:p>
        </w:tc>
        <w:tc>
          <w:tcPr>
            <w:tcW w:w="922" w:type="dxa"/>
            <w:tcBorders>
              <w:top w:val="single" w:sz="4" w:space="0" w:color="auto"/>
              <w:left w:val="single" w:sz="4" w:space="0" w:color="auto"/>
              <w:bottom w:val="single" w:sz="4" w:space="0" w:color="auto"/>
              <w:right w:val="single" w:sz="4" w:space="0" w:color="auto"/>
            </w:tcBorders>
            <w:vAlign w:val="center"/>
          </w:tcPr>
          <w:p w14:paraId="51056599" w14:textId="7ECC323E" w:rsidR="00B513FC" w:rsidRPr="008C72D8" w:rsidRDefault="00B513FC" w:rsidP="0078703F">
            <w:pPr>
              <w:spacing w:line="240" w:lineRule="auto"/>
              <w:jc w:val="center"/>
              <w:rPr>
                <w:rFonts w:eastAsia="Times New Roman" w:cstheme="minorHAnsi"/>
                <w:color w:val="000000"/>
                <w:sz w:val="16"/>
                <w:szCs w:val="18"/>
                <w:lang w:eastAsia="es-MX"/>
              </w:rPr>
            </w:pPr>
          </w:p>
        </w:tc>
        <w:tc>
          <w:tcPr>
            <w:tcW w:w="890" w:type="dxa"/>
            <w:tcBorders>
              <w:top w:val="single" w:sz="4" w:space="0" w:color="auto"/>
              <w:left w:val="single" w:sz="4" w:space="0" w:color="auto"/>
              <w:bottom w:val="single" w:sz="4" w:space="0" w:color="auto"/>
              <w:right w:val="single" w:sz="4" w:space="0" w:color="auto"/>
            </w:tcBorders>
            <w:vAlign w:val="center"/>
          </w:tcPr>
          <w:p w14:paraId="571771C0" w14:textId="7AB06F41" w:rsidR="00B513FC" w:rsidRPr="008C72D8" w:rsidRDefault="00B513FC" w:rsidP="0078703F">
            <w:pPr>
              <w:spacing w:line="240" w:lineRule="auto"/>
              <w:jc w:val="center"/>
              <w:rPr>
                <w:rFonts w:eastAsia="Times New Roman" w:cstheme="minorHAnsi"/>
                <w:color w:val="000000"/>
                <w:sz w:val="16"/>
                <w:szCs w:val="18"/>
                <w:lang w:eastAsia="es-MX"/>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3C46B" w14:textId="5DA915C2" w:rsidR="00B513FC" w:rsidRPr="008C72D8" w:rsidRDefault="00B513FC" w:rsidP="0078703F">
            <w:pPr>
              <w:spacing w:line="240" w:lineRule="auto"/>
              <w:jc w:val="center"/>
              <w:rPr>
                <w:rFonts w:eastAsia="Times New Roman" w:cstheme="minorHAnsi"/>
                <w:color w:val="000000"/>
                <w:sz w:val="16"/>
                <w:szCs w:val="18"/>
                <w:lang w:eastAsia="es-MX"/>
              </w:rPr>
            </w:pPr>
          </w:p>
        </w:tc>
        <w:tc>
          <w:tcPr>
            <w:tcW w:w="823" w:type="dxa"/>
            <w:tcBorders>
              <w:top w:val="single" w:sz="4" w:space="0" w:color="auto"/>
              <w:left w:val="single" w:sz="4" w:space="0" w:color="auto"/>
              <w:bottom w:val="single" w:sz="4" w:space="0" w:color="auto"/>
              <w:right w:val="single" w:sz="4" w:space="0" w:color="auto"/>
            </w:tcBorders>
            <w:vAlign w:val="center"/>
          </w:tcPr>
          <w:p w14:paraId="29430567" w14:textId="3AB4AB23" w:rsidR="00B513FC" w:rsidRPr="008C72D8" w:rsidRDefault="00B513FC" w:rsidP="0078703F">
            <w:pPr>
              <w:spacing w:line="240" w:lineRule="auto"/>
              <w:jc w:val="center"/>
              <w:rPr>
                <w:rFonts w:eastAsia="Times New Roman" w:cstheme="minorHAnsi"/>
                <w:color w:val="000000"/>
                <w:sz w:val="16"/>
                <w:szCs w:val="18"/>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313AB" w14:textId="40163AA0" w:rsidR="00B513FC" w:rsidRPr="008C72D8" w:rsidRDefault="00B513FC" w:rsidP="0078703F">
            <w:pPr>
              <w:spacing w:line="240" w:lineRule="auto"/>
              <w:jc w:val="center"/>
              <w:rPr>
                <w:rFonts w:eastAsia="Times New Roman" w:cstheme="minorHAnsi"/>
                <w:color w:val="000000"/>
                <w:sz w:val="16"/>
                <w:szCs w:val="18"/>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63308" w14:textId="576808A0" w:rsidR="00B513FC" w:rsidRPr="008C72D8" w:rsidRDefault="00B513FC" w:rsidP="0078703F">
            <w:pPr>
              <w:spacing w:line="240" w:lineRule="auto"/>
              <w:jc w:val="center"/>
              <w:rPr>
                <w:rFonts w:eastAsia="Times New Roman" w:cstheme="minorHAnsi"/>
                <w:sz w:val="16"/>
                <w:szCs w:val="18"/>
                <w:lang w:eastAsia="es-MX"/>
              </w:rPr>
            </w:pPr>
            <w:r w:rsidRPr="008C72D8">
              <w:rPr>
                <w:rFonts w:ascii="Calibri" w:hAnsi="Calibri" w:cs="Calibri"/>
                <w:color w:val="000000"/>
                <w:sz w:val="16"/>
              </w:rPr>
              <w:t>601+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A8E02ED" w14:textId="4D1FD2BE" w:rsidR="00B513FC" w:rsidRPr="008C72D8" w:rsidRDefault="00B513FC" w:rsidP="0078703F">
            <w:pPr>
              <w:spacing w:line="240" w:lineRule="auto"/>
              <w:jc w:val="center"/>
              <w:rPr>
                <w:sz w:val="16"/>
              </w:rPr>
            </w:pPr>
            <w:r w:rsidRPr="008C72D8">
              <w:rPr>
                <w:rFonts w:ascii="Calibri" w:hAnsi="Calibri" w:cs="Calibri"/>
                <w:color w:val="000000"/>
                <w:sz w:val="16"/>
              </w:rPr>
              <w:t>801+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76E02DE" w14:textId="2FD3EEF5" w:rsidR="00B513FC" w:rsidRPr="008C72D8" w:rsidRDefault="00B513FC" w:rsidP="0078703F">
            <w:pPr>
              <w:spacing w:line="240" w:lineRule="auto"/>
              <w:jc w:val="center"/>
              <w:rPr>
                <w:sz w:val="16"/>
              </w:rPr>
            </w:pPr>
          </w:p>
        </w:tc>
      </w:tr>
      <w:tr w:rsidR="00B513FC" w:rsidRPr="008C72D8" w14:paraId="1FE467C5" w14:textId="4270B69F" w:rsidTr="00410E21">
        <w:trPr>
          <w:gridAfter w:val="1"/>
          <w:wAfter w:w="9" w:type="dxa"/>
          <w:trHeight w:val="249"/>
          <w:jc w:val="center"/>
        </w:trPr>
        <w:tc>
          <w:tcPr>
            <w:tcW w:w="8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4DABD0C" w14:textId="556B3B91"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UGTO</w:t>
            </w:r>
          </w:p>
        </w:tc>
        <w:tc>
          <w:tcPr>
            <w:tcW w:w="8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693441C" w14:textId="0DD91D12"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3</w:t>
            </w:r>
          </w:p>
        </w:tc>
        <w:tc>
          <w:tcPr>
            <w:tcW w:w="105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AA8BC56" w14:textId="7082F6E1" w:rsidR="00B513FC" w:rsidRPr="008C72D8" w:rsidRDefault="00B513FC" w:rsidP="0078703F">
            <w:pPr>
              <w:spacing w:line="240" w:lineRule="auto"/>
              <w:jc w:val="center"/>
              <w:rPr>
                <w:rFonts w:eastAsia="Times New Roman" w:cstheme="minorHAnsi"/>
                <w:color w:val="000000"/>
                <w:sz w:val="16"/>
                <w:szCs w:val="18"/>
                <w:lang w:eastAsia="es-MX"/>
              </w:rPr>
            </w:pPr>
          </w:p>
        </w:tc>
        <w:tc>
          <w:tcPr>
            <w:tcW w:w="114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64E2B19" w14:textId="6B4619AF" w:rsidR="00B513FC" w:rsidRPr="008C72D8" w:rsidRDefault="00B513FC" w:rsidP="0078703F">
            <w:pPr>
              <w:spacing w:line="240" w:lineRule="auto"/>
              <w:jc w:val="center"/>
              <w:rPr>
                <w:rFonts w:eastAsia="Times New Roman" w:cstheme="minorHAnsi"/>
                <w:sz w:val="16"/>
                <w:szCs w:val="18"/>
                <w:lang w:eastAsia="es-MX"/>
              </w:rPr>
            </w:pPr>
          </w:p>
        </w:tc>
        <w:tc>
          <w:tcPr>
            <w:tcW w:w="98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FD841A9" w14:textId="209C4253"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801+</w:t>
            </w:r>
          </w:p>
        </w:tc>
        <w:tc>
          <w:tcPr>
            <w:tcW w:w="9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5BD998" w14:textId="7B5449D4" w:rsidR="00B513FC" w:rsidRPr="008C72D8" w:rsidRDefault="00B513FC" w:rsidP="0078703F">
            <w:pPr>
              <w:spacing w:line="240" w:lineRule="auto"/>
              <w:jc w:val="center"/>
              <w:rPr>
                <w:rFonts w:eastAsia="Times New Roman" w:cstheme="minorHAnsi"/>
                <w:color w:val="000000"/>
                <w:sz w:val="16"/>
                <w:szCs w:val="18"/>
                <w:lang w:eastAsia="es-MX"/>
              </w:rPr>
            </w:pPr>
          </w:p>
        </w:tc>
        <w:tc>
          <w:tcPr>
            <w:tcW w:w="8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B776F6" w14:textId="6BA14293" w:rsidR="00B513FC" w:rsidRPr="008C72D8" w:rsidRDefault="00B513FC" w:rsidP="0078703F">
            <w:pPr>
              <w:spacing w:line="240" w:lineRule="auto"/>
              <w:jc w:val="center"/>
              <w:rPr>
                <w:rFonts w:eastAsia="Times New Roman" w:cstheme="minorHAnsi"/>
                <w:color w:val="000000"/>
                <w:sz w:val="16"/>
                <w:szCs w:val="18"/>
                <w:lang w:eastAsia="es-MX"/>
              </w:rPr>
            </w:pPr>
          </w:p>
        </w:tc>
        <w:tc>
          <w:tcPr>
            <w:tcW w:w="73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55B6D92" w14:textId="2483E549" w:rsidR="00B513FC" w:rsidRPr="008C72D8" w:rsidRDefault="00B513FC" w:rsidP="0078703F">
            <w:pPr>
              <w:spacing w:line="240" w:lineRule="auto"/>
              <w:jc w:val="center"/>
              <w:rPr>
                <w:rFonts w:eastAsia="Times New Roman" w:cstheme="minorHAnsi"/>
                <w:color w:val="000000"/>
                <w:sz w:val="16"/>
                <w:szCs w:val="18"/>
                <w:lang w:eastAsia="es-MX"/>
              </w:rPr>
            </w:pPr>
          </w:p>
        </w:tc>
        <w:tc>
          <w:tcPr>
            <w:tcW w:w="8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F874856" w14:textId="72FFD9F0" w:rsidR="00B513FC" w:rsidRPr="008C72D8" w:rsidRDefault="00B513FC" w:rsidP="0078703F">
            <w:pPr>
              <w:spacing w:line="240" w:lineRule="auto"/>
              <w:jc w:val="center"/>
              <w:rPr>
                <w:rFonts w:eastAsia="Times New Roman" w:cstheme="minorHAnsi"/>
                <w:color w:val="000000"/>
                <w:sz w:val="16"/>
                <w:szCs w:val="18"/>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3EF0453" w14:textId="5C58C3C6" w:rsidR="00B513FC" w:rsidRPr="008C72D8" w:rsidRDefault="00B513FC" w:rsidP="0078703F">
            <w:pPr>
              <w:spacing w:line="240" w:lineRule="auto"/>
              <w:jc w:val="center"/>
              <w:rPr>
                <w:rFonts w:eastAsia="Times New Roman" w:cstheme="minorHAnsi"/>
                <w:color w:val="000000"/>
                <w:sz w:val="16"/>
                <w:szCs w:val="18"/>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385D25F" w14:textId="3C9ECA3F"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601+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9C655A3" w14:textId="32C19713" w:rsidR="00B513FC" w:rsidRPr="008C72D8" w:rsidRDefault="00B513FC" w:rsidP="0078703F">
            <w:pPr>
              <w:spacing w:line="240" w:lineRule="auto"/>
              <w:jc w:val="center"/>
              <w:rPr>
                <w:sz w:val="16"/>
              </w:rPr>
            </w:pPr>
            <w:r w:rsidRPr="008C72D8">
              <w:rPr>
                <w:rFonts w:ascii="Calibri" w:hAnsi="Calibri" w:cs="Calibri"/>
                <w:color w:val="000000"/>
                <w:sz w:val="16"/>
              </w:rPr>
              <w:t>801+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1ABF89" w14:textId="545B58DF" w:rsidR="00B513FC" w:rsidRPr="008C72D8" w:rsidRDefault="00B513FC" w:rsidP="0078703F">
            <w:pPr>
              <w:spacing w:line="240" w:lineRule="auto"/>
              <w:jc w:val="center"/>
              <w:rPr>
                <w:sz w:val="16"/>
              </w:rPr>
            </w:pPr>
          </w:p>
        </w:tc>
      </w:tr>
      <w:tr w:rsidR="00B513FC" w:rsidRPr="008C72D8" w14:paraId="1D2DBAD6" w14:textId="1232D971" w:rsidTr="00410E21">
        <w:trPr>
          <w:gridAfter w:val="1"/>
          <w:wAfter w:w="9" w:type="dxa"/>
          <w:trHeight w:val="249"/>
          <w:jc w:val="center"/>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DC191" w14:textId="2FB2F283"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UMSNH</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798B7" w14:textId="7F0E60A1"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3</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A716E" w14:textId="4F6D49F6" w:rsidR="00B513FC" w:rsidRPr="008C72D8" w:rsidRDefault="00B513FC" w:rsidP="0078703F">
            <w:pPr>
              <w:spacing w:line="240" w:lineRule="auto"/>
              <w:jc w:val="center"/>
              <w:rPr>
                <w:rFonts w:eastAsia="Times New Roman" w:cstheme="minorHAnsi"/>
                <w:color w:val="000000"/>
                <w:sz w:val="16"/>
                <w:szCs w:val="18"/>
                <w:lang w:eastAsia="es-MX"/>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E77B4" w14:textId="2EBB523D" w:rsidR="00B513FC" w:rsidRPr="008C72D8" w:rsidRDefault="00B513FC" w:rsidP="0078703F">
            <w:pPr>
              <w:spacing w:line="240" w:lineRule="auto"/>
              <w:jc w:val="center"/>
              <w:rPr>
                <w:rFonts w:eastAsia="Times New Roman" w:cstheme="minorHAnsi"/>
                <w:color w:val="000000"/>
                <w:sz w:val="16"/>
                <w:szCs w:val="18"/>
                <w:lang w:eastAsia="es-MX"/>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3200F" w14:textId="7F4ED982"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801+</w:t>
            </w:r>
          </w:p>
        </w:tc>
        <w:tc>
          <w:tcPr>
            <w:tcW w:w="922" w:type="dxa"/>
            <w:tcBorders>
              <w:top w:val="single" w:sz="4" w:space="0" w:color="auto"/>
              <w:left w:val="single" w:sz="4" w:space="0" w:color="auto"/>
              <w:bottom w:val="single" w:sz="4" w:space="0" w:color="auto"/>
              <w:right w:val="single" w:sz="4" w:space="0" w:color="auto"/>
            </w:tcBorders>
            <w:vAlign w:val="center"/>
          </w:tcPr>
          <w:p w14:paraId="3731E054" w14:textId="634EA8E7" w:rsidR="00B513FC" w:rsidRPr="008C72D8" w:rsidRDefault="00B513FC" w:rsidP="0078703F">
            <w:pPr>
              <w:spacing w:line="240" w:lineRule="auto"/>
              <w:jc w:val="center"/>
              <w:rPr>
                <w:rFonts w:eastAsia="Times New Roman" w:cstheme="minorHAnsi"/>
                <w:color w:val="000000"/>
                <w:sz w:val="16"/>
                <w:szCs w:val="18"/>
                <w:lang w:eastAsia="es-MX"/>
              </w:rPr>
            </w:pPr>
          </w:p>
        </w:tc>
        <w:tc>
          <w:tcPr>
            <w:tcW w:w="890" w:type="dxa"/>
            <w:tcBorders>
              <w:top w:val="single" w:sz="4" w:space="0" w:color="auto"/>
              <w:left w:val="single" w:sz="4" w:space="0" w:color="auto"/>
              <w:bottom w:val="single" w:sz="4" w:space="0" w:color="auto"/>
              <w:right w:val="single" w:sz="4" w:space="0" w:color="auto"/>
            </w:tcBorders>
            <w:vAlign w:val="center"/>
          </w:tcPr>
          <w:p w14:paraId="0F77BA2E" w14:textId="5BB28F57" w:rsidR="00B513FC" w:rsidRPr="008C72D8" w:rsidRDefault="00B513FC" w:rsidP="0078703F">
            <w:pPr>
              <w:spacing w:line="240" w:lineRule="auto"/>
              <w:jc w:val="center"/>
              <w:rPr>
                <w:rFonts w:eastAsia="Times New Roman" w:cstheme="minorHAnsi"/>
                <w:color w:val="000000"/>
                <w:sz w:val="16"/>
                <w:szCs w:val="18"/>
                <w:lang w:eastAsia="es-MX"/>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E2B02" w14:textId="6C31EC3F" w:rsidR="00B513FC" w:rsidRPr="008C72D8" w:rsidRDefault="00B513FC" w:rsidP="0078703F">
            <w:pPr>
              <w:spacing w:line="240" w:lineRule="auto"/>
              <w:jc w:val="center"/>
              <w:rPr>
                <w:rFonts w:eastAsia="Times New Roman" w:cstheme="minorHAnsi"/>
                <w:color w:val="000000"/>
                <w:sz w:val="16"/>
                <w:szCs w:val="18"/>
                <w:lang w:eastAsia="es-MX"/>
              </w:rPr>
            </w:pPr>
          </w:p>
        </w:tc>
        <w:tc>
          <w:tcPr>
            <w:tcW w:w="823" w:type="dxa"/>
            <w:tcBorders>
              <w:top w:val="single" w:sz="4" w:space="0" w:color="auto"/>
              <w:left w:val="single" w:sz="4" w:space="0" w:color="auto"/>
              <w:bottom w:val="single" w:sz="4" w:space="0" w:color="auto"/>
              <w:right w:val="single" w:sz="4" w:space="0" w:color="auto"/>
            </w:tcBorders>
            <w:vAlign w:val="center"/>
          </w:tcPr>
          <w:p w14:paraId="2934E3B0" w14:textId="52411F74" w:rsidR="00B513FC" w:rsidRPr="008C72D8" w:rsidRDefault="00B513FC" w:rsidP="0078703F">
            <w:pPr>
              <w:spacing w:line="240" w:lineRule="auto"/>
              <w:jc w:val="center"/>
              <w:rPr>
                <w:rFonts w:eastAsia="Times New Roman" w:cstheme="minorHAnsi"/>
                <w:color w:val="000000"/>
                <w:sz w:val="16"/>
                <w:szCs w:val="18"/>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FA96E" w14:textId="276074A4" w:rsidR="00B513FC" w:rsidRPr="008C72D8" w:rsidRDefault="00B513FC" w:rsidP="0078703F">
            <w:pPr>
              <w:spacing w:line="240" w:lineRule="auto"/>
              <w:jc w:val="center"/>
              <w:rPr>
                <w:rFonts w:eastAsia="Times New Roman" w:cstheme="minorHAnsi"/>
                <w:color w:val="000000"/>
                <w:sz w:val="16"/>
                <w:szCs w:val="18"/>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3E0A4" w14:textId="6732C3FD" w:rsidR="00B513FC" w:rsidRPr="008C72D8" w:rsidRDefault="00B513FC" w:rsidP="0078703F">
            <w:pPr>
              <w:spacing w:line="240" w:lineRule="auto"/>
              <w:jc w:val="center"/>
              <w:rPr>
                <w:rFonts w:eastAsia="Times New Roman" w:cstheme="minorHAnsi"/>
                <w:sz w:val="16"/>
                <w:szCs w:val="18"/>
                <w:lang w:eastAsia="es-MX"/>
              </w:rPr>
            </w:pPr>
            <w:r w:rsidRPr="008C72D8">
              <w:rPr>
                <w:rFonts w:ascii="Calibri" w:hAnsi="Calibri" w:cs="Calibri"/>
                <w:color w:val="000000"/>
                <w:sz w:val="16"/>
              </w:rPr>
              <w:t>601+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FDAA998" w14:textId="21959D60" w:rsidR="00B513FC" w:rsidRPr="008C72D8" w:rsidRDefault="00B513FC" w:rsidP="0078703F">
            <w:pPr>
              <w:spacing w:line="240" w:lineRule="auto"/>
              <w:jc w:val="center"/>
              <w:rPr>
                <w:sz w:val="16"/>
              </w:rPr>
            </w:pPr>
            <w:r w:rsidRPr="008C72D8">
              <w:rPr>
                <w:rFonts w:ascii="Calibri" w:hAnsi="Calibri" w:cs="Calibri"/>
                <w:color w:val="000000"/>
                <w:sz w:val="16"/>
              </w:rPr>
              <w:t>801+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3CC8277" w14:textId="3A6786B4" w:rsidR="00B513FC" w:rsidRPr="008C72D8" w:rsidRDefault="00B513FC" w:rsidP="0078703F">
            <w:pPr>
              <w:spacing w:line="240" w:lineRule="auto"/>
              <w:jc w:val="center"/>
              <w:rPr>
                <w:sz w:val="16"/>
              </w:rPr>
            </w:pPr>
          </w:p>
        </w:tc>
      </w:tr>
      <w:tr w:rsidR="00B513FC" w:rsidRPr="008C72D8" w14:paraId="0F98DD8A" w14:textId="17B5F4D6" w:rsidTr="00410E21">
        <w:trPr>
          <w:gridAfter w:val="1"/>
          <w:wAfter w:w="9" w:type="dxa"/>
          <w:trHeight w:val="249"/>
          <w:jc w:val="center"/>
        </w:trPr>
        <w:tc>
          <w:tcPr>
            <w:tcW w:w="8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E65739D" w14:textId="72932EF7"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IPN</w:t>
            </w:r>
          </w:p>
        </w:tc>
        <w:tc>
          <w:tcPr>
            <w:tcW w:w="8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5114001" w14:textId="137DA375"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2</w:t>
            </w:r>
          </w:p>
        </w:tc>
        <w:tc>
          <w:tcPr>
            <w:tcW w:w="105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1D1247A" w14:textId="30A77A0A" w:rsidR="00B513FC" w:rsidRPr="008C72D8" w:rsidRDefault="00B513FC" w:rsidP="0078703F">
            <w:pPr>
              <w:spacing w:line="240" w:lineRule="auto"/>
              <w:jc w:val="center"/>
              <w:rPr>
                <w:rFonts w:eastAsia="Times New Roman" w:cstheme="minorHAnsi"/>
                <w:color w:val="000000"/>
                <w:sz w:val="16"/>
                <w:szCs w:val="18"/>
                <w:lang w:eastAsia="es-MX"/>
              </w:rPr>
            </w:pPr>
          </w:p>
        </w:tc>
        <w:tc>
          <w:tcPr>
            <w:tcW w:w="114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F714C69" w14:textId="24019286" w:rsidR="00B513FC" w:rsidRPr="008C72D8" w:rsidRDefault="00B513FC" w:rsidP="0078703F">
            <w:pPr>
              <w:spacing w:line="240" w:lineRule="auto"/>
              <w:jc w:val="center"/>
              <w:rPr>
                <w:rFonts w:eastAsia="Times New Roman" w:cstheme="minorHAnsi"/>
                <w:color w:val="000000"/>
                <w:sz w:val="16"/>
                <w:szCs w:val="18"/>
                <w:lang w:eastAsia="es-MX"/>
              </w:rPr>
            </w:pPr>
          </w:p>
        </w:tc>
        <w:tc>
          <w:tcPr>
            <w:tcW w:w="98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88D4E29" w14:textId="75BA0253"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801+</w:t>
            </w:r>
          </w:p>
        </w:tc>
        <w:tc>
          <w:tcPr>
            <w:tcW w:w="9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FC3197" w14:textId="6B5EDDB1" w:rsidR="00B513FC" w:rsidRPr="008C72D8" w:rsidRDefault="00B513FC" w:rsidP="0078703F">
            <w:pPr>
              <w:spacing w:line="240" w:lineRule="auto"/>
              <w:jc w:val="center"/>
              <w:rPr>
                <w:rFonts w:eastAsia="Times New Roman" w:cstheme="minorHAnsi"/>
                <w:color w:val="000000"/>
                <w:sz w:val="16"/>
                <w:szCs w:val="18"/>
                <w:lang w:eastAsia="es-MX"/>
              </w:rPr>
            </w:pPr>
          </w:p>
        </w:tc>
        <w:tc>
          <w:tcPr>
            <w:tcW w:w="8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075EA0" w14:textId="316BC64A" w:rsidR="00B513FC" w:rsidRPr="008C72D8" w:rsidRDefault="00B513FC" w:rsidP="0078703F">
            <w:pPr>
              <w:spacing w:line="240" w:lineRule="auto"/>
              <w:jc w:val="center"/>
              <w:rPr>
                <w:rFonts w:eastAsia="Times New Roman" w:cstheme="minorHAnsi"/>
                <w:color w:val="000000"/>
                <w:sz w:val="16"/>
                <w:szCs w:val="18"/>
                <w:lang w:eastAsia="es-MX"/>
              </w:rPr>
            </w:pPr>
          </w:p>
        </w:tc>
        <w:tc>
          <w:tcPr>
            <w:tcW w:w="73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AC5E1D5" w14:textId="0EA2C972" w:rsidR="00B513FC" w:rsidRPr="008C72D8" w:rsidRDefault="00B513FC" w:rsidP="0078703F">
            <w:pPr>
              <w:spacing w:line="240" w:lineRule="auto"/>
              <w:jc w:val="center"/>
              <w:rPr>
                <w:rFonts w:eastAsia="Times New Roman" w:cstheme="minorHAnsi"/>
                <w:color w:val="000000"/>
                <w:sz w:val="16"/>
                <w:szCs w:val="18"/>
                <w:lang w:eastAsia="es-MX"/>
              </w:rPr>
            </w:pPr>
          </w:p>
        </w:tc>
        <w:tc>
          <w:tcPr>
            <w:tcW w:w="8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75B40C" w14:textId="1616D59C" w:rsidR="00B513FC" w:rsidRPr="008C72D8" w:rsidRDefault="00B513FC" w:rsidP="0078703F">
            <w:pPr>
              <w:spacing w:line="240" w:lineRule="auto"/>
              <w:jc w:val="center"/>
              <w:rPr>
                <w:rFonts w:eastAsia="Times New Roman" w:cstheme="minorHAnsi"/>
                <w:color w:val="000000"/>
                <w:sz w:val="16"/>
                <w:szCs w:val="18"/>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288FA05" w14:textId="050D882F" w:rsidR="00B513FC" w:rsidRPr="008C72D8" w:rsidRDefault="00B513FC" w:rsidP="0078703F">
            <w:pPr>
              <w:spacing w:line="240" w:lineRule="auto"/>
              <w:jc w:val="center"/>
              <w:rPr>
                <w:rFonts w:eastAsia="Times New Roman" w:cstheme="minorHAnsi"/>
                <w:color w:val="000000"/>
                <w:sz w:val="16"/>
                <w:szCs w:val="18"/>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BEC3422" w14:textId="04C907A6"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601+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AE1DE7" w14:textId="732E23A0" w:rsidR="00B513FC" w:rsidRPr="008C72D8" w:rsidRDefault="00B513FC" w:rsidP="0078703F">
            <w:pPr>
              <w:spacing w:line="240" w:lineRule="auto"/>
              <w:jc w:val="center"/>
              <w:rPr>
                <w:sz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7E74E8" w14:textId="4C19A5F0" w:rsidR="00B513FC" w:rsidRPr="008C72D8" w:rsidRDefault="00B513FC" w:rsidP="0078703F">
            <w:pPr>
              <w:spacing w:line="240" w:lineRule="auto"/>
              <w:jc w:val="center"/>
              <w:rPr>
                <w:sz w:val="16"/>
              </w:rPr>
            </w:pPr>
          </w:p>
        </w:tc>
      </w:tr>
      <w:tr w:rsidR="00B513FC" w:rsidRPr="008C72D8" w14:paraId="6B178FC4" w14:textId="2057C6D8" w:rsidTr="00410E21">
        <w:trPr>
          <w:gridAfter w:val="1"/>
          <w:wAfter w:w="9" w:type="dxa"/>
          <w:trHeight w:val="249"/>
          <w:jc w:val="center"/>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7B1CC" w14:textId="555FDD1F"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UAQ</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CE7ED" w14:textId="59B2C09B"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2</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A6303" w14:textId="0EFFC8EC" w:rsidR="00B513FC" w:rsidRPr="008C72D8" w:rsidRDefault="00B513FC" w:rsidP="0078703F">
            <w:pPr>
              <w:spacing w:line="240" w:lineRule="auto"/>
              <w:jc w:val="center"/>
              <w:rPr>
                <w:rFonts w:eastAsia="Times New Roman" w:cstheme="minorHAnsi"/>
                <w:color w:val="000000"/>
                <w:sz w:val="16"/>
                <w:szCs w:val="18"/>
                <w:lang w:eastAsia="es-MX"/>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543DA" w14:textId="05CBCC52" w:rsidR="00B513FC" w:rsidRPr="008C72D8" w:rsidRDefault="00B513FC" w:rsidP="0078703F">
            <w:pPr>
              <w:spacing w:line="240" w:lineRule="auto"/>
              <w:jc w:val="center"/>
              <w:rPr>
                <w:rFonts w:eastAsia="Times New Roman" w:cstheme="minorHAnsi"/>
                <w:color w:val="000000"/>
                <w:sz w:val="16"/>
                <w:szCs w:val="18"/>
                <w:lang w:eastAsia="es-MX"/>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8F344" w14:textId="1E9E1FD5"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801+</w:t>
            </w:r>
          </w:p>
        </w:tc>
        <w:tc>
          <w:tcPr>
            <w:tcW w:w="922" w:type="dxa"/>
            <w:tcBorders>
              <w:top w:val="single" w:sz="4" w:space="0" w:color="auto"/>
              <w:left w:val="single" w:sz="4" w:space="0" w:color="auto"/>
              <w:bottom w:val="single" w:sz="4" w:space="0" w:color="auto"/>
              <w:right w:val="single" w:sz="4" w:space="0" w:color="auto"/>
            </w:tcBorders>
            <w:vAlign w:val="center"/>
          </w:tcPr>
          <w:p w14:paraId="2A692EDA" w14:textId="766A1D4F" w:rsidR="00B513FC" w:rsidRPr="008C72D8" w:rsidRDefault="00B513FC" w:rsidP="0078703F">
            <w:pPr>
              <w:spacing w:line="240" w:lineRule="auto"/>
              <w:jc w:val="center"/>
              <w:rPr>
                <w:rFonts w:eastAsia="Times New Roman" w:cstheme="minorHAnsi"/>
                <w:color w:val="000000"/>
                <w:sz w:val="16"/>
                <w:szCs w:val="18"/>
                <w:lang w:eastAsia="es-MX"/>
              </w:rPr>
            </w:pPr>
          </w:p>
        </w:tc>
        <w:tc>
          <w:tcPr>
            <w:tcW w:w="890" w:type="dxa"/>
            <w:tcBorders>
              <w:top w:val="single" w:sz="4" w:space="0" w:color="auto"/>
              <w:left w:val="single" w:sz="4" w:space="0" w:color="auto"/>
              <w:bottom w:val="single" w:sz="4" w:space="0" w:color="auto"/>
              <w:right w:val="single" w:sz="4" w:space="0" w:color="auto"/>
            </w:tcBorders>
            <w:vAlign w:val="center"/>
          </w:tcPr>
          <w:p w14:paraId="20372F0C" w14:textId="5FF35064" w:rsidR="00B513FC" w:rsidRPr="008C72D8" w:rsidRDefault="00B513FC" w:rsidP="0078703F">
            <w:pPr>
              <w:spacing w:line="240" w:lineRule="auto"/>
              <w:jc w:val="center"/>
              <w:rPr>
                <w:rFonts w:eastAsia="Times New Roman" w:cstheme="minorHAnsi"/>
                <w:color w:val="000000"/>
                <w:sz w:val="16"/>
                <w:szCs w:val="18"/>
                <w:lang w:eastAsia="es-MX"/>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4AEA3" w14:textId="145FED5D" w:rsidR="00B513FC" w:rsidRPr="008C72D8" w:rsidRDefault="00B513FC" w:rsidP="0078703F">
            <w:pPr>
              <w:spacing w:line="240" w:lineRule="auto"/>
              <w:jc w:val="center"/>
              <w:rPr>
                <w:rFonts w:eastAsia="Times New Roman" w:cstheme="minorHAnsi"/>
                <w:color w:val="000000"/>
                <w:sz w:val="16"/>
                <w:szCs w:val="18"/>
                <w:lang w:eastAsia="es-MX"/>
              </w:rPr>
            </w:pPr>
          </w:p>
        </w:tc>
        <w:tc>
          <w:tcPr>
            <w:tcW w:w="823" w:type="dxa"/>
            <w:tcBorders>
              <w:top w:val="single" w:sz="4" w:space="0" w:color="auto"/>
              <w:left w:val="single" w:sz="4" w:space="0" w:color="auto"/>
              <w:bottom w:val="single" w:sz="4" w:space="0" w:color="auto"/>
              <w:right w:val="single" w:sz="4" w:space="0" w:color="auto"/>
            </w:tcBorders>
            <w:vAlign w:val="center"/>
          </w:tcPr>
          <w:p w14:paraId="347C5D6F" w14:textId="3F21C4E1" w:rsidR="00B513FC" w:rsidRPr="008C72D8" w:rsidRDefault="00B513FC" w:rsidP="0078703F">
            <w:pPr>
              <w:spacing w:line="240" w:lineRule="auto"/>
              <w:jc w:val="center"/>
              <w:rPr>
                <w:rFonts w:eastAsia="Times New Roman" w:cstheme="minorHAnsi"/>
                <w:color w:val="000000"/>
                <w:sz w:val="16"/>
                <w:szCs w:val="18"/>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94A56" w14:textId="0D8AB925" w:rsidR="00B513FC" w:rsidRPr="008C72D8" w:rsidRDefault="00B513FC" w:rsidP="0078703F">
            <w:pPr>
              <w:spacing w:line="240" w:lineRule="auto"/>
              <w:jc w:val="center"/>
              <w:rPr>
                <w:rFonts w:eastAsia="Times New Roman" w:cstheme="minorHAnsi"/>
                <w:color w:val="000000"/>
                <w:sz w:val="16"/>
                <w:szCs w:val="18"/>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592A5" w14:textId="15FB99D5" w:rsidR="00B513FC" w:rsidRPr="008C72D8" w:rsidRDefault="00B513FC" w:rsidP="0078703F">
            <w:pPr>
              <w:spacing w:line="240" w:lineRule="auto"/>
              <w:jc w:val="center"/>
              <w:rPr>
                <w:rFonts w:eastAsia="Times New Roman" w:cstheme="minorHAnsi"/>
                <w:sz w:val="16"/>
                <w:szCs w:val="18"/>
                <w:lang w:eastAsia="es-MX"/>
              </w:rPr>
            </w:pPr>
            <w:r w:rsidRPr="008C72D8">
              <w:rPr>
                <w:rFonts w:ascii="Calibri" w:hAnsi="Calibri" w:cs="Calibri"/>
                <w:color w:val="000000"/>
                <w:sz w:val="16"/>
              </w:rPr>
              <w:t>601+</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1A081A3" w14:textId="1DED65E8" w:rsidR="00B513FC" w:rsidRPr="008C72D8" w:rsidRDefault="00B513FC" w:rsidP="0078703F">
            <w:pPr>
              <w:spacing w:line="240" w:lineRule="auto"/>
              <w:jc w:val="center"/>
              <w:rPr>
                <w:sz w:val="16"/>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27408C9" w14:textId="376B483A" w:rsidR="00B513FC" w:rsidRPr="008C72D8" w:rsidRDefault="00B513FC" w:rsidP="0078703F">
            <w:pPr>
              <w:spacing w:line="240" w:lineRule="auto"/>
              <w:jc w:val="center"/>
              <w:rPr>
                <w:sz w:val="16"/>
              </w:rPr>
            </w:pPr>
          </w:p>
        </w:tc>
      </w:tr>
      <w:tr w:rsidR="00B513FC" w:rsidRPr="008C72D8" w14:paraId="02FE8874" w14:textId="1881E954" w:rsidTr="00410E21">
        <w:trPr>
          <w:gridAfter w:val="1"/>
          <w:wAfter w:w="9" w:type="dxa"/>
          <w:trHeight w:val="249"/>
          <w:jc w:val="center"/>
        </w:trPr>
        <w:tc>
          <w:tcPr>
            <w:tcW w:w="8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1F34B84" w14:textId="6BD9030D"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UAEH</w:t>
            </w:r>
          </w:p>
        </w:tc>
        <w:tc>
          <w:tcPr>
            <w:tcW w:w="8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DA4BD6C" w14:textId="7F56EA60"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2</w:t>
            </w:r>
          </w:p>
        </w:tc>
        <w:tc>
          <w:tcPr>
            <w:tcW w:w="105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403DA76" w14:textId="29BEB5D5" w:rsidR="00B513FC" w:rsidRPr="008C72D8" w:rsidRDefault="00B513FC" w:rsidP="0078703F">
            <w:pPr>
              <w:spacing w:line="240" w:lineRule="auto"/>
              <w:jc w:val="center"/>
              <w:rPr>
                <w:rFonts w:eastAsia="Times New Roman" w:cstheme="minorHAnsi"/>
                <w:color w:val="000000"/>
                <w:sz w:val="16"/>
                <w:szCs w:val="18"/>
                <w:lang w:eastAsia="es-MX"/>
              </w:rPr>
            </w:pPr>
          </w:p>
        </w:tc>
        <w:tc>
          <w:tcPr>
            <w:tcW w:w="114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2E0C5F3" w14:textId="14528147" w:rsidR="00B513FC" w:rsidRPr="008C72D8" w:rsidRDefault="00B513FC" w:rsidP="0078703F">
            <w:pPr>
              <w:spacing w:line="240" w:lineRule="auto"/>
              <w:jc w:val="center"/>
              <w:rPr>
                <w:rFonts w:eastAsia="Times New Roman" w:cstheme="minorHAnsi"/>
                <w:sz w:val="16"/>
                <w:szCs w:val="18"/>
                <w:lang w:eastAsia="es-MX"/>
              </w:rPr>
            </w:pPr>
          </w:p>
        </w:tc>
        <w:tc>
          <w:tcPr>
            <w:tcW w:w="98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416B008" w14:textId="3C362C8D" w:rsidR="00B513FC" w:rsidRPr="008C72D8" w:rsidRDefault="00B513FC" w:rsidP="0078703F">
            <w:pPr>
              <w:spacing w:line="240" w:lineRule="auto"/>
              <w:jc w:val="center"/>
              <w:rPr>
                <w:rFonts w:eastAsia="Times New Roman" w:cstheme="minorHAnsi"/>
                <w:color w:val="000000"/>
                <w:sz w:val="16"/>
                <w:szCs w:val="18"/>
                <w:lang w:eastAsia="es-MX"/>
              </w:rPr>
            </w:pPr>
          </w:p>
        </w:tc>
        <w:tc>
          <w:tcPr>
            <w:tcW w:w="9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56BD196" w14:textId="0557FA10" w:rsidR="00B513FC" w:rsidRPr="008C72D8" w:rsidRDefault="00B513FC" w:rsidP="0078703F">
            <w:pPr>
              <w:spacing w:line="240" w:lineRule="auto"/>
              <w:jc w:val="center"/>
              <w:rPr>
                <w:rFonts w:eastAsia="Times New Roman" w:cstheme="minorHAnsi"/>
                <w:color w:val="000000"/>
                <w:sz w:val="16"/>
                <w:szCs w:val="18"/>
                <w:lang w:eastAsia="es-MX"/>
              </w:rPr>
            </w:pPr>
          </w:p>
        </w:tc>
        <w:tc>
          <w:tcPr>
            <w:tcW w:w="8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545E8B" w14:textId="1B20ED50" w:rsidR="00B513FC" w:rsidRPr="008C72D8" w:rsidRDefault="00B513FC" w:rsidP="0078703F">
            <w:pPr>
              <w:spacing w:line="240" w:lineRule="auto"/>
              <w:jc w:val="center"/>
              <w:rPr>
                <w:rFonts w:eastAsia="Times New Roman" w:cstheme="minorHAnsi"/>
                <w:color w:val="000000"/>
                <w:sz w:val="16"/>
                <w:szCs w:val="18"/>
                <w:lang w:eastAsia="es-MX"/>
              </w:rPr>
            </w:pPr>
          </w:p>
        </w:tc>
        <w:tc>
          <w:tcPr>
            <w:tcW w:w="73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3BBDD2C" w14:textId="593CE410" w:rsidR="00B513FC" w:rsidRPr="008C72D8" w:rsidRDefault="00B513FC" w:rsidP="0078703F">
            <w:pPr>
              <w:spacing w:line="240" w:lineRule="auto"/>
              <w:jc w:val="center"/>
              <w:rPr>
                <w:rFonts w:eastAsia="Times New Roman" w:cstheme="minorHAnsi"/>
                <w:color w:val="000000"/>
                <w:sz w:val="16"/>
                <w:szCs w:val="18"/>
                <w:lang w:eastAsia="es-MX"/>
              </w:rPr>
            </w:pPr>
          </w:p>
        </w:tc>
        <w:tc>
          <w:tcPr>
            <w:tcW w:w="8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920E9A8" w14:textId="10061707" w:rsidR="00B513FC" w:rsidRPr="008C72D8" w:rsidRDefault="00B513FC" w:rsidP="0078703F">
            <w:pPr>
              <w:spacing w:line="240" w:lineRule="auto"/>
              <w:jc w:val="center"/>
              <w:rPr>
                <w:rFonts w:eastAsia="Times New Roman" w:cstheme="minorHAnsi"/>
                <w:color w:val="000000"/>
                <w:sz w:val="16"/>
                <w:szCs w:val="18"/>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EB0917F" w14:textId="54AE1985" w:rsidR="00B513FC" w:rsidRPr="008C72D8" w:rsidRDefault="00B513FC" w:rsidP="0078703F">
            <w:pPr>
              <w:spacing w:line="240" w:lineRule="auto"/>
              <w:jc w:val="center"/>
              <w:rPr>
                <w:rFonts w:eastAsia="Times New Roman" w:cstheme="minorHAnsi"/>
                <w:color w:val="000000"/>
                <w:sz w:val="16"/>
                <w:szCs w:val="18"/>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6CA8934" w14:textId="30C419C5"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601+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2696129" w14:textId="6E1D7334" w:rsidR="00B513FC" w:rsidRPr="008C72D8" w:rsidRDefault="00B513FC" w:rsidP="0078703F">
            <w:pPr>
              <w:spacing w:line="240" w:lineRule="auto"/>
              <w:jc w:val="center"/>
              <w:rPr>
                <w:sz w:val="16"/>
              </w:rPr>
            </w:pPr>
            <w:r w:rsidRPr="008C72D8">
              <w:rPr>
                <w:rFonts w:ascii="Calibri" w:hAnsi="Calibri" w:cs="Calibri"/>
                <w:color w:val="000000"/>
                <w:sz w:val="16"/>
              </w:rPr>
              <w:t>801+</w:t>
            </w:r>
          </w:p>
        </w:tc>
        <w:tc>
          <w:tcPr>
            <w:tcW w:w="85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E0FAFB" w14:textId="3615E313" w:rsidR="00B513FC" w:rsidRPr="008C72D8" w:rsidRDefault="00B513FC" w:rsidP="0078703F">
            <w:pPr>
              <w:spacing w:line="240" w:lineRule="auto"/>
              <w:jc w:val="center"/>
              <w:rPr>
                <w:sz w:val="16"/>
              </w:rPr>
            </w:pPr>
          </w:p>
        </w:tc>
      </w:tr>
      <w:tr w:rsidR="00B513FC" w:rsidRPr="008C72D8" w14:paraId="67EFD09D" w14:textId="34094341" w:rsidTr="00410E21">
        <w:trPr>
          <w:gridAfter w:val="1"/>
          <w:wAfter w:w="9" w:type="dxa"/>
          <w:trHeight w:val="249"/>
          <w:jc w:val="center"/>
        </w:trPr>
        <w:tc>
          <w:tcPr>
            <w:tcW w:w="8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58794" w14:textId="07171C6F"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UNISON</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F36E0" w14:textId="1CAA7E35"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2</w:t>
            </w:r>
          </w:p>
        </w:tc>
        <w:tc>
          <w:tcPr>
            <w:tcW w:w="10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8EE63" w14:textId="00B52EFE" w:rsidR="00B513FC" w:rsidRPr="008C72D8" w:rsidRDefault="00B513FC" w:rsidP="0078703F">
            <w:pPr>
              <w:spacing w:line="240" w:lineRule="auto"/>
              <w:jc w:val="center"/>
              <w:rPr>
                <w:rFonts w:eastAsia="Times New Roman" w:cstheme="minorHAnsi"/>
                <w:color w:val="000000"/>
                <w:sz w:val="16"/>
                <w:szCs w:val="18"/>
                <w:lang w:eastAsia="es-MX"/>
              </w:rPr>
            </w:pPr>
          </w:p>
        </w:tc>
        <w:tc>
          <w:tcPr>
            <w:tcW w:w="1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E42F4" w14:textId="41D866A5" w:rsidR="00B513FC" w:rsidRPr="008C72D8" w:rsidRDefault="00B513FC" w:rsidP="0078703F">
            <w:pPr>
              <w:spacing w:line="240" w:lineRule="auto"/>
              <w:jc w:val="center"/>
              <w:rPr>
                <w:rFonts w:eastAsia="Times New Roman" w:cstheme="minorHAnsi"/>
                <w:color w:val="000000"/>
                <w:sz w:val="16"/>
                <w:szCs w:val="18"/>
                <w:lang w:eastAsia="es-MX"/>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B4F34" w14:textId="1491E2E0"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801+</w:t>
            </w:r>
          </w:p>
        </w:tc>
        <w:tc>
          <w:tcPr>
            <w:tcW w:w="922" w:type="dxa"/>
            <w:tcBorders>
              <w:top w:val="single" w:sz="4" w:space="0" w:color="auto"/>
              <w:left w:val="single" w:sz="4" w:space="0" w:color="auto"/>
              <w:bottom w:val="single" w:sz="4" w:space="0" w:color="auto"/>
              <w:right w:val="single" w:sz="4" w:space="0" w:color="auto"/>
            </w:tcBorders>
            <w:vAlign w:val="center"/>
          </w:tcPr>
          <w:p w14:paraId="327A3916" w14:textId="25E68D67" w:rsidR="00B513FC" w:rsidRPr="008C72D8" w:rsidRDefault="00B513FC" w:rsidP="0078703F">
            <w:pPr>
              <w:spacing w:line="240" w:lineRule="auto"/>
              <w:jc w:val="center"/>
              <w:rPr>
                <w:rFonts w:eastAsia="Times New Roman" w:cstheme="minorHAnsi"/>
                <w:color w:val="000000"/>
                <w:sz w:val="16"/>
                <w:szCs w:val="18"/>
                <w:lang w:eastAsia="es-MX"/>
              </w:rPr>
            </w:pPr>
          </w:p>
        </w:tc>
        <w:tc>
          <w:tcPr>
            <w:tcW w:w="890" w:type="dxa"/>
            <w:tcBorders>
              <w:top w:val="single" w:sz="4" w:space="0" w:color="auto"/>
              <w:left w:val="single" w:sz="4" w:space="0" w:color="auto"/>
              <w:bottom w:val="single" w:sz="4" w:space="0" w:color="auto"/>
              <w:right w:val="single" w:sz="4" w:space="0" w:color="auto"/>
            </w:tcBorders>
            <w:vAlign w:val="center"/>
          </w:tcPr>
          <w:p w14:paraId="15ECC781" w14:textId="18CB75F9" w:rsidR="00B513FC" w:rsidRPr="008C72D8" w:rsidRDefault="00B513FC" w:rsidP="0078703F">
            <w:pPr>
              <w:spacing w:line="240" w:lineRule="auto"/>
              <w:jc w:val="center"/>
              <w:rPr>
                <w:rFonts w:eastAsia="Times New Roman" w:cstheme="minorHAnsi"/>
                <w:color w:val="000000"/>
                <w:sz w:val="16"/>
                <w:szCs w:val="18"/>
                <w:lang w:eastAsia="es-MX"/>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E676C" w14:textId="507984DB" w:rsidR="00B513FC" w:rsidRPr="008C72D8" w:rsidRDefault="00B513FC" w:rsidP="0078703F">
            <w:pPr>
              <w:spacing w:line="240" w:lineRule="auto"/>
              <w:jc w:val="center"/>
              <w:rPr>
                <w:rFonts w:eastAsia="Times New Roman" w:cstheme="minorHAnsi"/>
                <w:color w:val="000000"/>
                <w:sz w:val="16"/>
                <w:szCs w:val="18"/>
                <w:lang w:eastAsia="es-MX"/>
              </w:rPr>
            </w:pPr>
          </w:p>
        </w:tc>
        <w:tc>
          <w:tcPr>
            <w:tcW w:w="823" w:type="dxa"/>
            <w:tcBorders>
              <w:top w:val="single" w:sz="4" w:space="0" w:color="auto"/>
              <w:left w:val="single" w:sz="4" w:space="0" w:color="auto"/>
              <w:bottom w:val="single" w:sz="4" w:space="0" w:color="auto"/>
              <w:right w:val="single" w:sz="4" w:space="0" w:color="auto"/>
            </w:tcBorders>
            <w:vAlign w:val="center"/>
          </w:tcPr>
          <w:p w14:paraId="38C25F9E" w14:textId="60EAB6A0" w:rsidR="00B513FC" w:rsidRPr="008C72D8" w:rsidRDefault="00B513FC" w:rsidP="0078703F">
            <w:pPr>
              <w:spacing w:line="240" w:lineRule="auto"/>
              <w:jc w:val="center"/>
              <w:rPr>
                <w:rFonts w:eastAsia="Times New Roman" w:cstheme="minorHAnsi"/>
                <w:color w:val="000000"/>
                <w:sz w:val="16"/>
                <w:szCs w:val="18"/>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B11E2" w14:textId="276CF5A3" w:rsidR="00B513FC" w:rsidRPr="008C72D8" w:rsidRDefault="00B513FC" w:rsidP="0078703F">
            <w:pPr>
              <w:spacing w:line="240" w:lineRule="auto"/>
              <w:jc w:val="center"/>
              <w:rPr>
                <w:rFonts w:eastAsia="Times New Roman" w:cstheme="minorHAnsi"/>
                <w:color w:val="000000"/>
                <w:sz w:val="16"/>
                <w:szCs w:val="18"/>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9CAA4" w14:textId="1A183C11" w:rsidR="00B513FC" w:rsidRPr="008C72D8" w:rsidRDefault="00B513FC" w:rsidP="0078703F">
            <w:pPr>
              <w:spacing w:line="240" w:lineRule="auto"/>
              <w:jc w:val="center"/>
              <w:rPr>
                <w:rFonts w:eastAsia="Times New Roman" w:cstheme="minorHAnsi"/>
                <w:sz w:val="16"/>
                <w:szCs w:val="18"/>
                <w:lang w:eastAsia="es-MX"/>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09989EF" w14:textId="3AE24E7F" w:rsidR="00B513FC" w:rsidRPr="008C72D8" w:rsidRDefault="00B513FC" w:rsidP="0078703F">
            <w:pPr>
              <w:spacing w:line="240" w:lineRule="auto"/>
              <w:jc w:val="center"/>
              <w:rPr>
                <w:rFonts w:eastAsia="Times New Roman" w:cstheme="minorHAnsi"/>
                <w:sz w:val="16"/>
                <w:szCs w:val="18"/>
                <w:lang w:eastAsia="es-MX"/>
              </w:rPr>
            </w:pPr>
            <w:r w:rsidRPr="008C72D8">
              <w:rPr>
                <w:rFonts w:ascii="Calibri" w:hAnsi="Calibri" w:cs="Calibri"/>
                <w:color w:val="000000"/>
                <w:sz w:val="16"/>
              </w:rPr>
              <w:t>801+</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265E6CF" w14:textId="2EC52774" w:rsidR="00B513FC" w:rsidRPr="008C72D8" w:rsidRDefault="00B513FC" w:rsidP="0078703F">
            <w:pPr>
              <w:spacing w:line="240" w:lineRule="auto"/>
              <w:jc w:val="center"/>
              <w:rPr>
                <w:rFonts w:eastAsia="Times New Roman" w:cstheme="minorHAnsi"/>
                <w:sz w:val="16"/>
                <w:szCs w:val="18"/>
                <w:lang w:eastAsia="es-MX"/>
              </w:rPr>
            </w:pPr>
          </w:p>
        </w:tc>
      </w:tr>
      <w:tr w:rsidR="00B513FC" w:rsidRPr="008C72D8" w14:paraId="25A90C22" w14:textId="7A547700" w:rsidTr="00410E21">
        <w:trPr>
          <w:gridAfter w:val="1"/>
          <w:wAfter w:w="9" w:type="dxa"/>
          <w:trHeight w:val="249"/>
          <w:jc w:val="center"/>
        </w:trPr>
        <w:tc>
          <w:tcPr>
            <w:tcW w:w="88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6230B79" w14:textId="2FFF9FB0"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UADY</w:t>
            </w:r>
          </w:p>
        </w:tc>
        <w:tc>
          <w:tcPr>
            <w:tcW w:w="88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97C0523" w14:textId="7C9DE5FF"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szCs w:val="18"/>
              </w:rPr>
              <w:t>1</w:t>
            </w:r>
          </w:p>
        </w:tc>
        <w:tc>
          <w:tcPr>
            <w:tcW w:w="105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5DDE402" w14:textId="5C87475C" w:rsidR="00B513FC" w:rsidRPr="008C72D8" w:rsidRDefault="00B513FC" w:rsidP="0078703F">
            <w:pPr>
              <w:spacing w:line="240" w:lineRule="auto"/>
              <w:jc w:val="center"/>
              <w:rPr>
                <w:rFonts w:eastAsia="Times New Roman" w:cstheme="minorHAnsi"/>
                <w:color w:val="000000"/>
                <w:sz w:val="16"/>
                <w:szCs w:val="18"/>
                <w:lang w:eastAsia="es-MX"/>
              </w:rPr>
            </w:pPr>
          </w:p>
        </w:tc>
        <w:tc>
          <w:tcPr>
            <w:tcW w:w="114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C8107D5" w14:textId="4CC9736E" w:rsidR="00B513FC" w:rsidRPr="008C72D8" w:rsidRDefault="00B513FC" w:rsidP="0078703F">
            <w:pPr>
              <w:spacing w:line="240" w:lineRule="auto"/>
              <w:jc w:val="center"/>
              <w:rPr>
                <w:rFonts w:eastAsia="Times New Roman" w:cstheme="minorHAnsi"/>
                <w:color w:val="000000"/>
                <w:sz w:val="16"/>
                <w:szCs w:val="18"/>
                <w:lang w:eastAsia="es-MX"/>
              </w:rPr>
            </w:pPr>
          </w:p>
        </w:tc>
        <w:tc>
          <w:tcPr>
            <w:tcW w:w="98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D162775" w14:textId="675E2916" w:rsidR="00B513FC" w:rsidRPr="008C72D8" w:rsidRDefault="00B513FC" w:rsidP="0078703F">
            <w:pPr>
              <w:spacing w:line="240" w:lineRule="auto"/>
              <w:jc w:val="center"/>
              <w:rPr>
                <w:rFonts w:eastAsia="Times New Roman" w:cstheme="minorHAnsi"/>
                <w:color w:val="000000"/>
                <w:sz w:val="16"/>
                <w:szCs w:val="18"/>
                <w:lang w:eastAsia="es-MX"/>
              </w:rPr>
            </w:pPr>
          </w:p>
        </w:tc>
        <w:tc>
          <w:tcPr>
            <w:tcW w:w="9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F48C5E" w14:textId="225B20F0" w:rsidR="00B513FC" w:rsidRPr="008C72D8" w:rsidRDefault="00B513FC" w:rsidP="0078703F">
            <w:pPr>
              <w:spacing w:line="240" w:lineRule="auto"/>
              <w:jc w:val="center"/>
              <w:rPr>
                <w:rFonts w:eastAsia="Times New Roman" w:cstheme="minorHAnsi"/>
                <w:color w:val="000000"/>
                <w:sz w:val="16"/>
                <w:szCs w:val="18"/>
                <w:lang w:eastAsia="es-MX"/>
              </w:rPr>
            </w:pPr>
          </w:p>
        </w:tc>
        <w:tc>
          <w:tcPr>
            <w:tcW w:w="8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B9DC52" w14:textId="1D0B58E7" w:rsidR="00B513FC" w:rsidRPr="008C72D8" w:rsidRDefault="00B513FC" w:rsidP="0078703F">
            <w:pPr>
              <w:spacing w:line="240" w:lineRule="auto"/>
              <w:jc w:val="center"/>
              <w:rPr>
                <w:rFonts w:eastAsia="Times New Roman" w:cstheme="minorHAnsi"/>
                <w:color w:val="000000"/>
                <w:sz w:val="16"/>
                <w:szCs w:val="18"/>
                <w:lang w:eastAsia="es-MX"/>
              </w:rPr>
            </w:pPr>
          </w:p>
        </w:tc>
        <w:tc>
          <w:tcPr>
            <w:tcW w:w="73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2461E65" w14:textId="575E54DB" w:rsidR="00B513FC" w:rsidRPr="008C72D8" w:rsidRDefault="00B513FC" w:rsidP="0078703F">
            <w:pPr>
              <w:spacing w:line="240" w:lineRule="auto"/>
              <w:jc w:val="center"/>
              <w:rPr>
                <w:rFonts w:eastAsia="Times New Roman" w:cstheme="minorHAnsi"/>
                <w:color w:val="000000"/>
                <w:sz w:val="16"/>
                <w:szCs w:val="18"/>
                <w:lang w:eastAsia="es-MX"/>
              </w:rPr>
            </w:pPr>
          </w:p>
        </w:tc>
        <w:tc>
          <w:tcPr>
            <w:tcW w:w="8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08ABAF" w14:textId="58EA4593" w:rsidR="00B513FC" w:rsidRPr="008C72D8" w:rsidRDefault="00B513FC" w:rsidP="0078703F">
            <w:pPr>
              <w:spacing w:line="240" w:lineRule="auto"/>
              <w:jc w:val="center"/>
              <w:rPr>
                <w:rFonts w:eastAsia="Times New Roman" w:cstheme="minorHAnsi"/>
                <w:color w:val="000000"/>
                <w:sz w:val="16"/>
                <w:szCs w:val="18"/>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2AF2BC0" w14:textId="2E7C0773" w:rsidR="00B513FC" w:rsidRPr="008C72D8" w:rsidRDefault="00B513FC" w:rsidP="0078703F">
            <w:pPr>
              <w:spacing w:line="240" w:lineRule="auto"/>
              <w:jc w:val="center"/>
              <w:rPr>
                <w:rFonts w:eastAsia="Times New Roman" w:cstheme="minorHAnsi"/>
                <w:color w:val="000000"/>
                <w:sz w:val="16"/>
                <w:szCs w:val="18"/>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52E20B2" w14:textId="1DE35613" w:rsidR="00B513FC" w:rsidRPr="008C72D8" w:rsidRDefault="00B513FC" w:rsidP="0078703F">
            <w:pPr>
              <w:spacing w:line="240" w:lineRule="auto"/>
              <w:jc w:val="center"/>
              <w:rPr>
                <w:rFonts w:eastAsia="Times New Roman" w:cstheme="minorHAnsi"/>
                <w:color w:val="000000"/>
                <w:sz w:val="16"/>
                <w:szCs w:val="18"/>
                <w:lang w:eastAsia="es-MX"/>
              </w:rPr>
            </w:pPr>
            <w:r w:rsidRPr="008C72D8">
              <w:rPr>
                <w:rFonts w:ascii="Calibri" w:hAnsi="Calibri" w:cs="Calibri"/>
                <w:color w:val="000000"/>
                <w:sz w:val="16"/>
              </w:rPr>
              <w:t>601+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CC18EE" w14:textId="67368198" w:rsidR="00B513FC" w:rsidRPr="008C72D8" w:rsidRDefault="00B513FC" w:rsidP="0078703F">
            <w:pPr>
              <w:spacing w:line="240" w:lineRule="auto"/>
              <w:jc w:val="center"/>
              <w:rPr>
                <w:sz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566391B" w14:textId="3116949D" w:rsidR="00B513FC" w:rsidRPr="008C72D8" w:rsidRDefault="00B513FC" w:rsidP="0078703F">
            <w:pPr>
              <w:spacing w:line="240" w:lineRule="auto"/>
              <w:jc w:val="center"/>
              <w:rPr>
                <w:sz w:val="16"/>
              </w:rPr>
            </w:pPr>
          </w:p>
        </w:tc>
      </w:tr>
      <w:tr w:rsidR="00B513FC" w:rsidRPr="008C72D8" w14:paraId="050A794E" w14:textId="0DA98F43" w:rsidTr="00954A14">
        <w:trPr>
          <w:trHeight w:val="67"/>
          <w:jc w:val="center"/>
        </w:trPr>
        <w:tc>
          <w:tcPr>
            <w:tcW w:w="9969" w:type="dxa"/>
            <w:gridSpan w:val="12"/>
            <w:tcBorders>
              <w:top w:val="single" w:sz="4" w:space="0" w:color="auto"/>
            </w:tcBorders>
          </w:tcPr>
          <w:p w14:paraId="3352A82C" w14:textId="1BD3B092" w:rsidR="00B513FC" w:rsidRPr="008C72D8" w:rsidRDefault="00B513FC" w:rsidP="0078703F">
            <w:pPr>
              <w:spacing w:line="240" w:lineRule="auto"/>
              <w:rPr>
                <w:rFonts w:ascii="Calibri" w:eastAsia="Times New Roman" w:hAnsi="Calibri" w:cs="Calibri"/>
                <w:color w:val="000000"/>
                <w:sz w:val="14"/>
                <w:szCs w:val="18"/>
                <w:lang w:eastAsia="es-MX"/>
              </w:rPr>
            </w:pPr>
            <w:r w:rsidRPr="008C72D8">
              <w:rPr>
                <w:rFonts w:ascii="Calibri" w:eastAsia="Times New Roman" w:hAnsi="Calibri" w:cs="Calibri"/>
                <w:color w:val="000000"/>
                <w:sz w:val="14"/>
                <w:szCs w:val="18"/>
                <w:lang w:eastAsia="es-MX"/>
              </w:rPr>
              <w:t>* Ordenado por el número de disciplinas evaluadas y por nombre.</w:t>
            </w:r>
          </w:p>
        </w:tc>
        <w:tc>
          <w:tcPr>
            <w:tcW w:w="850" w:type="dxa"/>
            <w:gridSpan w:val="2"/>
            <w:tcBorders>
              <w:top w:val="single" w:sz="4" w:space="0" w:color="auto"/>
            </w:tcBorders>
          </w:tcPr>
          <w:p w14:paraId="35B230E7" w14:textId="77777777" w:rsidR="00B513FC" w:rsidRPr="008C72D8" w:rsidRDefault="00B513FC" w:rsidP="0078703F">
            <w:pPr>
              <w:spacing w:line="240" w:lineRule="auto"/>
              <w:rPr>
                <w:rFonts w:ascii="Calibri" w:eastAsia="Times New Roman" w:hAnsi="Calibri" w:cs="Calibri"/>
                <w:color w:val="000000"/>
                <w:sz w:val="14"/>
                <w:szCs w:val="18"/>
                <w:lang w:eastAsia="es-MX"/>
              </w:rPr>
            </w:pPr>
          </w:p>
        </w:tc>
        <w:tc>
          <w:tcPr>
            <w:tcW w:w="853" w:type="dxa"/>
            <w:gridSpan w:val="2"/>
            <w:tcBorders>
              <w:top w:val="single" w:sz="4" w:space="0" w:color="auto"/>
            </w:tcBorders>
          </w:tcPr>
          <w:p w14:paraId="3CE9B7A2" w14:textId="14E52467" w:rsidR="00B513FC" w:rsidRPr="008C72D8" w:rsidRDefault="00B513FC" w:rsidP="0078703F">
            <w:pPr>
              <w:spacing w:line="240" w:lineRule="auto"/>
              <w:rPr>
                <w:rFonts w:ascii="Calibri" w:eastAsia="Times New Roman" w:hAnsi="Calibri" w:cs="Calibri"/>
                <w:color w:val="000000"/>
                <w:sz w:val="14"/>
                <w:szCs w:val="18"/>
                <w:lang w:eastAsia="es-MX"/>
              </w:rPr>
            </w:pPr>
          </w:p>
        </w:tc>
      </w:tr>
    </w:tbl>
    <w:p w14:paraId="7CF07A62" w14:textId="6244E35D" w:rsidR="001718E6" w:rsidRPr="008C72D8" w:rsidRDefault="001718E6" w:rsidP="0078703F">
      <w:pPr>
        <w:spacing w:line="240" w:lineRule="auto"/>
        <w:jc w:val="both"/>
        <w:rPr>
          <w:sz w:val="16"/>
        </w:rPr>
      </w:pPr>
    </w:p>
    <w:p w14:paraId="1C429513" w14:textId="36E96732" w:rsidR="00FA47B6" w:rsidRPr="008C72D8" w:rsidRDefault="00FA47B6" w:rsidP="0078703F">
      <w:pPr>
        <w:pStyle w:val="Prrafodelista"/>
        <w:numPr>
          <w:ilvl w:val="0"/>
          <w:numId w:val="1"/>
        </w:numPr>
        <w:spacing w:line="240" w:lineRule="auto"/>
        <w:jc w:val="both"/>
        <w:rPr>
          <w:sz w:val="24"/>
        </w:rPr>
      </w:pPr>
      <w:r w:rsidRPr="008C72D8">
        <w:rPr>
          <w:sz w:val="24"/>
        </w:rPr>
        <w:t>La UNAM es la universidad mexica mejor posicionada y con un mayor número de áreas de conocimiento clasificadas en el ranking THE</w:t>
      </w:r>
      <w:r w:rsidR="0087278D">
        <w:rPr>
          <w:sz w:val="24"/>
        </w:rPr>
        <w:t xml:space="preserve"> (</w:t>
      </w:r>
      <w:r w:rsidR="00C70E4F" w:rsidRPr="008C72D8">
        <w:rPr>
          <w:sz w:val="24"/>
        </w:rPr>
        <w:t xml:space="preserve">11 </w:t>
      </w:r>
      <w:r w:rsidRPr="008C72D8">
        <w:rPr>
          <w:sz w:val="24"/>
        </w:rPr>
        <w:t xml:space="preserve">áreas </w:t>
      </w:r>
      <w:r w:rsidR="00C70E4F" w:rsidRPr="008C72D8">
        <w:rPr>
          <w:sz w:val="24"/>
        </w:rPr>
        <w:t>de 11 posibles</w:t>
      </w:r>
      <w:r w:rsidR="0087278D">
        <w:rPr>
          <w:sz w:val="24"/>
        </w:rPr>
        <w:t>)</w:t>
      </w:r>
      <w:r w:rsidRPr="008C72D8">
        <w:rPr>
          <w:sz w:val="24"/>
        </w:rPr>
        <w:t>.</w:t>
      </w:r>
    </w:p>
    <w:p w14:paraId="1B236CC3" w14:textId="77777777" w:rsidR="00C70E4F" w:rsidRDefault="00C70E4F" w:rsidP="0078703F">
      <w:pPr>
        <w:pStyle w:val="Prrafodelista"/>
        <w:numPr>
          <w:ilvl w:val="1"/>
          <w:numId w:val="24"/>
        </w:numPr>
        <w:spacing w:line="240" w:lineRule="auto"/>
        <w:jc w:val="both"/>
        <w:rPr>
          <w:sz w:val="24"/>
        </w:rPr>
      </w:pPr>
      <w:r w:rsidRPr="008C72D8">
        <w:rPr>
          <w:sz w:val="24"/>
        </w:rPr>
        <w:t xml:space="preserve">La UNAM es </w:t>
      </w:r>
      <w:r w:rsidR="00FA47B6" w:rsidRPr="008C72D8">
        <w:rPr>
          <w:sz w:val="24"/>
        </w:rPr>
        <w:t xml:space="preserve">única institución que </w:t>
      </w:r>
      <w:r w:rsidRPr="008C72D8">
        <w:rPr>
          <w:sz w:val="24"/>
        </w:rPr>
        <w:t xml:space="preserve">cuenta con dos áreas del conocimiento clasificadas en el </w:t>
      </w:r>
      <w:r w:rsidR="00FA47B6" w:rsidRPr="008C72D8">
        <w:rPr>
          <w:sz w:val="24"/>
        </w:rPr>
        <w:t>TOP 150</w:t>
      </w:r>
      <w:r w:rsidRPr="008C72D8">
        <w:rPr>
          <w:sz w:val="24"/>
        </w:rPr>
        <w:t>: Artes y Humanidades (rango 101-125), y Derecho (rango 101-125).</w:t>
      </w:r>
    </w:p>
    <w:p w14:paraId="59FC5259" w14:textId="77777777" w:rsidR="0087278D" w:rsidRPr="008C72D8" w:rsidRDefault="0087278D" w:rsidP="0078703F">
      <w:pPr>
        <w:pStyle w:val="Prrafodelista"/>
        <w:spacing w:line="240" w:lineRule="auto"/>
        <w:ind w:left="1440"/>
        <w:jc w:val="both"/>
        <w:rPr>
          <w:sz w:val="24"/>
        </w:rPr>
      </w:pPr>
    </w:p>
    <w:p w14:paraId="21F44D68" w14:textId="5B95A012" w:rsidR="00C70E4F" w:rsidRPr="008C72D8" w:rsidRDefault="00C70E4F" w:rsidP="0078703F">
      <w:pPr>
        <w:pStyle w:val="Prrafodelista"/>
        <w:numPr>
          <w:ilvl w:val="1"/>
          <w:numId w:val="24"/>
        </w:numPr>
        <w:spacing w:line="240" w:lineRule="auto"/>
        <w:jc w:val="both"/>
        <w:rPr>
          <w:sz w:val="24"/>
        </w:rPr>
      </w:pPr>
      <w:r w:rsidRPr="008C72D8">
        <w:rPr>
          <w:sz w:val="24"/>
        </w:rPr>
        <w:t>Considerando la información de la edición 2019, se pueden hacer las siguientes precisiones por área del conocimiento:</w:t>
      </w:r>
    </w:p>
    <w:p w14:paraId="0E93D787" w14:textId="5C558396" w:rsidR="00C70E4F" w:rsidRPr="008C72D8" w:rsidRDefault="00C70E4F" w:rsidP="0078703F">
      <w:pPr>
        <w:pStyle w:val="Prrafodelista"/>
        <w:numPr>
          <w:ilvl w:val="2"/>
          <w:numId w:val="24"/>
        </w:numPr>
        <w:spacing w:line="240" w:lineRule="auto"/>
        <w:jc w:val="both"/>
        <w:rPr>
          <w:sz w:val="24"/>
        </w:rPr>
      </w:pPr>
      <w:r w:rsidRPr="008C72D8">
        <w:rPr>
          <w:b/>
          <w:sz w:val="24"/>
        </w:rPr>
        <w:t>Artes y Humanidades</w:t>
      </w:r>
      <w:r w:rsidRPr="008C72D8">
        <w:rPr>
          <w:sz w:val="24"/>
        </w:rPr>
        <w:t xml:space="preserve">: Se </w:t>
      </w:r>
      <w:r w:rsidR="0032392B" w:rsidRPr="008C72D8">
        <w:rPr>
          <w:sz w:val="24"/>
        </w:rPr>
        <w:t xml:space="preserve">mejoró el rango al pasar del </w:t>
      </w:r>
      <w:r w:rsidRPr="008C72D8">
        <w:rPr>
          <w:sz w:val="24"/>
        </w:rPr>
        <w:t xml:space="preserve">126-150 </w:t>
      </w:r>
      <w:r w:rsidR="0032392B" w:rsidRPr="008C72D8">
        <w:rPr>
          <w:sz w:val="24"/>
        </w:rPr>
        <w:t xml:space="preserve">en 2019, al </w:t>
      </w:r>
      <w:r w:rsidRPr="008C72D8">
        <w:rPr>
          <w:sz w:val="24"/>
        </w:rPr>
        <w:t>rango 101-125</w:t>
      </w:r>
      <w:r w:rsidR="0032392B" w:rsidRPr="008C72D8">
        <w:rPr>
          <w:sz w:val="24"/>
        </w:rPr>
        <w:t xml:space="preserve"> en la edición 2020</w:t>
      </w:r>
      <w:r w:rsidRPr="008C72D8">
        <w:rPr>
          <w:sz w:val="24"/>
        </w:rPr>
        <w:t>.</w:t>
      </w:r>
    </w:p>
    <w:p w14:paraId="00F68752" w14:textId="77777777" w:rsidR="00335FEE" w:rsidRPr="008C72D8" w:rsidRDefault="00335FEE" w:rsidP="0078703F">
      <w:pPr>
        <w:pStyle w:val="Prrafodelista"/>
        <w:spacing w:line="240" w:lineRule="auto"/>
        <w:ind w:left="2160"/>
        <w:jc w:val="both"/>
        <w:rPr>
          <w:sz w:val="10"/>
        </w:rPr>
      </w:pPr>
    </w:p>
    <w:p w14:paraId="24EDB68A" w14:textId="77777777" w:rsidR="006C6D02" w:rsidRPr="008C72D8" w:rsidRDefault="006C6D02" w:rsidP="0078703F">
      <w:pPr>
        <w:pStyle w:val="Prrafodelista"/>
        <w:spacing w:line="240" w:lineRule="auto"/>
        <w:ind w:left="2160"/>
        <w:jc w:val="both"/>
        <w:rPr>
          <w:sz w:val="24"/>
        </w:rPr>
      </w:pPr>
      <w:r w:rsidRPr="008C72D8">
        <w:rPr>
          <w:b/>
          <w:sz w:val="24"/>
        </w:rPr>
        <w:t xml:space="preserve">El cambio de los siguientes rangos, puede posiblemente deberse a dos factores: </w:t>
      </w:r>
    </w:p>
    <w:p w14:paraId="153F4858" w14:textId="77777777" w:rsidR="006C6D02" w:rsidRPr="008C72D8" w:rsidRDefault="00D1324A" w:rsidP="0078703F">
      <w:pPr>
        <w:pStyle w:val="Prrafodelista"/>
        <w:numPr>
          <w:ilvl w:val="0"/>
          <w:numId w:val="25"/>
        </w:numPr>
        <w:spacing w:line="240" w:lineRule="auto"/>
        <w:jc w:val="both"/>
        <w:rPr>
          <w:sz w:val="24"/>
        </w:rPr>
      </w:pPr>
      <w:r w:rsidRPr="008C72D8">
        <w:rPr>
          <w:sz w:val="24"/>
        </w:rPr>
        <w:t xml:space="preserve">En primer lugar, ha existido un incremento en el número de universidades evaluadas por área del conocimiento, que oscila de 3 instituciones (derecho) hasta 105 (Ingeniería y Tecnología). </w:t>
      </w:r>
    </w:p>
    <w:p w14:paraId="73D56EB8" w14:textId="02CD2A74" w:rsidR="00D1324A" w:rsidRPr="008C72D8" w:rsidRDefault="00D1324A" w:rsidP="0078703F">
      <w:pPr>
        <w:pStyle w:val="Prrafodelista"/>
        <w:numPr>
          <w:ilvl w:val="0"/>
          <w:numId w:val="25"/>
        </w:numPr>
        <w:spacing w:line="240" w:lineRule="auto"/>
        <w:jc w:val="both"/>
        <w:rPr>
          <w:sz w:val="24"/>
        </w:rPr>
      </w:pPr>
      <w:r w:rsidRPr="008C72D8">
        <w:rPr>
          <w:sz w:val="24"/>
        </w:rPr>
        <w:t xml:space="preserve">En segundo lugar, el ranking expresa que se han realizado </w:t>
      </w:r>
      <w:r w:rsidR="009D0639" w:rsidRPr="008C72D8">
        <w:rPr>
          <w:sz w:val="24"/>
        </w:rPr>
        <w:t xml:space="preserve">una “recalibración para ajustarse a los campos individuales” </w:t>
      </w:r>
      <w:r w:rsidR="009D0639" w:rsidRPr="008C72D8">
        <w:rPr>
          <w:i/>
          <w:sz w:val="24"/>
        </w:rPr>
        <w:t>[sic]</w:t>
      </w:r>
      <w:r w:rsidR="009D0639" w:rsidRPr="008C72D8">
        <w:rPr>
          <w:sz w:val="24"/>
        </w:rPr>
        <w:t xml:space="preserve">, </w:t>
      </w:r>
      <w:r w:rsidR="00CB7BB8" w:rsidRPr="008C72D8">
        <w:rPr>
          <w:sz w:val="24"/>
        </w:rPr>
        <w:t xml:space="preserve">lo cual significa, que </w:t>
      </w:r>
      <w:r w:rsidR="009D0639" w:rsidRPr="008C72D8">
        <w:rPr>
          <w:sz w:val="24"/>
        </w:rPr>
        <w:t xml:space="preserve">se han realizado </w:t>
      </w:r>
      <w:r w:rsidRPr="008C72D8">
        <w:rPr>
          <w:sz w:val="24"/>
        </w:rPr>
        <w:t>modificaciones en los ponderadores</w:t>
      </w:r>
      <w:r w:rsidR="006C6D02" w:rsidRPr="008C72D8">
        <w:rPr>
          <w:sz w:val="24"/>
        </w:rPr>
        <w:t xml:space="preserve"> de cada área del conocimiento</w:t>
      </w:r>
      <w:r w:rsidRPr="008C72D8">
        <w:rPr>
          <w:sz w:val="24"/>
        </w:rPr>
        <w:t xml:space="preserve">, sin embargo, dichos cambios no son </w:t>
      </w:r>
      <w:r w:rsidR="009D0639" w:rsidRPr="008C72D8">
        <w:rPr>
          <w:sz w:val="24"/>
        </w:rPr>
        <w:t xml:space="preserve">claramente identificados, ni </w:t>
      </w:r>
      <w:r w:rsidRPr="008C72D8">
        <w:rPr>
          <w:sz w:val="24"/>
        </w:rPr>
        <w:t>explícitos</w:t>
      </w:r>
      <w:r w:rsidR="009D0639" w:rsidRPr="008C72D8">
        <w:rPr>
          <w:sz w:val="24"/>
        </w:rPr>
        <w:t xml:space="preserve"> en la metodología de cada área del conocimiento.</w:t>
      </w:r>
    </w:p>
    <w:p w14:paraId="58C019ED" w14:textId="5B89BC36" w:rsidR="00C70E4F" w:rsidRPr="008C72D8" w:rsidRDefault="00C70E4F" w:rsidP="0078703F">
      <w:pPr>
        <w:pStyle w:val="Prrafodelista"/>
        <w:numPr>
          <w:ilvl w:val="2"/>
          <w:numId w:val="24"/>
        </w:numPr>
        <w:spacing w:line="240" w:lineRule="auto"/>
        <w:jc w:val="both"/>
        <w:rPr>
          <w:sz w:val="24"/>
        </w:rPr>
      </w:pPr>
      <w:r w:rsidRPr="008C72D8">
        <w:rPr>
          <w:b/>
          <w:sz w:val="24"/>
        </w:rPr>
        <w:t>Derecho</w:t>
      </w:r>
      <w:r w:rsidRPr="008C72D8">
        <w:rPr>
          <w:sz w:val="24"/>
        </w:rPr>
        <w:t xml:space="preserve">: Se presentó un </w:t>
      </w:r>
      <w:r w:rsidR="00D1324A" w:rsidRPr="008C72D8">
        <w:rPr>
          <w:sz w:val="24"/>
        </w:rPr>
        <w:t>decremento</w:t>
      </w:r>
      <w:r w:rsidRPr="008C72D8">
        <w:rPr>
          <w:sz w:val="24"/>
        </w:rPr>
        <w:t xml:space="preserve"> al bajar del rango 92 al 101-125.</w:t>
      </w:r>
    </w:p>
    <w:p w14:paraId="5CAF88AA" w14:textId="00CD6B82" w:rsidR="00C70E4F" w:rsidRPr="008C72D8" w:rsidRDefault="00C70E4F" w:rsidP="0078703F">
      <w:pPr>
        <w:pStyle w:val="Prrafodelista"/>
        <w:numPr>
          <w:ilvl w:val="2"/>
          <w:numId w:val="24"/>
        </w:numPr>
        <w:spacing w:line="240" w:lineRule="auto"/>
        <w:jc w:val="both"/>
        <w:rPr>
          <w:sz w:val="24"/>
        </w:rPr>
      </w:pPr>
      <w:r w:rsidRPr="008C72D8">
        <w:rPr>
          <w:b/>
          <w:sz w:val="24"/>
        </w:rPr>
        <w:t>Educación</w:t>
      </w:r>
      <w:r w:rsidRPr="008C72D8">
        <w:rPr>
          <w:sz w:val="24"/>
        </w:rPr>
        <w:t>: Se pasó del rango 101-125</w:t>
      </w:r>
      <w:r w:rsidR="00D1324A" w:rsidRPr="008C72D8">
        <w:rPr>
          <w:sz w:val="24"/>
        </w:rPr>
        <w:t xml:space="preserve">, </w:t>
      </w:r>
      <w:r w:rsidRPr="008C72D8">
        <w:rPr>
          <w:sz w:val="24"/>
        </w:rPr>
        <w:t xml:space="preserve">al </w:t>
      </w:r>
      <w:r w:rsidR="00D1324A" w:rsidRPr="008C72D8">
        <w:rPr>
          <w:sz w:val="24"/>
        </w:rPr>
        <w:t xml:space="preserve">rango </w:t>
      </w:r>
      <w:r w:rsidRPr="008C72D8">
        <w:rPr>
          <w:sz w:val="24"/>
        </w:rPr>
        <w:t>151-175</w:t>
      </w:r>
      <w:r w:rsidR="00D1324A" w:rsidRPr="008C72D8">
        <w:rPr>
          <w:sz w:val="24"/>
        </w:rPr>
        <w:t xml:space="preserve"> en 2020</w:t>
      </w:r>
      <w:r w:rsidRPr="008C72D8">
        <w:rPr>
          <w:sz w:val="24"/>
        </w:rPr>
        <w:t>.</w:t>
      </w:r>
    </w:p>
    <w:p w14:paraId="551ACD5B" w14:textId="6CCA3D8D" w:rsidR="00C70E4F" w:rsidRPr="008C72D8" w:rsidRDefault="00C70E4F" w:rsidP="0078703F">
      <w:pPr>
        <w:pStyle w:val="Prrafodelista"/>
        <w:numPr>
          <w:ilvl w:val="2"/>
          <w:numId w:val="24"/>
        </w:numPr>
        <w:spacing w:line="240" w:lineRule="auto"/>
        <w:jc w:val="both"/>
        <w:rPr>
          <w:sz w:val="24"/>
        </w:rPr>
      </w:pPr>
      <w:r w:rsidRPr="008C72D8">
        <w:rPr>
          <w:b/>
          <w:sz w:val="24"/>
        </w:rPr>
        <w:lastRenderedPageBreak/>
        <w:t>Ciencias Sociales</w:t>
      </w:r>
      <w:r w:rsidRPr="008C72D8">
        <w:rPr>
          <w:sz w:val="24"/>
        </w:rPr>
        <w:t xml:space="preserve">: </w:t>
      </w:r>
      <w:r w:rsidR="00D1324A" w:rsidRPr="008C72D8">
        <w:rPr>
          <w:sz w:val="24"/>
        </w:rPr>
        <w:t>El rango pasó del 201-250 en 2019, al rango 301–400 en 2020.</w:t>
      </w:r>
    </w:p>
    <w:p w14:paraId="0044EF9C" w14:textId="40F50D1D" w:rsidR="00C70E4F" w:rsidRPr="008C72D8" w:rsidRDefault="00C70E4F" w:rsidP="0078703F">
      <w:pPr>
        <w:pStyle w:val="Prrafodelista"/>
        <w:numPr>
          <w:ilvl w:val="2"/>
          <w:numId w:val="24"/>
        </w:numPr>
        <w:spacing w:line="240" w:lineRule="auto"/>
        <w:jc w:val="both"/>
        <w:rPr>
          <w:sz w:val="24"/>
        </w:rPr>
      </w:pPr>
      <w:r w:rsidRPr="008C72D8">
        <w:rPr>
          <w:b/>
          <w:sz w:val="24"/>
        </w:rPr>
        <w:t>Psicología</w:t>
      </w:r>
      <w:r w:rsidRPr="008C72D8">
        <w:rPr>
          <w:sz w:val="24"/>
        </w:rPr>
        <w:t xml:space="preserve">: </w:t>
      </w:r>
      <w:r w:rsidR="00D1324A" w:rsidRPr="008C72D8">
        <w:rPr>
          <w:sz w:val="24"/>
        </w:rPr>
        <w:t>Se decremento del rango 251-300 al 301–400.</w:t>
      </w:r>
    </w:p>
    <w:p w14:paraId="6FA8D516" w14:textId="69D58B9F" w:rsidR="00C70E4F" w:rsidRPr="008C72D8" w:rsidRDefault="00C70E4F" w:rsidP="0078703F">
      <w:pPr>
        <w:pStyle w:val="Prrafodelista"/>
        <w:numPr>
          <w:ilvl w:val="2"/>
          <w:numId w:val="24"/>
        </w:numPr>
        <w:spacing w:line="240" w:lineRule="auto"/>
        <w:jc w:val="both"/>
        <w:rPr>
          <w:sz w:val="24"/>
        </w:rPr>
      </w:pPr>
      <w:r w:rsidRPr="008C72D8">
        <w:rPr>
          <w:b/>
          <w:sz w:val="24"/>
        </w:rPr>
        <w:t>Ciencias de la Vida</w:t>
      </w:r>
      <w:r w:rsidRPr="008C72D8">
        <w:rPr>
          <w:sz w:val="24"/>
        </w:rPr>
        <w:t xml:space="preserve">: </w:t>
      </w:r>
      <w:r w:rsidR="00D1324A" w:rsidRPr="008C72D8">
        <w:rPr>
          <w:sz w:val="24"/>
        </w:rPr>
        <w:t>Se pasó del rango 401-500 en 2019, al rango 501–600 en la edición 2020.</w:t>
      </w:r>
    </w:p>
    <w:p w14:paraId="2CB4B584" w14:textId="4491A5A4" w:rsidR="00C70E4F" w:rsidRPr="008C72D8" w:rsidRDefault="00C70E4F" w:rsidP="0078703F">
      <w:pPr>
        <w:pStyle w:val="Prrafodelista"/>
        <w:numPr>
          <w:ilvl w:val="2"/>
          <w:numId w:val="24"/>
        </w:numPr>
        <w:spacing w:line="240" w:lineRule="auto"/>
        <w:jc w:val="both"/>
        <w:rPr>
          <w:sz w:val="24"/>
        </w:rPr>
      </w:pPr>
      <w:r w:rsidRPr="008C72D8">
        <w:rPr>
          <w:b/>
          <w:sz w:val="24"/>
        </w:rPr>
        <w:t>Ciencias Físicas</w:t>
      </w:r>
      <w:r w:rsidRPr="008C72D8">
        <w:rPr>
          <w:sz w:val="24"/>
        </w:rPr>
        <w:t xml:space="preserve">: </w:t>
      </w:r>
      <w:r w:rsidR="00D1324A" w:rsidRPr="008C72D8">
        <w:rPr>
          <w:sz w:val="24"/>
        </w:rPr>
        <w:t xml:space="preserve">Se pasó del rango </w:t>
      </w:r>
      <w:r w:rsidR="00D1324A" w:rsidRPr="008C72D8">
        <w:rPr>
          <w:sz w:val="24"/>
        </w:rPr>
        <w:t>501-600, al 601–800.</w:t>
      </w:r>
    </w:p>
    <w:p w14:paraId="020E2B2B" w14:textId="3FF34CC8" w:rsidR="00C70E4F" w:rsidRPr="008C72D8" w:rsidRDefault="00C70E4F" w:rsidP="0078703F">
      <w:pPr>
        <w:pStyle w:val="Prrafodelista"/>
        <w:numPr>
          <w:ilvl w:val="2"/>
          <w:numId w:val="24"/>
        </w:numPr>
        <w:spacing w:line="240" w:lineRule="auto"/>
        <w:jc w:val="both"/>
        <w:rPr>
          <w:sz w:val="24"/>
        </w:rPr>
      </w:pPr>
      <w:r w:rsidRPr="008C72D8">
        <w:rPr>
          <w:b/>
          <w:sz w:val="24"/>
        </w:rPr>
        <w:t>Ciencias de la Computación</w:t>
      </w:r>
      <w:r w:rsidRPr="008C72D8">
        <w:rPr>
          <w:sz w:val="24"/>
        </w:rPr>
        <w:t xml:space="preserve">: </w:t>
      </w:r>
      <w:r w:rsidR="00D1324A" w:rsidRPr="008C72D8">
        <w:rPr>
          <w:sz w:val="24"/>
        </w:rPr>
        <w:t xml:space="preserve">El rango pasó del </w:t>
      </w:r>
      <w:r w:rsidR="00D1324A" w:rsidRPr="008C72D8">
        <w:rPr>
          <w:sz w:val="24"/>
        </w:rPr>
        <w:t>501-600 en la edición 2019, al rango 601+ en 2020.</w:t>
      </w:r>
    </w:p>
    <w:p w14:paraId="25083F94" w14:textId="7B464B3D" w:rsidR="00D1324A" w:rsidRPr="008C72D8" w:rsidRDefault="00D1324A" w:rsidP="0078703F">
      <w:pPr>
        <w:pStyle w:val="Prrafodelista"/>
        <w:numPr>
          <w:ilvl w:val="2"/>
          <w:numId w:val="24"/>
        </w:numPr>
        <w:spacing w:line="240" w:lineRule="auto"/>
        <w:jc w:val="both"/>
        <w:rPr>
          <w:sz w:val="24"/>
        </w:rPr>
      </w:pPr>
      <w:r w:rsidRPr="008C72D8">
        <w:rPr>
          <w:sz w:val="24"/>
        </w:rPr>
        <w:t>En el resto de los indicadores se mantuvo la misma posición, el cual es el caso de</w:t>
      </w:r>
      <w:r w:rsidRPr="008C72D8">
        <w:rPr>
          <w:sz w:val="24"/>
        </w:rPr>
        <w:t>l área de</w:t>
      </w:r>
      <w:r w:rsidRPr="008C72D8">
        <w:rPr>
          <w:sz w:val="24"/>
        </w:rPr>
        <w:t xml:space="preserve"> </w:t>
      </w:r>
      <w:r w:rsidRPr="008C72D8">
        <w:rPr>
          <w:b/>
          <w:sz w:val="24"/>
        </w:rPr>
        <w:t>Clínica, Pre-Clínica y Salud</w:t>
      </w:r>
      <w:r w:rsidRPr="008C72D8">
        <w:rPr>
          <w:sz w:val="24"/>
        </w:rPr>
        <w:t xml:space="preserve"> (rango 401-500), </w:t>
      </w:r>
      <w:r w:rsidRPr="008C72D8">
        <w:rPr>
          <w:b/>
          <w:sz w:val="24"/>
        </w:rPr>
        <w:t>Negocios y Economía</w:t>
      </w:r>
      <w:r w:rsidRPr="008C72D8">
        <w:rPr>
          <w:sz w:val="24"/>
        </w:rPr>
        <w:t xml:space="preserve"> (rango 501+), e </w:t>
      </w:r>
      <w:r w:rsidRPr="008C72D8">
        <w:rPr>
          <w:b/>
          <w:sz w:val="24"/>
        </w:rPr>
        <w:t>Ingeniería y Tecnología</w:t>
      </w:r>
      <w:r w:rsidRPr="008C72D8">
        <w:rPr>
          <w:sz w:val="24"/>
        </w:rPr>
        <w:t xml:space="preserve"> (rango 601-800)</w:t>
      </w:r>
      <w:r w:rsidRPr="008C72D8">
        <w:rPr>
          <w:b/>
          <w:sz w:val="24"/>
        </w:rPr>
        <w:t>.</w:t>
      </w:r>
    </w:p>
    <w:p w14:paraId="75625FA6" w14:textId="77777777" w:rsidR="0087278D" w:rsidRDefault="0087278D" w:rsidP="0078703F">
      <w:pPr>
        <w:pStyle w:val="Prrafodelista"/>
        <w:spacing w:line="240" w:lineRule="auto"/>
        <w:ind w:left="1440"/>
        <w:jc w:val="both"/>
        <w:rPr>
          <w:sz w:val="24"/>
        </w:rPr>
      </w:pPr>
    </w:p>
    <w:p w14:paraId="59FA6175" w14:textId="6B8C9652" w:rsidR="00CB7BB8" w:rsidRPr="008C72D8" w:rsidRDefault="00CB7BB8" w:rsidP="0078703F">
      <w:pPr>
        <w:pStyle w:val="Prrafodelista"/>
        <w:numPr>
          <w:ilvl w:val="1"/>
          <w:numId w:val="24"/>
        </w:numPr>
        <w:spacing w:line="240" w:lineRule="auto"/>
        <w:jc w:val="both"/>
        <w:rPr>
          <w:sz w:val="24"/>
        </w:rPr>
      </w:pPr>
      <w:r w:rsidRPr="008C72D8">
        <w:rPr>
          <w:sz w:val="24"/>
        </w:rPr>
        <w:t xml:space="preserve">Se destaca la clasificación de la UNAM en las siguientes </w:t>
      </w:r>
      <w:r w:rsidRPr="008C72D8">
        <w:rPr>
          <w:sz w:val="24"/>
        </w:rPr>
        <w:t>área</w:t>
      </w:r>
      <w:r w:rsidRPr="008C72D8">
        <w:rPr>
          <w:sz w:val="24"/>
        </w:rPr>
        <w:t>s</w:t>
      </w:r>
      <w:r w:rsidRPr="008C72D8">
        <w:rPr>
          <w:sz w:val="24"/>
        </w:rPr>
        <w:t xml:space="preserve"> del conocimiento:</w:t>
      </w:r>
    </w:p>
    <w:p w14:paraId="50EF1366" w14:textId="7D1396F0" w:rsidR="006F3FA2" w:rsidRPr="008C72D8" w:rsidRDefault="006F3FA2" w:rsidP="0078703F">
      <w:pPr>
        <w:pStyle w:val="Prrafodelista"/>
        <w:numPr>
          <w:ilvl w:val="2"/>
          <w:numId w:val="24"/>
        </w:numPr>
        <w:spacing w:line="240" w:lineRule="auto"/>
        <w:jc w:val="both"/>
        <w:rPr>
          <w:sz w:val="24"/>
        </w:rPr>
      </w:pPr>
      <w:r w:rsidRPr="008C72D8">
        <w:rPr>
          <w:b/>
          <w:sz w:val="24"/>
        </w:rPr>
        <w:t>Puntaje General</w:t>
      </w:r>
      <w:r w:rsidRPr="008C72D8">
        <w:rPr>
          <w:sz w:val="24"/>
        </w:rPr>
        <w:t>: El área de</w:t>
      </w:r>
      <w:r w:rsidRPr="008C72D8">
        <w:rPr>
          <w:b/>
          <w:sz w:val="24"/>
        </w:rPr>
        <w:t xml:space="preserve"> </w:t>
      </w:r>
      <w:r w:rsidRPr="008C72D8">
        <w:rPr>
          <w:sz w:val="24"/>
        </w:rPr>
        <w:t>Artes y Humanidades</w:t>
      </w:r>
      <w:r w:rsidR="00550713">
        <w:rPr>
          <w:sz w:val="24"/>
        </w:rPr>
        <w:t xml:space="preserve"> fue clasificada</w:t>
      </w:r>
      <w:r w:rsidRPr="008C72D8">
        <w:rPr>
          <w:sz w:val="24"/>
        </w:rPr>
        <w:t xml:space="preserve"> con un puntaje de </w:t>
      </w:r>
      <w:r w:rsidRPr="008C72D8">
        <w:rPr>
          <w:sz w:val="24"/>
        </w:rPr>
        <w:t>40.4–45.1</w:t>
      </w:r>
      <w:r w:rsidRPr="008C72D8">
        <w:rPr>
          <w:sz w:val="24"/>
        </w:rPr>
        <w:t>,</w:t>
      </w:r>
      <w:r w:rsidR="00671354">
        <w:rPr>
          <w:sz w:val="24"/>
        </w:rPr>
        <w:t xml:space="preserve"> </w:t>
      </w:r>
      <w:r w:rsidRPr="008C72D8">
        <w:rPr>
          <w:sz w:val="24"/>
        </w:rPr>
        <w:t>Educación</w:t>
      </w:r>
      <w:r w:rsidRPr="008C72D8">
        <w:rPr>
          <w:sz w:val="24"/>
        </w:rPr>
        <w:t xml:space="preserve"> con </w:t>
      </w:r>
      <w:r w:rsidRPr="008C72D8">
        <w:rPr>
          <w:sz w:val="24"/>
        </w:rPr>
        <w:t>39.8–42.4</w:t>
      </w:r>
      <w:r w:rsidRPr="008C72D8">
        <w:rPr>
          <w:sz w:val="24"/>
        </w:rPr>
        <w:t xml:space="preserve">, y Derecho con </w:t>
      </w:r>
      <w:r w:rsidRPr="008C72D8">
        <w:rPr>
          <w:sz w:val="24"/>
        </w:rPr>
        <w:t>34.8–39.2</w:t>
      </w:r>
      <w:r w:rsidRPr="008C72D8">
        <w:rPr>
          <w:sz w:val="24"/>
        </w:rPr>
        <w:t>.</w:t>
      </w:r>
    </w:p>
    <w:p w14:paraId="3A885DB8" w14:textId="07324176" w:rsidR="006F3FA2" w:rsidRPr="008C72D8" w:rsidRDefault="006F3FA2" w:rsidP="0078703F">
      <w:pPr>
        <w:pStyle w:val="Prrafodelista"/>
        <w:numPr>
          <w:ilvl w:val="2"/>
          <w:numId w:val="24"/>
        </w:numPr>
        <w:spacing w:line="240" w:lineRule="auto"/>
        <w:jc w:val="both"/>
        <w:rPr>
          <w:sz w:val="24"/>
        </w:rPr>
      </w:pPr>
      <w:r w:rsidRPr="008C72D8">
        <w:rPr>
          <w:b/>
          <w:sz w:val="24"/>
        </w:rPr>
        <w:t>Docencia</w:t>
      </w:r>
      <w:r w:rsidRPr="008C72D8">
        <w:rPr>
          <w:sz w:val="24"/>
        </w:rPr>
        <w:t xml:space="preserve">: </w:t>
      </w:r>
      <w:r w:rsidR="00335FEE" w:rsidRPr="008C72D8">
        <w:rPr>
          <w:sz w:val="24"/>
        </w:rPr>
        <w:t xml:space="preserve">El área de </w:t>
      </w:r>
      <w:r w:rsidRPr="008C72D8">
        <w:rPr>
          <w:sz w:val="24"/>
        </w:rPr>
        <w:t>Educación</w:t>
      </w:r>
      <w:r w:rsidR="00335FEE" w:rsidRPr="008C72D8">
        <w:rPr>
          <w:sz w:val="24"/>
        </w:rPr>
        <w:t xml:space="preserve"> </w:t>
      </w:r>
      <w:r w:rsidR="00550713">
        <w:rPr>
          <w:sz w:val="24"/>
        </w:rPr>
        <w:t xml:space="preserve">fue clasificada </w:t>
      </w:r>
      <w:r w:rsidR="00335FEE" w:rsidRPr="008C72D8">
        <w:rPr>
          <w:sz w:val="24"/>
        </w:rPr>
        <w:t xml:space="preserve">con </w:t>
      </w:r>
      <w:r w:rsidRPr="008C72D8">
        <w:rPr>
          <w:sz w:val="24"/>
        </w:rPr>
        <w:t>49.2</w:t>
      </w:r>
      <w:r w:rsidR="00335FEE" w:rsidRPr="008C72D8">
        <w:rPr>
          <w:sz w:val="24"/>
        </w:rPr>
        <w:t xml:space="preserve"> puntos, </w:t>
      </w:r>
      <w:r w:rsidR="00550713">
        <w:rPr>
          <w:sz w:val="24"/>
        </w:rPr>
        <w:t xml:space="preserve">seguida del área de </w:t>
      </w:r>
      <w:r w:rsidR="00335FEE" w:rsidRPr="008C72D8">
        <w:rPr>
          <w:sz w:val="24"/>
        </w:rPr>
        <w:t xml:space="preserve">Artes y Humanidades con </w:t>
      </w:r>
      <w:r w:rsidRPr="008C72D8">
        <w:rPr>
          <w:sz w:val="24"/>
        </w:rPr>
        <w:t>44.2</w:t>
      </w:r>
      <w:r w:rsidR="00335FEE" w:rsidRPr="008C72D8">
        <w:rPr>
          <w:sz w:val="24"/>
        </w:rPr>
        <w:t xml:space="preserve">, y </w:t>
      </w:r>
      <w:r w:rsidR="00550713">
        <w:rPr>
          <w:sz w:val="24"/>
        </w:rPr>
        <w:t xml:space="preserve">en tercer lugar, </w:t>
      </w:r>
      <w:r w:rsidRPr="008C72D8">
        <w:rPr>
          <w:sz w:val="24"/>
        </w:rPr>
        <w:t>Ciencias Sociales</w:t>
      </w:r>
      <w:r w:rsidR="00335FEE" w:rsidRPr="008C72D8">
        <w:rPr>
          <w:sz w:val="24"/>
        </w:rPr>
        <w:t xml:space="preserve"> con </w:t>
      </w:r>
      <w:r w:rsidRPr="008C72D8">
        <w:rPr>
          <w:sz w:val="24"/>
        </w:rPr>
        <w:t>37.7</w:t>
      </w:r>
      <w:r w:rsidR="00335FEE" w:rsidRPr="008C72D8">
        <w:rPr>
          <w:sz w:val="24"/>
        </w:rPr>
        <w:t xml:space="preserve"> puntos. </w:t>
      </w:r>
    </w:p>
    <w:p w14:paraId="6669F947" w14:textId="07E6D2D3" w:rsidR="006F3FA2" w:rsidRPr="008C72D8" w:rsidRDefault="006F3FA2" w:rsidP="0078703F">
      <w:pPr>
        <w:pStyle w:val="Prrafodelista"/>
        <w:numPr>
          <w:ilvl w:val="2"/>
          <w:numId w:val="24"/>
        </w:numPr>
        <w:spacing w:line="240" w:lineRule="auto"/>
        <w:jc w:val="both"/>
        <w:rPr>
          <w:sz w:val="24"/>
        </w:rPr>
      </w:pPr>
      <w:r w:rsidRPr="008C72D8">
        <w:rPr>
          <w:b/>
          <w:sz w:val="24"/>
        </w:rPr>
        <w:t>Investigación</w:t>
      </w:r>
      <w:r w:rsidR="00335FEE" w:rsidRPr="008C72D8">
        <w:rPr>
          <w:sz w:val="24"/>
        </w:rPr>
        <w:t>: Se destaca el área de</w:t>
      </w:r>
      <w:r w:rsidR="00335FEE" w:rsidRPr="008C72D8">
        <w:rPr>
          <w:b/>
          <w:sz w:val="24"/>
        </w:rPr>
        <w:t xml:space="preserve"> </w:t>
      </w:r>
      <w:r w:rsidRPr="008C72D8">
        <w:rPr>
          <w:sz w:val="24"/>
        </w:rPr>
        <w:t>Educación</w:t>
      </w:r>
      <w:r w:rsidR="00335FEE" w:rsidRPr="008C72D8">
        <w:rPr>
          <w:sz w:val="24"/>
        </w:rPr>
        <w:t xml:space="preserve"> con </w:t>
      </w:r>
      <w:r w:rsidRPr="008C72D8">
        <w:rPr>
          <w:sz w:val="24"/>
        </w:rPr>
        <w:t>86.9</w:t>
      </w:r>
      <w:r w:rsidR="00335FEE" w:rsidRPr="008C72D8">
        <w:rPr>
          <w:sz w:val="24"/>
        </w:rPr>
        <w:t xml:space="preserve"> puntos, en segundo lugar </w:t>
      </w:r>
      <w:r w:rsidRPr="008C72D8">
        <w:rPr>
          <w:sz w:val="24"/>
        </w:rPr>
        <w:t>Derecho</w:t>
      </w:r>
      <w:r w:rsidR="00335FEE" w:rsidRPr="008C72D8">
        <w:rPr>
          <w:sz w:val="24"/>
        </w:rPr>
        <w:t xml:space="preserve"> con </w:t>
      </w:r>
      <w:r w:rsidRPr="008C72D8">
        <w:rPr>
          <w:sz w:val="24"/>
        </w:rPr>
        <w:t>75.7</w:t>
      </w:r>
      <w:r w:rsidR="00335FEE" w:rsidRPr="008C72D8">
        <w:rPr>
          <w:sz w:val="24"/>
        </w:rPr>
        <w:t xml:space="preserve"> puntos, y en tercer lugar, </w:t>
      </w:r>
      <w:r w:rsidRPr="008C72D8">
        <w:rPr>
          <w:sz w:val="24"/>
        </w:rPr>
        <w:t>Psicología</w:t>
      </w:r>
      <w:r w:rsidR="00335FEE" w:rsidRPr="008C72D8">
        <w:rPr>
          <w:sz w:val="24"/>
        </w:rPr>
        <w:t xml:space="preserve"> con </w:t>
      </w:r>
      <w:r w:rsidRPr="008C72D8">
        <w:rPr>
          <w:sz w:val="24"/>
        </w:rPr>
        <w:t>51.4</w:t>
      </w:r>
      <w:r w:rsidR="00335FEE" w:rsidRPr="008C72D8">
        <w:rPr>
          <w:sz w:val="24"/>
        </w:rPr>
        <w:t xml:space="preserve"> puntos. </w:t>
      </w:r>
    </w:p>
    <w:p w14:paraId="024DECB1" w14:textId="4EE41157" w:rsidR="006F3FA2" w:rsidRPr="008C72D8" w:rsidRDefault="006F3FA2" w:rsidP="0078703F">
      <w:pPr>
        <w:pStyle w:val="Prrafodelista"/>
        <w:numPr>
          <w:ilvl w:val="2"/>
          <w:numId w:val="24"/>
        </w:numPr>
        <w:spacing w:line="240" w:lineRule="auto"/>
        <w:jc w:val="both"/>
        <w:rPr>
          <w:sz w:val="24"/>
        </w:rPr>
      </w:pPr>
      <w:r w:rsidRPr="008C72D8">
        <w:rPr>
          <w:b/>
          <w:sz w:val="24"/>
        </w:rPr>
        <w:t>Citas</w:t>
      </w:r>
      <w:r w:rsidR="00335FEE" w:rsidRPr="008C72D8">
        <w:rPr>
          <w:sz w:val="24"/>
        </w:rPr>
        <w:t xml:space="preserve">: En este indicador, el área mejor posicionada fue Educación con </w:t>
      </w:r>
      <w:r w:rsidRPr="008C72D8">
        <w:rPr>
          <w:sz w:val="24"/>
        </w:rPr>
        <w:t>44.2</w:t>
      </w:r>
      <w:r w:rsidR="00335FEE" w:rsidRPr="008C72D8">
        <w:rPr>
          <w:sz w:val="24"/>
        </w:rPr>
        <w:t xml:space="preserve"> puntos, seguida del área de </w:t>
      </w:r>
      <w:r w:rsidRPr="008C72D8">
        <w:rPr>
          <w:sz w:val="24"/>
        </w:rPr>
        <w:t>Derecho</w:t>
      </w:r>
      <w:r w:rsidR="00335FEE" w:rsidRPr="008C72D8">
        <w:rPr>
          <w:sz w:val="24"/>
        </w:rPr>
        <w:t xml:space="preserve"> con </w:t>
      </w:r>
      <w:r w:rsidRPr="008C72D8">
        <w:rPr>
          <w:sz w:val="24"/>
        </w:rPr>
        <w:t>43.1</w:t>
      </w:r>
      <w:r w:rsidR="00335FEE" w:rsidRPr="008C72D8">
        <w:rPr>
          <w:sz w:val="24"/>
        </w:rPr>
        <w:t xml:space="preserve"> puntos, y </w:t>
      </w:r>
      <w:r w:rsidRPr="008C72D8">
        <w:rPr>
          <w:sz w:val="24"/>
        </w:rPr>
        <w:t>Psicología</w:t>
      </w:r>
      <w:r w:rsidR="00335FEE" w:rsidRPr="008C72D8">
        <w:rPr>
          <w:sz w:val="24"/>
        </w:rPr>
        <w:t xml:space="preserve"> con </w:t>
      </w:r>
      <w:r w:rsidRPr="008C72D8">
        <w:rPr>
          <w:sz w:val="24"/>
        </w:rPr>
        <w:t>38.8</w:t>
      </w:r>
      <w:r w:rsidR="00335FEE" w:rsidRPr="008C72D8">
        <w:rPr>
          <w:sz w:val="24"/>
        </w:rPr>
        <w:t xml:space="preserve"> puntos.</w:t>
      </w:r>
    </w:p>
    <w:p w14:paraId="40D9BA81" w14:textId="4B8BEF92" w:rsidR="006F3FA2" w:rsidRPr="008C72D8" w:rsidRDefault="006F3FA2" w:rsidP="0078703F">
      <w:pPr>
        <w:pStyle w:val="Prrafodelista"/>
        <w:numPr>
          <w:ilvl w:val="2"/>
          <w:numId w:val="24"/>
        </w:numPr>
        <w:spacing w:line="240" w:lineRule="auto"/>
        <w:jc w:val="both"/>
        <w:rPr>
          <w:sz w:val="24"/>
        </w:rPr>
      </w:pPr>
      <w:r w:rsidRPr="008C72D8">
        <w:rPr>
          <w:b/>
          <w:sz w:val="24"/>
        </w:rPr>
        <w:t>Financiamiento de la industria</w:t>
      </w:r>
      <w:r w:rsidR="00335FEE" w:rsidRPr="008C72D8">
        <w:rPr>
          <w:sz w:val="24"/>
        </w:rPr>
        <w:t>:</w:t>
      </w:r>
      <w:r w:rsidRPr="008C72D8">
        <w:rPr>
          <w:sz w:val="24"/>
        </w:rPr>
        <w:t xml:space="preserve"> </w:t>
      </w:r>
      <w:r w:rsidR="00335FEE" w:rsidRPr="008C72D8">
        <w:rPr>
          <w:sz w:val="24"/>
        </w:rPr>
        <w:t xml:space="preserve">Este rubro en donde mejores puntuaciones obtuvo la UNAM, en primer lugar el área de Artes y Humanidades con </w:t>
      </w:r>
      <w:r w:rsidRPr="008C72D8">
        <w:rPr>
          <w:sz w:val="24"/>
        </w:rPr>
        <w:t>98.9</w:t>
      </w:r>
      <w:r w:rsidR="00335FEE" w:rsidRPr="008C72D8">
        <w:rPr>
          <w:sz w:val="24"/>
        </w:rPr>
        <w:t xml:space="preserve"> de 100 posibles; en segundo lugar, </w:t>
      </w:r>
      <w:r w:rsidRPr="008C72D8">
        <w:rPr>
          <w:sz w:val="24"/>
        </w:rPr>
        <w:t>Ciencias Físicas</w:t>
      </w:r>
      <w:r w:rsidR="00335FEE" w:rsidRPr="008C72D8">
        <w:rPr>
          <w:sz w:val="24"/>
        </w:rPr>
        <w:t xml:space="preserve"> con </w:t>
      </w:r>
      <w:r w:rsidRPr="008C72D8">
        <w:rPr>
          <w:sz w:val="24"/>
        </w:rPr>
        <w:t>94.5</w:t>
      </w:r>
      <w:r w:rsidR="00335FEE" w:rsidRPr="008C72D8">
        <w:rPr>
          <w:sz w:val="24"/>
        </w:rPr>
        <w:t xml:space="preserve"> puntos, y en tercer lugar el área de </w:t>
      </w:r>
      <w:r w:rsidRPr="008C72D8">
        <w:rPr>
          <w:sz w:val="24"/>
        </w:rPr>
        <w:t>Ciencias Sociales</w:t>
      </w:r>
      <w:r w:rsidR="00335FEE" w:rsidRPr="008C72D8">
        <w:rPr>
          <w:sz w:val="24"/>
        </w:rPr>
        <w:t xml:space="preserve"> con </w:t>
      </w:r>
      <w:r w:rsidRPr="008C72D8">
        <w:rPr>
          <w:sz w:val="24"/>
        </w:rPr>
        <w:t>88.4</w:t>
      </w:r>
      <w:r w:rsidR="00335FEE" w:rsidRPr="008C72D8">
        <w:rPr>
          <w:sz w:val="24"/>
        </w:rPr>
        <w:t xml:space="preserve"> puntos.</w:t>
      </w:r>
    </w:p>
    <w:p w14:paraId="13E24796" w14:textId="35EA84D4" w:rsidR="00CB7BB8" w:rsidRPr="008C72D8" w:rsidRDefault="006F3FA2" w:rsidP="0078703F">
      <w:pPr>
        <w:pStyle w:val="Prrafodelista"/>
        <w:numPr>
          <w:ilvl w:val="2"/>
          <w:numId w:val="24"/>
        </w:numPr>
        <w:spacing w:line="240" w:lineRule="auto"/>
        <w:jc w:val="both"/>
        <w:rPr>
          <w:sz w:val="24"/>
        </w:rPr>
      </w:pPr>
      <w:r w:rsidRPr="008C72D8">
        <w:rPr>
          <w:b/>
          <w:sz w:val="24"/>
        </w:rPr>
        <w:t>Perspectiva internacional</w:t>
      </w:r>
      <w:r w:rsidR="00335FEE" w:rsidRPr="008C72D8">
        <w:rPr>
          <w:sz w:val="24"/>
        </w:rPr>
        <w:t xml:space="preserve">: El área de </w:t>
      </w:r>
      <w:r w:rsidRPr="008C72D8">
        <w:rPr>
          <w:sz w:val="24"/>
        </w:rPr>
        <w:t>Ciencias Físicas</w:t>
      </w:r>
      <w:r w:rsidR="00335FEE" w:rsidRPr="008C72D8">
        <w:rPr>
          <w:sz w:val="24"/>
        </w:rPr>
        <w:t xml:space="preserve"> fue clasificada con </w:t>
      </w:r>
      <w:r w:rsidRPr="008C72D8">
        <w:rPr>
          <w:sz w:val="24"/>
        </w:rPr>
        <w:t>53.7</w:t>
      </w:r>
      <w:r w:rsidR="00335FEE" w:rsidRPr="008C72D8">
        <w:rPr>
          <w:sz w:val="24"/>
        </w:rPr>
        <w:t xml:space="preserve"> puntos, seguida del área de </w:t>
      </w:r>
      <w:r w:rsidRPr="008C72D8">
        <w:rPr>
          <w:sz w:val="24"/>
        </w:rPr>
        <w:t>Artes y Humanidades</w:t>
      </w:r>
      <w:r w:rsidR="00335FEE" w:rsidRPr="008C72D8">
        <w:rPr>
          <w:sz w:val="24"/>
        </w:rPr>
        <w:t xml:space="preserve"> con </w:t>
      </w:r>
      <w:r w:rsidRPr="008C72D8">
        <w:rPr>
          <w:sz w:val="24"/>
        </w:rPr>
        <w:t>44.4</w:t>
      </w:r>
      <w:r w:rsidR="00335FEE" w:rsidRPr="008C72D8">
        <w:rPr>
          <w:sz w:val="24"/>
        </w:rPr>
        <w:t xml:space="preserve"> puntos, y finalmente, </w:t>
      </w:r>
      <w:r w:rsidRPr="008C72D8">
        <w:rPr>
          <w:sz w:val="24"/>
        </w:rPr>
        <w:t>Ciencias Sociales</w:t>
      </w:r>
      <w:r w:rsidR="00335FEE" w:rsidRPr="008C72D8">
        <w:rPr>
          <w:sz w:val="24"/>
        </w:rPr>
        <w:t xml:space="preserve"> con </w:t>
      </w:r>
      <w:r w:rsidRPr="008C72D8">
        <w:rPr>
          <w:sz w:val="24"/>
        </w:rPr>
        <w:t>42.6</w:t>
      </w:r>
      <w:r w:rsidR="00335FEE" w:rsidRPr="008C72D8">
        <w:rPr>
          <w:sz w:val="24"/>
        </w:rPr>
        <w:t xml:space="preserve"> puntos.</w:t>
      </w:r>
    </w:p>
    <w:p w14:paraId="5942AB9C" w14:textId="733E4163" w:rsidR="0087278D" w:rsidRDefault="0087278D" w:rsidP="0078703F">
      <w:pPr>
        <w:spacing w:line="240" w:lineRule="auto"/>
        <w:rPr>
          <w:sz w:val="24"/>
        </w:rPr>
      </w:pPr>
    </w:p>
    <w:tbl>
      <w:tblPr>
        <w:tblW w:w="7454" w:type="dxa"/>
        <w:jc w:val="center"/>
        <w:tblLayout w:type="fixed"/>
        <w:tblCellMar>
          <w:left w:w="70" w:type="dxa"/>
          <w:right w:w="70" w:type="dxa"/>
        </w:tblCellMar>
        <w:tblLook w:val="04A0" w:firstRow="1" w:lastRow="0" w:firstColumn="1" w:lastColumn="0" w:noHBand="0" w:noVBand="1"/>
      </w:tblPr>
      <w:tblGrid>
        <w:gridCol w:w="2977"/>
        <w:gridCol w:w="1119"/>
        <w:gridCol w:w="1119"/>
        <w:gridCol w:w="1119"/>
        <w:gridCol w:w="1120"/>
      </w:tblGrid>
      <w:tr w:rsidR="006043DC" w:rsidRPr="008C72D8" w14:paraId="5679F1A7" w14:textId="77777777" w:rsidTr="0087278D">
        <w:trPr>
          <w:trHeight w:val="240"/>
          <w:tblHeader/>
          <w:jc w:val="center"/>
        </w:trPr>
        <w:tc>
          <w:tcPr>
            <w:tcW w:w="7454" w:type="dxa"/>
            <w:gridSpan w:val="5"/>
            <w:tcBorders>
              <w:top w:val="nil"/>
              <w:left w:val="nil"/>
              <w:bottom w:val="single" w:sz="4" w:space="0" w:color="auto"/>
              <w:right w:val="nil"/>
            </w:tcBorders>
          </w:tcPr>
          <w:p w14:paraId="7CC2C12E" w14:textId="5ABBED7A" w:rsidR="006043DC" w:rsidRPr="008C72D8" w:rsidRDefault="006043DC" w:rsidP="0078703F">
            <w:pPr>
              <w:spacing w:line="240" w:lineRule="auto"/>
              <w:jc w:val="center"/>
              <w:rPr>
                <w:rFonts w:ascii="Calibri" w:eastAsia="Times New Roman" w:hAnsi="Calibri" w:cs="Calibri"/>
                <w:b/>
                <w:bCs/>
                <w:color w:val="000000"/>
                <w:sz w:val="18"/>
                <w:szCs w:val="18"/>
                <w:lang w:eastAsia="es-MX"/>
              </w:rPr>
            </w:pPr>
            <w:r w:rsidRPr="008C72D8">
              <w:rPr>
                <w:b/>
                <w:sz w:val="20"/>
              </w:rPr>
              <w:t xml:space="preserve">Tabla 13. </w:t>
            </w:r>
            <w:r w:rsidR="00073F6F" w:rsidRPr="008C72D8">
              <w:rPr>
                <w:b/>
                <w:sz w:val="20"/>
              </w:rPr>
              <w:t xml:space="preserve">Número </w:t>
            </w:r>
            <w:r w:rsidR="00073F6F" w:rsidRPr="008C72D8">
              <w:rPr>
                <w:b/>
                <w:sz w:val="20"/>
              </w:rPr>
              <w:t>de universidades consideradas</w:t>
            </w:r>
            <w:r w:rsidR="00073F6F" w:rsidRPr="008C72D8">
              <w:rPr>
                <w:b/>
                <w:sz w:val="20"/>
              </w:rPr>
              <w:t>, y p</w:t>
            </w:r>
            <w:r w:rsidRPr="008C72D8">
              <w:rPr>
                <w:b/>
                <w:sz w:val="20"/>
              </w:rPr>
              <w:t xml:space="preserve">osición </w:t>
            </w:r>
            <w:r w:rsidR="00073F6F" w:rsidRPr="008C72D8">
              <w:rPr>
                <w:b/>
                <w:sz w:val="20"/>
              </w:rPr>
              <w:t xml:space="preserve">de la UNAM en el ranking THE </w:t>
            </w:r>
            <w:r w:rsidR="00073F6F" w:rsidRPr="008C72D8">
              <w:rPr>
                <w:b/>
                <w:sz w:val="20"/>
              </w:rPr>
              <w:t>por cada área del conocimiento</w:t>
            </w:r>
            <w:r w:rsidRPr="008C72D8">
              <w:rPr>
                <w:b/>
                <w:sz w:val="20"/>
              </w:rPr>
              <w:t>, 2019-2020.</w:t>
            </w:r>
          </w:p>
        </w:tc>
      </w:tr>
      <w:tr w:rsidR="00073F6F" w:rsidRPr="008C72D8" w14:paraId="090BCF44" w14:textId="77777777" w:rsidTr="0087278D">
        <w:trPr>
          <w:trHeight w:val="240"/>
          <w:tblHeader/>
          <w:jc w:val="center"/>
        </w:trPr>
        <w:tc>
          <w:tcPr>
            <w:tcW w:w="2977" w:type="dxa"/>
            <w:vMerge w:val="restart"/>
            <w:tcBorders>
              <w:top w:val="single" w:sz="4" w:space="0" w:color="auto"/>
              <w:left w:val="single" w:sz="4" w:space="0" w:color="auto"/>
              <w:right w:val="single" w:sz="4" w:space="0" w:color="auto"/>
            </w:tcBorders>
            <w:shd w:val="clear" w:color="auto" w:fill="BDD6EE" w:themeFill="accent1" w:themeFillTint="66"/>
            <w:vAlign w:val="center"/>
          </w:tcPr>
          <w:p w14:paraId="12D6FC05" w14:textId="2767A428" w:rsidR="00073F6F" w:rsidRPr="008C72D8" w:rsidRDefault="00073F6F"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Áreas del Conocimiento</w:t>
            </w:r>
          </w:p>
        </w:tc>
        <w:tc>
          <w:tcPr>
            <w:tcW w:w="223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0FE3719A" w14:textId="45F2E8BA" w:rsidR="00073F6F" w:rsidRPr="008C72D8" w:rsidRDefault="00073F6F"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Ranking 2019</w:t>
            </w:r>
          </w:p>
        </w:tc>
        <w:tc>
          <w:tcPr>
            <w:tcW w:w="2239"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7D6439D6" w14:textId="3F48C959" w:rsidR="00073F6F" w:rsidRPr="008C72D8" w:rsidRDefault="00073F6F"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Ranking 2020</w:t>
            </w:r>
          </w:p>
        </w:tc>
      </w:tr>
      <w:tr w:rsidR="00073F6F" w:rsidRPr="008C72D8" w14:paraId="4223ECD6" w14:textId="77777777" w:rsidTr="0087278D">
        <w:trPr>
          <w:trHeight w:val="480"/>
          <w:tblHeader/>
          <w:jc w:val="center"/>
        </w:trPr>
        <w:tc>
          <w:tcPr>
            <w:tcW w:w="2977" w:type="dxa"/>
            <w:vMerge/>
            <w:tcBorders>
              <w:left w:val="single" w:sz="4" w:space="0" w:color="auto"/>
              <w:bottom w:val="single" w:sz="4" w:space="0" w:color="auto"/>
              <w:right w:val="single" w:sz="4" w:space="0" w:color="auto"/>
            </w:tcBorders>
            <w:shd w:val="clear" w:color="auto" w:fill="BDD6EE" w:themeFill="accent1" w:themeFillTint="66"/>
          </w:tcPr>
          <w:p w14:paraId="7338652F" w14:textId="77777777" w:rsidR="00073F6F" w:rsidRPr="008C72D8" w:rsidRDefault="00073F6F" w:rsidP="0078703F">
            <w:pPr>
              <w:spacing w:line="240" w:lineRule="auto"/>
              <w:jc w:val="center"/>
              <w:rPr>
                <w:rFonts w:ascii="Calibri" w:eastAsia="Times New Roman" w:hAnsi="Calibri" w:cs="Calibri"/>
                <w:b/>
                <w:bCs/>
                <w:color w:val="000000"/>
                <w:sz w:val="18"/>
                <w:szCs w:val="18"/>
                <w:lang w:eastAsia="es-MX"/>
              </w:rPr>
            </w:pPr>
          </w:p>
        </w:tc>
        <w:tc>
          <w:tcPr>
            <w:tcW w:w="1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51B1562" w14:textId="5C8EF420" w:rsidR="00073F6F" w:rsidRPr="008C72D8" w:rsidRDefault="00073F6F"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Rango</w:t>
            </w:r>
          </w:p>
        </w:tc>
        <w:tc>
          <w:tcPr>
            <w:tcW w:w="1119"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B10147D" w14:textId="77777777" w:rsidR="00073F6F" w:rsidRPr="008C72D8" w:rsidRDefault="00073F6F"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Nº IES</w:t>
            </w:r>
          </w:p>
        </w:tc>
        <w:tc>
          <w:tcPr>
            <w:tcW w:w="1119"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2EEC89D" w14:textId="77777777" w:rsidR="00073F6F" w:rsidRPr="008C72D8" w:rsidRDefault="00073F6F"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Rango</w:t>
            </w:r>
          </w:p>
        </w:tc>
        <w:tc>
          <w:tcPr>
            <w:tcW w:w="112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7F718C65" w14:textId="7EBEBCA2" w:rsidR="00073F6F" w:rsidRPr="008C72D8" w:rsidRDefault="00073F6F" w:rsidP="0078703F">
            <w:pPr>
              <w:spacing w:line="240" w:lineRule="auto"/>
              <w:jc w:val="center"/>
              <w:rPr>
                <w:rFonts w:ascii="Calibri" w:eastAsia="Times New Roman" w:hAnsi="Calibri" w:cs="Calibri"/>
                <w:b/>
                <w:bCs/>
                <w:color w:val="000000"/>
                <w:sz w:val="18"/>
                <w:szCs w:val="18"/>
                <w:lang w:eastAsia="es-MX"/>
              </w:rPr>
            </w:pPr>
            <w:r w:rsidRPr="008C72D8">
              <w:rPr>
                <w:rFonts w:ascii="Calibri" w:eastAsia="Times New Roman" w:hAnsi="Calibri" w:cs="Calibri"/>
                <w:b/>
                <w:bCs/>
                <w:color w:val="000000"/>
                <w:sz w:val="18"/>
                <w:szCs w:val="18"/>
                <w:lang w:eastAsia="es-MX"/>
              </w:rPr>
              <w:t>Nº IES</w:t>
            </w:r>
          </w:p>
        </w:tc>
      </w:tr>
      <w:tr w:rsidR="0087278D" w:rsidRPr="008C72D8" w14:paraId="02463D9B" w14:textId="77777777" w:rsidTr="00653427">
        <w:trPr>
          <w:trHeight w:val="240"/>
          <w:jc w:val="center"/>
        </w:trPr>
        <w:tc>
          <w:tcPr>
            <w:tcW w:w="2977" w:type="dxa"/>
            <w:tcBorders>
              <w:top w:val="single" w:sz="4" w:space="0" w:color="auto"/>
              <w:left w:val="single" w:sz="4" w:space="0" w:color="auto"/>
              <w:bottom w:val="single" w:sz="4" w:space="0" w:color="auto"/>
              <w:right w:val="single" w:sz="4" w:space="0" w:color="auto"/>
            </w:tcBorders>
          </w:tcPr>
          <w:p w14:paraId="5FD121DA" w14:textId="2E82DDC7" w:rsidR="0087278D" w:rsidRPr="0087278D" w:rsidRDefault="0087278D" w:rsidP="0078703F">
            <w:pPr>
              <w:spacing w:line="240" w:lineRule="auto"/>
              <w:rPr>
                <w:rFonts w:eastAsia="Times New Roman" w:cstheme="minorHAnsi"/>
                <w:color w:val="000000"/>
                <w:sz w:val="18"/>
                <w:szCs w:val="18"/>
                <w:lang w:eastAsia="es-MX"/>
              </w:rPr>
            </w:pPr>
            <w:r w:rsidRPr="0087278D">
              <w:rPr>
                <w:sz w:val="18"/>
                <w:szCs w:val="18"/>
              </w:rPr>
              <w:t>Artes y Humanidades</w:t>
            </w:r>
          </w:p>
        </w:tc>
        <w:tc>
          <w:tcPr>
            <w:tcW w:w="1119" w:type="dxa"/>
            <w:tcBorders>
              <w:top w:val="single" w:sz="4" w:space="0" w:color="auto"/>
              <w:left w:val="single" w:sz="4" w:space="0" w:color="auto"/>
              <w:bottom w:val="single" w:sz="4" w:space="0" w:color="auto"/>
              <w:right w:val="single" w:sz="4" w:space="0" w:color="auto"/>
            </w:tcBorders>
            <w:shd w:val="clear" w:color="auto" w:fill="auto"/>
            <w:noWrap/>
            <w:hideMark/>
          </w:tcPr>
          <w:p w14:paraId="7741A82D" w14:textId="518A8779"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126-150</w:t>
            </w:r>
          </w:p>
        </w:tc>
        <w:tc>
          <w:tcPr>
            <w:tcW w:w="1119" w:type="dxa"/>
            <w:tcBorders>
              <w:top w:val="single" w:sz="4" w:space="0" w:color="auto"/>
              <w:left w:val="nil"/>
              <w:bottom w:val="single" w:sz="4" w:space="0" w:color="auto"/>
              <w:right w:val="single" w:sz="4" w:space="0" w:color="auto"/>
            </w:tcBorders>
            <w:shd w:val="clear" w:color="auto" w:fill="auto"/>
            <w:noWrap/>
            <w:hideMark/>
          </w:tcPr>
          <w:p w14:paraId="2CDDCFC5" w14:textId="16B56866"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506</w:t>
            </w:r>
          </w:p>
        </w:tc>
        <w:tc>
          <w:tcPr>
            <w:tcW w:w="1119" w:type="dxa"/>
            <w:tcBorders>
              <w:top w:val="single" w:sz="4" w:space="0" w:color="auto"/>
              <w:left w:val="nil"/>
              <w:bottom w:val="single" w:sz="4" w:space="0" w:color="auto"/>
              <w:right w:val="single" w:sz="4" w:space="0" w:color="auto"/>
            </w:tcBorders>
            <w:shd w:val="clear" w:color="auto" w:fill="auto"/>
            <w:noWrap/>
            <w:hideMark/>
          </w:tcPr>
          <w:p w14:paraId="54787123" w14:textId="7970FE77"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101–125</w:t>
            </w:r>
          </w:p>
        </w:tc>
        <w:tc>
          <w:tcPr>
            <w:tcW w:w="1120" w:type="dxa"/>
            <w:tcBorders>
              <w:top w:val="single" w:sz="4" w:space="0" w:color="auto"/>
              <w:left w:val="nil"/>
              <w:bottom w:val="single" w:sz="4" w:space="0" w:color="auto"/>
              <w:right w:val="single" w:sz="4" w:space="0" w:color="auto"/>
            </w:tcBorders>
            <w:shd w:val="clear" w:color="auto" w:fill="auto"/>
            <w:noWrap/>
            <w:hideMark/>
          </w:tcPr>
          <w:p w14:paraId="2E0EA114" w14:textId="51A7B200"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536</w:t>
            </w:r>
          </w:p>
        </w:tc>
      </w:tr>
      <w:tr w:rsidR="0087278D" w:rsidRPr="008C72D8" w14:paraId="07B11CA1" w14:textId="77777777" w:rsidTr="00653427">
        <w:trPr>
          <w:trHeight w:val="240"/>
          <w:jc w:val="center"/>
        </w:trPr>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14:paraId="7DAE7060" w14:textId="1017214C" w:rsidR="0087278D" w:rsidRPr="0087278D" w:rsidRDefault="0087278D" w:rsidP="0078703F">
            <w:pPr>
              <w:spacing w:line="240" w:lineRule="auto"/>
              <w:rPr>
                <w:rFonts w:eastAsia="Times New Roman" w:cstheme="minorHAnsi"/>
                <w:color w:val="000000"/>
                <w:sz w:val="18"/>
                <w:szCs w:val="18"/>
                <w:lang w:eastAsia="es-MX"/>
              </w:rPr>
            </w:pPr>
            <w:r w:rsidRPr="0087278D">
              <w:rPr>
                <w:sz w:val="18"/>
                <w:szCs w:val="18"/>
              </w:rPr>
              <w:t>Derecho</w:t>
            </w:r>
          </w:p>
        </w:tc>
        <w:tc>
          <w:tcPr>
            <w:tcW w:w="1119"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5BB625C5" w14:textId="5D2785FD"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92</w:t>
            </w:r>
          </w:p>
        </w:tc>
        <w:tc>
          <w:tcPr>
            <w:tcW w:w="1119" w:type="dxa"/>
            <w:tcBorders>
              <w:top w:val="single" w:sz="4" w:space="0" w:color="auto"/>
              <w:left w:val="nil"/>
              <w:bottom w:val="single" w:sz="4" w:space="0" w:color="auto"/>
              <w:right w:val="single" w:sz="4" w:space="0" w:color="auto"/>
            </w:tcBorders>
            <w:shd w:val="clear" w:color="auto" w:fill="E7E6E6" w:themeFill="background2"/>
            <w:noWrap/>
            <w:hideMark/>
          </w:tcPr>
          <w:p w14:paraId="75D3D4D3" w14:textId="11C4DB6D"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187</w:t>
            </w:r>
          </w:p>
        </w:tc>
        <w:tc>
          <w:tcPr>
            <w:tcW w:w="1119" w:type="dxa"/>
            <w:tcBorders>
              <w:top w:val="single" w:sz="4" w:space="0" w:color="auto"/>
              <w:left w:val="nil"/>
              <w:bottom w:val="single" w:sz="4" w:space="0" w:color="auto"/>
              <w:right w:val="single" w:sz="4" w:space="0" w:color="auto"/>
            </w:tcBorders>
            <w:shd w:val="clear" w:color="auto" w:fill="E7E6E6" w:themeFill="background2"/>
            <w:noWrap/>
            <w:hideMark/>
          </w:tcPr>
          <w:p w14:paraId="5A98A6D3" w14:textId="721FA359"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101–125</w:t>
            </w:r>
          </w:p>
        </w:tc>
        <w:tc>
          <w:tcPr>
            <w:tcW w:w="1120" w:type="dxa"/>
            <w:tcBorders>
              <w:top w:val="single" w:sz="4" w:space="0" w:color="auto"/>
              <w:left w:val="nil"/>
              <w:bottom w:val="single" w:sz="4" w:space="0" w:color="auto"/>
              <w:right w:val="single" w:sz="4" w:space="0" w:color="auto"/>
            </w:tcBorders>
            <w:shd w:val="clear" w:color="auto" w:fill="E7E6E6" w:themeFill="background2"/>
            <w:noWrap/>
            <w:hideMark/>
          </w:tcPr>
          <w:p w14:paraId="44E10607" w14:textId="6D882AD4"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190</w:t>
            </w:r>
          </w:p>
        </w:tc>
      </w:tr>
      <w:tr w:rsidR="0087278D" w:rsidRPr="008C72D8" w14:paraId="5E8236CE" w14:textId="77777777" w:rsidTr="00653427">
        <w:trPr>
          <w:trHeight w:val="240"/>
          <w:jc w:val="center"/>
        </w:trPr>
        <w:tc>
          <w:tcPr>
            <w:tcW w:w="2977" w:type="dxa"/>
            <w:tcBorders>
              <w:top w:val="single" w:sz="4" w:space="0" w:color="auto"/>
              <w:left w:val="single" w:sz="4" w:space="0" w:color="auto"/>
              <w:bottom w:val="single" w:sz="4" w:space="0" w:color="auto"/>
              <w:right w:val="single" w:sz="4" w:space="0" w:color="auto"/>
            </w:tcBorders>
          </w:tcPr>
          <w:p w14:paraId="0AD67DF7" w14:textId="78DB8B31" w:rsidR="0087278D" w:rsidRPr="0087278D" w:rsidRDefault="0087278D" w:rsidP="0078703F">
            <w:pPr>
              <w:spacing w:line="240" w:lineRule="auto"/>
              <w:rPr>
                <w:rFonts w:eastAsia="Times New Roman" w:cstheme="minorHAnsi"/>
                <w:color w:val="000000"/>
                <w:sz w:val="18"/>
                <w:szCs w:val="18"/>
                <w:lang w:eastAsia="es-MX"/>
              </w:rPr>
            </w:pPr>
            <w:r w:rsidRPr="0087278D">
              <w:rPr>
                <w:sz w:val="18"/>
                <w:szCs w:val="18"/>
              </w:rPr>
              <w:t>Educación</w:t>
            </w:r>
          </w:p>
        </w:tc>
        <w:tc>
          <w:tcPr>
            <w:tcW w:w="1119" w:type="dxa"/>
            <w:tcBorders>
              <w:top w:val="single" w:sz="4" w:space="0" w:color="auto"/>
              <w:left w:val="single" w:sz="4" w:space="0" w:color="auto"/>
              <w:bottom w:val="single" w:sz="4" w:space="0" w:color="auto"/>
              <w:right w:val="single" w:sz="4" w:space="0" w:color="auto"/>
            </w:tcBorders>
            <w:shd w:val="clear" w:color="auto" w:fill="auto"/>
            <w:noWrap/>
            <w:hideMark/>
          </w:tcPr>
          <w:p w14:paraId="30A3F70C" w14:textId="270421BA"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101-125</w:t>
            </w:r>
          </w:p>
        </w:tc>
        <w:tc>
          <w:tcPr>
            <w:tcW w:w="1119" w:type="dxa"/>
            <w:tcBorders>
              <w:top w:val="single" w:sz="4" w:space="0" w:color="auto"/>
              <w:left w:val="nil"/>
              <w:bottom w:val="single" w:sz="4" w:space="0" w:color="auto"/>
              <w:right w:val="single" w:sz="4" w:space="0" w:color="auto"/>
            </w:tcBorders>
            <w:shd w:val="clear" w:color="auto" w:fill="auto"/>
            <w:noWrap/>
            <w:hideMark/>
          </w:tcPr>
          <w:p w14:paraId="1D4967CB" w14:textId="511B55C6"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428</w:t>
            </w:r>
          </w:p>
        </w:tc>
        <w:tc>
          <w:tcPr>
            <w:tcW w:w="1119" w:type="dxa"/>
            <w:tcBorders>
              <w:top w:val="single" w:sz="4" w:space="0" w:color="auto"/>
              <w:left w:val="nil"/>
              <w:bottom w:val="single" w:sz="4" w:space="0" w:color="auto"/>
              <w:right w:val="single" w:sz="4" w:space="0" w:color="auto"/>
            </w:tcBorders>
            <w:shd w:val="clear" w:color="auto" w:fill="auto"/>
            <w:noWrap/>
            <w:hideMark/>
          </w:tcPr>
          <w:p w14:paraId="241FA7D2" w14:textId="120FB40B"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151–175</w:t>
            </w:r>
          </w:p>
        </w:tc>
        <w:tc>
          <w:tcPr>
            <w:tcW w:w="1120" w:type="dxa"/>
            <w:tcBorders>
              <w:top w:val="single" w:sz="4" w:space="0" w:color="auto"/>
              <w:left w:val="nil"/>
              <w:bottom w:val="single" w:sz="4" w:space="0" w:color="auto"/>
              <w:right w:val="single" w:sz="4" w:space="0" w:color="auto"/>
            </w:tcBorders>
            <w:shd w:val="clear" w:color="auto" w:fill="auto"/>
            <w:noWrap/>
            <w:hideMark/>
          </w:tcPr>
          <w:p w14:paraId="5FD08B70" w14:textId="210BD06B"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477</w:t>
            </w:r>
          </w:p>
        </w:tc>
      </w:tr>
      <w:tr w:rsidR="0087278D" w:rsidRPr="008C72D8" w14:paraId="2BF10A2B" w14:textId="77777777" w:rsidTr="00653427">
        <w:trPr>
          <w:trHeight w:val="240"/>
          <w:jc w:val="center"/>
        </w:trPr>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14:paraId="7DA33B8D" w14:textId="15BB67D0" w:rsidR="0087278D" w:rsidRPr="0087278D" w:rsidRDefault="0087278D" w:rsidP="0078703F">
            <w:pPr>
              <w:spacing w:line="240" w:lineRule="auto"/>
              <w:rPr>
                <w:rFonts w:eastAsia="Times New Roman" w:cstheme="minorHAnsi"/>
                <w:color w:val="000000"/>
                <w:sz w:val="18"/>
                <w:szCs w:val="18"/>
                <w:lang w:eastAsia="es-MX"/>
              </w:rPr>
            </w:pPr>
            <w:r w:rsidRPr="0087278D">
              <w:rPr>
                <w:sz w:val="18"/>
                <w:szCs w:val="18"/>
              </w:rPr>
              <w:t>Ciencias Sociales</w:t>
            </w:r>
          </w:p>
        </w:tc>
        <w:tc>
          <w:tcPr>
            <w:tcW w:w="1119"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447D64FC" w14:textId="448E8D8B"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201-250</w:t>
            </w:r>
          </w:p>
        </w:tc>
        <w:tc>
          <w:tcPr>
            <w:tcW w:w="1119" w:type="dxa"/>
            <w:tcBorders>
              <w:top w:val="single" w:sz="4" w:space="0" w:color="auto"/>
              <w:left w:val="nil"/>
              <w:bottom w:val="single" w:sz="4" w:space="0" w:color="auto"/>
              <w:right w:val="single" w:sz="4" w:space="0" w:color="auto"/>
            </w:tcBorders>
            <w:shd w:val="clear" w:color="auto" w:fill="E7E6E6" w:themeFill="background2"/>
            <w:noWrap/>
            <w:hideMark/>
          </w:tcPr>
          <w:p w14:paraId="199803D2" w14:textId="3901F901"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666</w:t>
            </w:r>
          </w:p>
        </w:tc>
        <w:tc>
          <w:tcPr>
            <w:tcW w:w="1119" w:type="dxa"/>
            <w:tcBorders>
              <w:top w:val="single" w:sz="4" w:space="0" w:color="auto"/>
              <w:left w:val="nil"/>
              <w:bottom w:val="single" w:sz="4" w:space="0" w:color="auto"/>
              <w:right w:val="single" w:sz="4" w:space="0" w:color="auto"/>
            </w:tcBorders>
            <w:shd w:val="clear" w:color="auto" w:fill="E7E6E6" w:themeFill="background2"/>
            <w:noWrap/>
            <w:hideMark/>
          </w:tcPr>
          <w:p w14:paraId="77D754D2" w14:textId="5A3228F1"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301–400</w:t>
            </w:r>
          </w:p>
        </w:tc>
        <w:tc>
          <w:tcPr>
            <w:tcW w:w="1120" w:type="dxa"/>
            <w:tcBorders>
              <w:top w:val="single" w:sz="4" w:space="0" w:color="auto"/>
              <w:left w:val="nil"/>
              <w:bottom w:val="single" w:sz="4" w:space="0" w:color="auto"/>
              <w:right w:val="single" w:sz="4" w:space="0" w:color="auto"/>
            </w:tcBorders>
            <w:shd w:val="clear" w:color="auto" w:fill="E7E6E6" w:themeFill="background2"/>
            <w:noWrap/>
            <w:hideMark/>
          </w:tcPr>
          <w:p w14:paraId="4EA85C7D" w14:textId="740293C5"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720</w:t>
            </w:r>
          </w:p>
        </w:tc>
      </w:tr>
      <w:tr w:rsidR="0087278D" w:rsidRPr="008C72D8" w14:paraId="244579E1" w14:textId="77777777" w:rsidTr="00653427">
        <w:trPr>
          <w:trHeight w:val="240"/>
          <w:jc w:val="center"/>
        </w:trPr>
        <w:tc>
          <w:tcPr>
            <w:tcW w:w="2977" w:type="dxa"/>
            <w:tcBorders>
              <w:top w:val="single" w:sz="4" w:space="0" w:color="auto"/>
              <w:left w:val="single" w:sz="4" w:space="0" w:color="auto"/>
              <w:bottom w:val="single" w:sz="4" w:space="0" w:color="auto"/>
              <w:right w:val="single" w:sz="4" w:space="0" w:color="auto"/>
            </w:tcBorders>
          </w:tcPr>
          <w:p w14:paraId="335B2058" w14:textId="713DA673" w:rsidR="0087278D" w:rsidRPr="0087278D" w:rsidRDefault="0087278D" w:rsidP="0078703F">
            <w:pPr>
              <w:spacing w:line="240" w:lineRule="auto"/>
              <w:rPr>
                <w:rFonts w:eastAsia="Times New Roman" w:cstheme="minorHAnsi"/>
                <w:color w:val="000000"/>
                <w:sz w:val="18"/>
                <w:szCs w:val="18"/>
                <w:lang w:eastAsia="es-MX"/>
              </w:rPr>
            </w:pPr>
            <w:r w:rsidRPr="0087278D">
              <w:rPr>
                <w:sz w:val="18"/>
                <w:szCs w:val="18"/>
              </w:rPr>
              <w:lastRenderedPageBreak/>
              <w:t>Psicología</w:t>
            </w:r>
          </w:p>
        </w:tc>
        <w:tc>
          <w:tcPr>
            <w:tcW w:w="1119" w:type="dxa"/>
            <w:tcBorders>
              <w:top w:val="single" w:sz="4" w:space="0" w:color="auto"/>
              <w:left w:val="single" w:sz="4" w:space="0" w:color="auto"/>
              <w:bottom w:val="single" w:sz="4" w:space="0" w:color="auto"/>
              <w:right w:val="single" w:sz="4" w:space="0" w:color="auto"/>
            </w:tcBorders>
            <w:shd w:val="clear" w:color="auto" w:fill="auto"/>
            <w:noWrap/>
            <w:hideMark/>
          </w:tcPr>
          <w:p w14:paraId="591FD688" w14:textId="3949CF7B"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251-300</w:t>
            </w:r>
          </w:p>
        </w:tc>
        <w:tc>
          <w:tcPr>
            <w:tcW w:w="1119" w:type="dxa"/>
            <w:tcBorders>
              <w:top w:val="single" w:sz="4" w:space="0" w:color="auto"/>
              <w:left w:val="nil"/>
              <w:bottom w:val="single" w:sz="4" w:space="0" w:color="auto"/>
              <w:right w:val="single" w:sz="4" w:space="0" w:color="auto"/>
            </w:tcBorders>
            <w:shd w:val="clear" w:color="auto" w:fill="auto"/>
            <w:noWrap/>
            <w:hideMark/>
          </w:tcPr>
          <w:p w14:paraId="3576011D" w14:textId="019BD063"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463</w:t>
            </w:r>
          </w:p>
        </w:tc>
        <w:tc>
          <w:tcPr>
            <w:tcW w:w="1119" w:type="dxa"/>
            <w:tcBorders>
              <w:top w:val="single" w:sz="4" w:space="0" w:color="auto"/>
              <w:left w:val="nil"/>
              <w:bottom w:val="single" w:sz="4" w:space="0" w:color="auto"/>
              <w:right w:val="single" w:sz="4" w:space="0" w:color="auto"/>
            </w:tcBorders>
            <w:shd w:val="clear" w:color="auto" w:fill="auto"/>
            <w:noWrap/>
            <w:hideMark/>
          </w:tcPr>
          <w:p w14:paraId="0B1589FC" w14:textId="0321DAD8"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301–400</w:t>
            </w:r>
          </w:p>
        </w:tc>
        <w:tc>
          <w:tcPr>
            <w:tcW w:w="1120" w:type="dxa"/>
            <w:tcBorders>
              <w:top w:val="single" w:sz="4" w:space="0" w:color="auto"/>
              <w:left w:val="nil"/>
              <w:bottom w:val="single" w:sz="4" w:space="0" w:color="auto"/>
              <w:right w:val="single" w:sz="4" w:space="0" w:color="auto"/>
            </w:tcBorders>
            <w:shd w:val="clear" w:color="auto" w:fill="auto"/>
            <w:noWrap/>
            <w:hideMark/>
          </w:tcPr>
          <w:p w14:paraId="496E371F" w14:textId="4548E4D4"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494</w:t>
            </w:r>
          </w:p>
        </w:tc>
      </w:tr>
      <w:tr w:rsidR="0087278D" w:rsidRPr="008C72D8" w14:paraId="4E5B3E36" w14:textId="77777777" w:rsidTr="00653427">
        <w:trPr>
          <w:trHeight w:val="240"/>
          <w:jc w:val="center"/>
        </w:trPr>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14:paraId="48CA4B64" w14:textId="6D37E3CA" w:rsidR="0087278D" w:rsidRPr="0087278D" w:rsidRDefault="0087278D" w:rsidP="0078703F">
            <w:pPr>
              <w:spacing w:line="240" w:lineRule="auto"/>
              <w:rPr>
                <w:rFonts w:eastAsia="Times New Roman" w:cstheme="minorHAnsi"/>
                <w:color w:val="000000"/>
                <w:sz w:val="18"/>
                <w:szCs w:val="18"/>
                <w:lang w:eastAsia="es-MX"/>
              </w:rPr>
            </w:pPr>
            <w:r w:rsidRPr="0087278D">
              <w:rPr>
                <w:sz w:val="18"/>
                <w:szCs w:val="18"/>
              </w:rPr>
              <w:t>Clínica, Pre-Clínica y Salud</w:t>
            </w:r>
          </w:p>
        </w:tc>
        <w:tc>
          <w:tcPr>
            <w:tcW w:w="1119"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18616982" w14:textId="41A970D4"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401-500</w:t>
            </w:r>
          </w:p>
        </w:tc>
        <w:tc>
          <w:tcPr>
            <w:tcW w:w="1119" w:type="dxa"/>
            <w:tcBorders>
              <w:top w:val="single" w:sz="4" w:space="0" w:color="auto"/>
              <w:left w:val="nil"/>
              <w:bottom w:val="single" w:sz="4" w:space="0" w:color="auto"/>
              <w:right w:val="single" w:sz="4" w:space="0" w:color="auto"/>
            </w:tcBorders>
            <w:shd w:val="clear" w:color="auto" w:fill="E7E6E6" w:themeFill="background2"/>
            <w:noWrap/>
            <w:hideMark/>
          </w:tcPr>
          <w:p w14:paraId="6C195F9D" w14:textId="514205B4"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721</w:t>
            </w:r>
          </w:p>
        </w:tc>
        <w:tc>
          <w:tcPr>
            <w:tcW w:w="1119" w:type="dxa"/>
            <w:tcBorders>
              <w:top w:val="single" w:sz="4" w:space="0" w:color="auto"/>
              <w:left w:val="nil"/>
              <w:bottom w:val="single" w:sz="4" w:space="0" w:color="auto"/>
              <w:right w:val="single" w:sz="4" w:space="0" w:color="auto"/>
            </w:tcBorders>
            <w:shd w:val="clear" w:color="auto" w:fill="E7E6E6" w:themeFill="background2"/>
            <w:noWrap/>
            <w:hideMark/>
          </w:tcPr>
          <w:p w14:paraId="2475FD80" w14:textId="26102C7F"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401–500</w:t>
            </w:r>
          </w:p>
        </w:tc>
        <w:tc>
          <w:tcPr>
            <w:tcW w:w="1120" w:type="dxa"/>
            <w:tcBorders>
              <w:top w:val="single" w:sz="4" w:space="0" w:color="auto"/>
              <w:left w:val="nil"/>
              <w:bottom w:val="single" w:sz="4" w:space="0" w:color="auto"/>
              <w:right w:val="single" w:sz="4" w:space="0" w:color="auto"/>
            </w:tcBorders>
            <w:shd w:val="clear" w:color="auto" w:fill="E7E6E6" w:themeFill="background2"/>
            <w:noWrap/>
            <w:hideMark/>
          </w:tcPr>
          <w:p w14:paraId="35D52E3A" w14:textId="570E207E"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775</w:t>
            </w:r>
          </w:p>
        </w:tc>
      </w:tr>
      <w:tr w:rsidR="0087278D" w:rsidRPr="008C72D8" w14:paraId="0D9BA971" w14:textId="77777777" w:rsidTr="00653427">
        <w:trPr>
          <w:trHeight w:val="240"/>
          <w:jc w:val="center"/>
        </w:trPr>
        <w:tc>
          <w:tcPr>
            <w:tcW w:w="2977" w:type="dxa"/>
            <w:tcBorders>
              <w:top w:val="single" w:sz="4" w:space="0" w:color="auto"/>
              <w:left w:val="single" w:sz="4" w:space="0" w:color="auto"/>
              <w:bottom w:val="single" w:sz="4" w:space="0" w:color="auto"/>
              <w:right w:val="single" w:sz="4" w:space="0" w:color="auto"/>
            </w:tcBorders>
          </w:tcPr>
          <w:p w14:paraId="0A75AC51" w14:textId="55B989F6" w:rsidR="0087278D" w:rsidRPr="0087278D" w:rsidRDefault="0087278D" w:rsidP="0078703F">
            <w:pPr>
              <w:spacing w:line="240" w:lineRule="auto"/>
              <w:rPr>
                <w:rFonts w:eastAsia="Times New Roman" w:cstheme="minorHAnsi"/>
                <w:color w:val="000000"/>
                <w:sz w:val="18"/>
                <w:szCs w:val="18"/>
                <w:lang w:eastAsia="es-MX"/>
              </w:rPr>
            </w:pPr>
            <w:r w:rsidRPr="0087278D">
              <w:rPr>
                <w:sz w:val="18"/>
                <w:szCs w:val="18"/>
              </w:rPr>
              <w:t>Ciencias de la Vida</w:t>
            </w:r>
          </w:p>
        </w:tc>
        <w:tc>
          <w:tcPr>
            <w:tcW w:w="1119" w:type="dxa"/>
            <w:tcBorders>
              <w:top w:val="single" w:sz="4" w:space="0" w:color="auto"/>
              <w:left w:val="single" w:sz="4" w:space="0" w:color="auto"/>
              <w:bottom w:val="single" w:sz="4" w:space="0" w:color="auto"/>
              <w:right w:val="single" w:sz="4" w:space="0" w:color="auto"/>
            </w:tcBorders>
            <w:shd w:val="clear" w:color="auto" w:fill="auto"/>
            <w:noWrap/>
            <w:hideMark/>
          </w:tcPr>
          <w:p w14:paraId="1D6E80F9" w14:textId="5EBDBC4D"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401-500</w:t>
            </w:r>
          </w:p>
        </w:tc>
        <w:tc>
          <w:tcPr>
            <w:tcW w:w="1119" w:type="dxa"/>
            <w:tcBorders>
              <w:top w:val="single" w:sz="4" w:space="0" w:color="auto"/>
              <w:left w:val="nil"/>
              <w:bottom w:val="single" w:sz="4" w:space="0" w:color="auto"/>
              <w:right w:val="single" w:sz="4" w:space="0" w:color="auto"/>
            </w:tcBorders>
            <w:shd w:val="clear" w:color="auto" w:fill="auto"/>
            <w:noWrap/>
            <w:hideMark/>
          </w:tcPr>
          <w:p w14:paraId="3356A4C1" w14:textId="4F7B2DD5"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751</w:t>
            </w:r>
          </w:p>
        </w:tc>
        <w:tc>
          <w:tcPr>
            <w:tcW w:w="1119" w:type="dxa"/>
            <w:tcBorders>
              <w:top w:val="single" w:sz="4" w:space="0" w:color="auto"/>
              <w:left w:val="nil"/>
              <w:bottom w:val="single" w:sz="4" w:space="0" w:color="auto"/>
              <w:right w:val="single" w:sz="4" w:space="0" w:color="auto"/>
            </w:tcBorders>
            <w:shd w:val="clear" w:color="auto" w:fill="auto"/>
            <w:noWrap/>
            <w:hideMark/>
          </w:tcPr>
          <w:p w14:paraId="1DFB40DB" w14:textId="0CE7809A"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501–600</w:t>
            </w:r>
          </w:p>
        </w:tc>
        <w:tc>
          <w:tcPr>
            <w:tcW w:w="1120" w:type="dxa"/>
            <w:tcBorders>
              <w:top w:val="single" w:sz="4" w:space="0" w:color="auto"/>
              <w:left w:val="nil"/>
              <w:bottom w:val="single" w:sz="4" w:space="0" w:color="auto"/>
              <w:right w:val="single" w:sz="4" w:space="0" w:color="auto"/>
            </w:tcBorders>
            <w:shd w:val="clear" w:color="auto" w:fill="auto"/>
            <w:noWrap/>
            <w:hideMark/>
          </w:tcPr>
          <w:p w14:paraId="047EC015" w14:textId="5325FDAE"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821</w:t>
            </w:r>
          </w:p>
        </w:tc>
      </w:tr>
      <w:tr w:rsidR="0087278D" w:rsidRPr="008C72D8" w14:paraId="4B206D6D" w14:textId="77777777" w:rsidTr="00653427">
        <w:trPr>
          <w:trHeight w:val="240"/>
          <w:jc w:val="center"/>
        </w:trPr>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14:paraId="0B53D0DF" w14:textId="57FA7703" w:rsidR="0087278D" w:rsidRPr="0087278D" w:rsidRDefault="0087278D" w:rsidP="0078703F">
            <w:pPr>
              <w:spacing w:line="240" w:lineRule="auto"/>
              <w:rPr>
                <w:rFonts w:eastAsia="Times New Roman" w:cstheme="minorHAnsi"/>
                <w:color w:val="000000"/>
                <w:sz w:val="18"/>
                <w:szCs w:val="18"/>
                <w:lang w:eastAsia="es-MX"/>
              </w:rPr>
            </w:pPr>
            <w:r w:rsidRPr="0087278D">
              <w:rPr>
                <w:sz w:val="18"/>
                <w:szCs w:val="18"/>
              </w:rPr>
              <w:t>Negocios y Economía</w:t>
            </w:r>
          </w:p>
        </w:tc>
        <w:tc>
          <w:tcPr>
            <w:tcW w:w="1119"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27C0164A" w14:textId="31E8E371"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501+</w:t>
            </w:r>
          </w:p>
        </w:tc>
        <w:tc>
          <w:tcPr>
            <w:tcW w:w="1119" w:type="dxa"/>
            <w:tcBorders>
              <w:top w:val="single" w:sz="4" w:space="0" w:color="auto"/>
              <w:left w:val="nil"/>
              <w:bottom w:val="single" w:sz="4" w:space="0" w:color="auto"/>
              <w:right w:val="single" w:sz="4" w:space="0" w:color="auto"/>
            </w:tcBorders>
            <w:shd w:val="clear" w:color="auto" w:fill="E7E6E6" w:themeFill="background2"/>
            <w:noWrap/>
            <w:hideMark/>
          </w:tcPr>
          <w:p w14:paraId="0F23DE3E" w14:textId="59564B36"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585</w:t>
            </w:r>
          </w:p>
        </w:tc>
        <w:tc>
          <w:tcPr>
            <w:tcW w:w="1119" w:type="dxa"/>
            <w:tcBorders>
              <w:top w:val="single" w:sz="4" w:space="0" w:color="auto"/>
              <w:left w:val="nil"/>
              <w:bottom w:val="single" w:sz="4" w:space="0" w:color="auto"/>
              <w:right w:val="single" w:sz="4" w:space="0" w:color="auto"/>
            </w:tcBorders>
            <w:shd w:val="clear" w:color="auto" w:fill="E7E6E6" w:themeFill="background2"/>
            <w:noWrap/>
            <w:hideMark/>
          </w:tcPr>
          <w:p w14:paraId="6E119D54" w14:textId="5E54B684"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501+</w:t>
            </w:r>
          </w:p>
        </w:tc>
        <w:tc>
          <w:tcPr>
            <w:tcW w:w="1120" w:type="dxa"/>
            <w:tcBorders>
              <w:top w:val="single" w:sz="4" w:space="0" w:color="auto"/>
              <w:left w:val="nil"/>
              <w:bottom w:val="single" w:sz="4" w:space="0" w:color="auto"/>
              <w:right w:val="single" w:sz="4" w:space="0" w:color="auto"/>
            </w:tcBorders>
            <w:shd w:val="clear" w:color="auto" w:fill="E7E6E6" w:themeFill="background2"/>
            <w:noWrap/>
            <w:hideMark/>
          </w:tcPr>
          <w:p w14:paraId="4D4780AE" w14:textId="369834B5"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632</w:t>
            </w:r>
          </w:p>
        </w:tc>
      </w:tr>
      <w:tr w:rsidR="0087278D" w:rsidRPr="008C72D8" w14:paraId="45C0FF4A" w14:textId="77777777" w:rsidTr="00653427">
        <w:trPr>
          <w:trHeight w:val="240"/>
          <w:jc w:val="center"/>
        </w:trPr>
        <w:tc>
          <w:tcPr>
            <w:tcW w:w="2977" w:type="dxa"/>
            <w:tcBorders>
              <w:top w:val="single" w:sz="4" w:space="0" w:color="auto"/>
              <w:left w:val="single" w:sz="4" w:space="0" w:color="auto"/>
              <w:bottom w:val="single" w:sz="4" w:space="0" w:color="auto"/>
              <w:right w:val="single" w:sz="4" w:space="0" w:color="auto"/>
            </w:tcBorders>
          </w:tcPr>
          <w:p w14:paraId="4A8FED9D" w14:textId="6DAC7719" w:rsidR="0087278D" w:rsidRPr="0087278D" w:rsidRDefault="0087278D" w:rsidP="0078703F">
            <w:pPr>
              <w:spacing w:line="240" w:lineRule="auto"/>
              <w:rPr>
                <w:rFonts w:eastAsia="Times New Roman" w:cstheme="minorHAnsi"/>
                <w:color w:val="000000"/>
                <w:sz w:val="18"/>
                <w:szCs w:val="18"/>
                <w:lang w:eastAsia="es-MX"/>
              </w:rPr>
            </w:pPr>
            <w:r w:rsidRPr="0087278D">
              <w:rPr>
                <w:sz w:val="18"/>
                <w:szCs w:val="18"/>
              </w:rPr>
              <w:t>Ciencias Físicas</w:t>
            </w:r>
          </w:p>
        </w:tc>
        <w:tc>
          <w:tcPr>
            <w:tcW w:w="1119" w:type="dxa"/>
            <w:tcBorders>
              <w:top w:val="single" w:sz="4" w:space="0" w:color="auto"/>
              <w:left w:val="single" w:sz="4" w:space="0" w:color="auto"/>
              <w:bottom w:val="single" w:sz="4" w:space="0" w:color="auto"/>
              <w:right w:val="single" w:sz="4" w:space="0" w:color="auto"/>
            </w:tcBorders>
            <w:shd w:val="clear" w:color="auto" w:fill="auto"/>
            <w:noWrap/>
            <w:hideMark/>
          </w:tcPr>
          <w:p w14:paraId="3612BCC0" w14:textId="2386EE64"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501-600</w:t>
            </w:r>
          </w:p>
        </w:tc>
        <w:tc>
          <w:tcPr>
            <w:tcW w:w="1119" w:type="dxa"/>
            <w:tcBorders>
              <w:top w:val="single" w:sz="4" w:space="0" w:color="auto"/>
              <w:left w:val="nil"/>
              <w:bottom w:val="single" w:sz="4" w:space="0" w:color="auto"/>
              <w:right w:val="single" w:sz="4" w:space="0" w:color="auto"/>
            </w:tcBorders>
            <w:shd w:val="clear" w:color="auto" w:fill="auto"/>
            <w:noWrap/>
            <w:hideMark/>
          </w:tcPr>
          <w:p w14:paraId="07DFD68A" w14:textId="29DA47F6"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963</w:t>
            </w:r>
          </w:p>
        </w:tc>
        <w:tc>
          <w:tcPr>
            <w:tcW w:w="1119" w:type="dxa"/>
            <w:tcBorders>
              <w:top w:val="single" w:sz="4" w:space="0" w:color="auto"/>
              <w:left w:val="nil"/>
              <w:bottom w:val="single" w:sz="4" w:space="0" w:color="auto"/>
              <w:right w:val="single" w:sz="4" w:space="0" w:color="auto"/>
            </w:tcBorders>
            <w:shd w:val="clear" w:color="auto" w:fill="auto"/>
            <w:noWrap/>
            <w:hideMark/>
          </w:tcPr>
          <w:p w14:paraId="313615DE" w14:textId="546C52DB"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601–800</w:t>
            </w:r>
          </w:p>
        </w:tc>
        <w:tc>
          <w:tcPr>
            <w:tcW w:w="1120" w:type="dxa"/>
            <w:tcBorders>
              <w:top w:val="single" w:sz="4" w:space="0" w:color="auto"/>
              <w:left w:val="nil"/>
              <w:bottom w:val="single" w:sz="4" w:space="0" w:color="auto"/>
              <w:right w:val="single" w:sz="4" w:space="0" w:color="auto"/>
            </w:tcBorders>
            <w:shd w:val="clear" w:color="auto" w:fill="auto"/>
            <w:noWrap/>
            <w:hideMark/>
          </w:tcPr>
          <w:p w14:paraId="104BC493" w14:textId="306C8A15"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1054</w:t>
            </w:r>
          </w:p>
        </w:tc>
      </w:tr>
      <w:tr w:rsidR="0087278D" w:rsidRPr="008C72D8" w14:paraId="457B429E" w14:textId="77777777" w:rsidTr="00653427">
        <w:trPr>
          <w:trHeight w:val="240"/>
          <w:jc w:val="center"/>
        </w:trPr>
        <w:tc>
          <w:tcPr>
            <w:tcW w:w="2977" w:type="dxa"/>
            <w:tcBorders>
              <w:top w:val="single" w:sz="4" w:space="0" w:color="auto"/>
              <w:left w:val="single" w:sz="4" w:space="0" w:color="auto"/>
              <w:bottom w:val="single" w:sz="4" w:space="0" w:color="auto"/>
              <w:right w:val="single" w:sz="4" w:space="0" w:color="auto"/>
            </w:tcBorders>
            <w:shd w:val="clear" w:color="auto" w:fill="E7E6E6" w:themeFill="background2"/>
          </w:tcPr>
          <w:p w14:paraId="7E854DB3" w14:textId="6C617015" w:rsidR="0087278D" w:rsidRPr="0087278D" w:rsidRDefault="0087278D" w:rsidP="0078703F">
            <w:pPr>
              <w:spacing w:line="240" w:lineRule="auto"/>
              <w:rPr>
                <w:rFonts w:eastAsia="Times New Roman" w:cstheme="minorHAnsi"/>
                <w:color w:val="000000"/>
                <w:sz w:val="18"/>
                <w:szCs w:val="18"/>
                <w:lang w:eastAsia="es-MX"/>
              </w:rPr>
            </w:pPr>
            <w:r w:rsidRPr="0087278D">
              <w:rPr>
                <w:sz w:val="18"/>
                <w:szCs w:val="18"/>
              </w:rPr>
              <w:t>Ingeniería y Tecnología</w:t>
            </w:r>
          </w:p>
        </w:tc>
        <w:tc>
          <w:tcPr>
            <w:tcW w:w="1119"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180E9A18" w14:textId="6CB389D1"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601–800</w:t>
            </w:r>
          </w:p>
        </w:tc>
        <w:tc>
          <w:tcPr>
            <w:tcW w:w="1119" w:type="dxa"/>
            <w:tcBorders>
              <w:top w:val="single" w:sz="4" w:space="0" w:color="auto"/>
              <w:left w:val="nil"/>
              <w:bottom w:val="single" w:sz="4" w:space="0" w:color="auto"/>
              <w:right w:val="single" w:sz="4" w:space="0" w:color="auto"/>
            </w:tcBorders>
            <w:shd w:val="clear" w:color="auto" w:fill="E7E6E6" w:themeFill="background2"/>
            <w:noWrap/>
            <w:hideMark/>
          </w:tcPr>
          <w:p w14:paraId="033A46E4" w14:textId="291A2E42"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903</w:t>
            </w:r>
          </w:p>
        </w:tc>
        <w:tc>
          <w:tcPr>
            <w:tcW w:w="1119" w:type="dxa"/>
            <w:tcBorders>
              <w:top w:val="single" w:sz="4" w:space="0" w:color="auto"/>
              <w:left w:val="nil"/>
              <w:bottom w:val="single" w:sz="4" w:space="0" w:color="auto"/>
              <w:right w:val="single" w:sz="4" w:space="0" w:color="auto"/>
            </w:tcBorders>
            <w:shd w:val="clear" w:color="auto" w:fill="E7E6E6" w:themeFill="background2"/>
            <w:noWrap/>
            <w:hideMark/>
          </w:tcPr>
          <w:p w14:paraId="6DBE46D5" w14:textId="389A48CE"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601–800</w:t>
            </w:r>
          </w:p>
        </w:tc>
        <w:tc>
          <w:tcPr>
            <w:tcW w:w="1120" w:type="dxa"/>
            <w:tcBorders>
              <w:top w:val="single" w:sz="4" w:space="0" w:color="auto"/>
              <w:left w:val="nil"/>
              <w:bottom w:val="single" w:sz="4" w:space="0" w:color="auto"/>
              <w:right w:val="single" w:sz="4" w:space="0" w:color="auto"/>
            </w:tcBorders>
            <w:shd w:val="clear" w:color="auto" w:fill="E7E6E6" w:themeFill="background2"/>
            <w:noWrap/>
            <w:hideMark/>
          </w:tcPr>
          <w:p w14:paraId="00B1F11B" w14:textId="05AEF507"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1008</w:t>
            </w:r>
          </w:p>
        </w:tc>
      </w:tr>
      <w:tr w:rsidR="0087278D" w:rsidRPr="008C72D8" w14:paraId="6171AEE7" w14:textId="77777777" w:rsidTr="00653427">
        <w:trPr>
          <w:trHeight w:val="240"/>
          <w:jc w:val="center"/>
        </w:trPr>
        <w:tc>
          <w:tcPr>
            <w:tcW w:w="2977" w:type="dxa"/>
            <w:tcBorders>
              <w:top w:val="single" w:sz="4" w:space="0" w:color="auto"/>
              <w:left w:val="single" w:sz="4" w:space="0" w:color="auto"/>
              <w:bottom w:val="single" w:sz="4" w:space="0" w:color="auto"/>
              <w:right w:val="single" w:sz="4" w:space="0" w:color="auto"/>
            </w:tcBorders>
          </w:tcPr>
          <w:p w14:paraId="11E6AD46" w14:textId="63F443B2" w:rsidR="0087278D" w:rsidRPr="0087278D" w:rsidRDefault="0087278D" w:rsidP="0078703F">
            <w:pPr>
              <w:spacing w:line="240" w:lineRule="auto"/>
              <w:rPr>
                <w:rFonts w:eastAsia="Times New Roman" w:cstheme="minorHAnsi"/>
                <w:color w:val="000000"/>
                <w:sz w:val="18"/>
                <w:szCs w:val="18"/>
                <w:lang w:eastAsia="es-MX"/>
              </w:rPr>
            </w:pPr>
            <w:r w:rsidRPr="0087278D">
              <w:rPr>
                <w:sz w:val="18"/>
                <w:szCs w:val="18"/>
              </w:rPr>
              <w:t>Ciencias de la Computación</w:t>
            </w:r>
          </w:p>
        </w:tc>
        <w:tc>
          <w:tcPr>
            <w:tcW w:w="1119" w:type="dxa"/>
            <w:tcBorders>
              <w:top w:val="single" w:sz="4" w:space="0" w:color="auto"/>
              <w:left w:val="single" w:sz="4" w:space="0" w:color="auto"/>
              <w:bottom w:val="single" w:sz="4" w:space="0" w:color="auto"/>
              <w:right w:val="single" w:sz="4" w:space="0" w:color="auto"/>
            </w:tcBorders>
            <w:shd w:val="clear" w:color="auto" w:fill="auto"/>
            <w:noWrap/>
            <w:hideMark/>
          </w:tcPr>
          <w:p w14:paraId="24B78EE1" w14:textId="271A8772"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501-600</w:t>
            </w:r>
          </w:p>
        </w:tc>
        <w:tc>
          <w:tcPr>
            <w:tcW w:w="1119" w:type="dxa"/>
            <w:tcBorders>
              <w:top w:val="single" w:sz="4" w:space="0" w:color="auto"/>
              <w:left w:val="nil"/>
              <w:bottom w:val="single" w:sz="4" w:space="0" w:color="auto"/>
              <w:right w:val="single" w:sz="4" w:space="0" w:color="auto"/>
            </w:tcBorders>
            <w:shd w:val="clear" w:color="auto" w:fill="auto"/>
            <w:noWrap/>
            <w:hideMark/>
          </w:tcPr>
          <w:p w14:paraId="30F106C3" w14:textId="672375FA"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684</w:t>
            </w:r>
          </w:p>
        </w:tc>
        <w:tc>
          <w:tcPr>
            <w:tcW w:w="1119" w:type="dxa"/>
            <w:tcBorders>
              <w:top w:val="single" w:sz="4" w:space="0" w:color="auto"/>
              <w:left w:val="nil"/>
              <w:bottom w:val="single" w:sz="4" w:space="0" w:color="auto"/>
              <w:right w:val="single" w:sz="4" w:space="0" w:color="auto"/>
            </w:tcBorders>
            <w:shd w:val="clear" w:color="auto" w:fill="auto"/>
            <w:noWrap/>
            <w:hideMark/>
          </w:tcPr>
          <w:p w14:paraId="299D2315" w14:textId="6887C66D"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601+</w:t>
            </w:r>
          </w:p>
        </w:tc>
        <w:tc>
          <w:tcPr>
            <w:tcW w:w="1120" w:type="dxa"/>
            <w:tcBorders>
              <w:top w:val="single" w:sz="4" w:space="0" w:color="auto"/>
              <w:left w:val="nil"/>
              <w:bottom w:val="single" w:sz="4" w:space="0" w:color="auto"/>
              <w:right w:val="single" w:sz="4" w:space="0" w:color="auto"/>
            </w:tcBorders>
            <w:shd w:val="clear" w:color="auto" w:fill="auto"/>
            <w:noWrap/>
            <w:hideMark/>
          </w:tcPr>
          <w:p w14:paraId="1C3968AE" w14:textId="55518E26" w:rsidR="0087278D" w:rsidRPr="0087278D" w:rsidRDefault="0087278D" w:rsidP="0078703F">
            <w:pPr>
              <w:spacing w:line="240" w:lineRule="auto"/>
              <w:jc w:val="center"/>
              <w:rPr>
                <w:rFonts w:eastAsia="Times New Roman" w:cstheme="minorHAnsi"/>
                <w:color w:val="000000"/>
                <w:sz w:val="18"/>
                <w:szCs w:val="18"/>
                <w:lang w:eastAsia="es-MX"/>
              </w:rPr>
            </w:pPr>
            <w:r w:rsidRPr="0087278D">
              <w:rPr>
                <w:sz w:val="18"/>
                <w:szCs w:val="18"/>
              </w:rPr>
              <w:t>749</w:t>
            </w:r>
          </w:p>
        </w:tc>
      </w:tr>
      <w:tr w:rsidR="00073F6F" w:rsidRPr="008C72D8" w14:paraId="12F0366D" w14:textId="77777777" w:rsidTr="00BE2DA5">
        <w:trPr>
          <w:trHeight w:val="240"/>
          <w:jc w:val="center"/>
        </w:trPr>
        <w:tc>
          <w:tcPr>
            <w:tcW w:w="7454" w:type="dxa"/>
            <w:gridSpan w:val="5"/>
            <w:tcBorders>
              <w:top w:val="single" w:sz="4" w:space="0" w:color="auto"/>
            </w:tcBorders>
          </w:tcPr>
          <w:p w14:paraId="6400EF7B" w14:textId="59921BF6" w:rsidR="00073F6F" w:rsidRPr="008C72D8" w:rsidRDefault="00073F6F" w:rsidP="0078703F">
            <w:pPr>
              <w:spacing w:line="240" w:lineRule="auto"/>
              <w:rPr>
                <w:rFonts w:ascii="Calibri" w:eastAsia="Times New Roman" w:hAnsi="Calibri" w:cs="Calibri"/>
                <w:color w:val="000000"/>
                <w:sz w:val="18"/>
                <w:szCs w:val="18"/>
                <w:lang w:eastAsia="es-MX"/>
              </w:rPr>
            </w:pPr>
            <w:r w:rsidRPr="008C72D8">
              <w:rPr>
                <w:rFonts w:ascii="Calibri" w:eastAsia="Times New Roman" w:hAnsi="Calibri" w:cs="Calibri"/>
                <w:color w:val="000000"/>
                <w:sz w:val="14"/>
                <w:szCs w:val="18"/>
                <w:lang w:eastAsia="es-MX"/>
              </w:rPr>
              <w:t>* Ordenado por la posición obtenida en 2020, por áreas del conocimiento.</w:t>
            </w:r>
          </w:p>
        </w:tc>
      </w:tr>
    </w:tbl>
    <w:p w14:paraId="31661A22" w14:textId="77777777" w:rsidR="001C2954" w:rsidRPr="008C72D8" w:rsidRDefault="001C2954" w:rsidP="0078703F">
      <w:pPr>
        <w:spacing w:line="240" w:lineRule="auto"/>
        <w:jc w:val="both"/>
        <w:rPr>
          <w:sz w:val="24"/>
        </w:rPr>
      </w:pPr>
    </w:p>
    <w:tbl>
      <w:tblPr>
        <w:tblW w:w="9770" w:type="dxa"/>
        <w:tblCellMar>
          <w:left w:w="70" w:type="dxa"/>
          <w:right w:w="70" w:type="dxa"/>
        </w:tblCellMar>
        <w:tblLook w:val="04A0" w:firstRow="1" w:lastRow="0" w:firstColumn="1" w:lastColumn="0" w:noHBand="0" w:noVBand="1"/>
      </w:tblPr>
      <w:tblGrid>
        <w:gridCol w:w="2410"/>
        <w:gridCol w:w="1213"/>
        <w:gridCol w:w="1213"/>
        <w:gridCol w:w="1213"/>
        <w:gridCol w:w="1213"/>
        <w:gridCol w:w="1295"/>
        <w:gridCol w:w="1213"/>
      </w:tblGrid>
      <w:tr w:rsidR="005C60F9" w:rsidRPr="008C72D8" w14:paraId="6DA69177" w14:textId="77777777" w:rsidTr="005C60F9">
        <w:trPr>
          <w:trHeight w:val="295"/>
          <w:tblHeader/>
        </w:trPr>
        <w:tc>
          <w:tcPr>
            <w:tcW w:w="9770" w:type="dxa"/>
            <w:gridSpan w:val="7"/>
            <w:tcBorders>
              <w:bottom w:val="single" w:sz="4" w:space="0" w:color="auto"/>
            </w:tcBorders>
            <w:shd w:val="clear" w:color="auto" w:fill="auto"/>
            <w:noWrap/>
            <w:vAlign w:val="center"/>
          </w:tcPr>
          <w:p w14:paraId="44B4F84E" w14:textId="50328C7D" w:rsidR="005C60F9" w:rsidRPr="008C72D8" w:rsidRDefault="005C60F9" w:rsidP="0078703F">
            <w:pPr>
              <w:spacing w:line="240" w:lineRule="auto"/>
              <w:jc w:val="center"/>
              <w:rPr>
                <w:rFonts w:eastAsia="Times New Roman" w:cstheme="minorHAnsi"/>
                <w:b/>
                <w:bCs/>
                <w:color w:val="000000"/>
                <w:sz w:val="18"/>
                <w:szCs w:val="18"/>
                <w:lang w:eastAsia="es-MX"/>
              </w:rPr>
            </w:pPr>
            <w:r w:rsidRPr="008C72D8">
              <w:rPr>
                <w:b/>
                <w:sz w:val="20"/>
              </w:rPr>
              <w:t>Tabla 1</w:t>
            </w:r>
            <w:r w:rsidRPr="008C72D8">
              <w:rPr>
                <w:b/>
                <w:sz w:val="20"/>
              </w:rPr>
              <w:t>4</w:t>
            </w:r>
            <w:r w:rsidRPr="008C72D8">
              <w:rPr>
                <w:b/>
                <w:sz w:val="20"/>
              </w:rPr>
              <w:t xml:space="preserve">. </w:t>
            </w:r>
            <w:r w:rsidRPr="008C72D8">
              <w:rPr>
                <w:b/>
                <w:sz w:val="20"/>
              </w:rPr>
              <w:t xml:space="preserve">Puntaje de la UNAM en los diferentes indicadores del </w:t>
            </w:r>
            <w:r w:rsidRPr="008C72D8">
              <w:rPr>
                <w:b/>
                <w:sz w:val="20"/>
              </w:rPr>
              <w:t>ranking THE por cada área del conocimiento</w:t>
            </w:r>
            <w:r w:rsidRPr="008C72D8">
              <w:rPr>
                <w:b/>
                <w:sz w:val="20"/>
              </w:rPr>
              <w:t xml:space="preserve">, </w:t>
            </w:r>
            <w:r w:rsidRPr="008C72D8">
              <w:rPr>
                <w:b/>
                <w:sz w:val="20"/>
              </w:rPr>
              <w:t>2020.</w:t>
            </w:r>
          </w:p>
        </w:tc>
      </w:tr>
      <w:tr w:rsidR="005C60F9" w:rsidRPr="008C72D8" w14:paraId="77376169" w14:textId="77777777" w:rsidTr="005C60F9">
        <w:trPr>
          <w:trHeight w:val="521"/>
          <w:tblHeader/>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5F355617" w14:textId="77777777" w:rsidR="005C60F9" w:rsidRPr="005C60F9" w:rsidRDefault="005C60F9" w:rsidP="0078703F">
            <w:pPr>
              <w:spacing w:line="240" w:lineRule="auto"/>
              <w:jc w:val="center"/>
              <w:rPr>
                <w:rFonts w:eastAsia="Times New Roman" w:cstheme="minorHAnsi"/>
                <w:b/>
                <w:bCs/>
                <w:color w:val="000000"/>
                <w:sz w:val="18"/>
                <w:szCs w:val="18"/>
                <w:lang w:eastAsia="es-MX"/>
              </w:rPr>
            </w:pPr>
            <w:r w:rsidRPr="005C60F9">
              <w:rPr>
                <w:rFonts w:eastAsia="Times New Roman" w:cstheme="minorHAnsi"/>
                <w:b/>
                <w:bCs/>
                <w:color w:val="000000"/>
                <w:sz w:val="18"/>
                <w:szCs w:val="18"/>
                <w:lang w:eastAsia="es-MX"/>
              </w:rPr>
              <w:t>Áreas del Conocimiento</w:t>
            </w:r>
          </w:p>
        </w:tc>
        <w:tc>
          <w:tcPr>
            <w:tcW w:w="121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C34876D" w14:textId="77777777" w:rsidR="005C60F9" w:rsidRPr="005C60F9" w:rsidRDefault="005C60F9" w:rsidP="0078703F">
            <w:pPr>
              <w:spacing w:line="240" w:lineRule="auto"/>
              <w:jc w:val="center"/>
              <w:rPr>
                <w:rFonts w:eastAsia="Times New Roman" w:cstheme="minorHAnsi"/>
                <w:b/>
                <w:bCs/>
                <w:color w:val="000000"/>
                <w:sz w:val="18"/>
                <w:szCs w:val="18"/>
                <w:lang w:eastAsia="es-MX"/>
              </w:rPr>
            </w:pPr>
            <w:r w:rsidRPr="005C60F9">
              <w:rPr>
                <w:rFonts w:eastAsia="Times New Roman" w:cstheme="minorHAnsi"/>
                <w:b/>
                <w:bCs/>
                <w:color w:val="000000"/>
                <w:sz w:val="18"/>
                <w:szCs w:val="18"/>
                <w:lang w:eastAsia="es-MX"/>
              </w:rPr>
              <w:t>Puntaje General</w:t>
            </w:r>
          </w:p>
        </w:tc>
        <w:tc>
          <w:tcPr>
            <w:tcW w:w="121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63C169F" w14:textId="0A59369D" w:rsidR="005C60F9" w:rsidRPr="005C60F9" w:rsidRDefault="005C60F9" w:rsidP="0078703F">
            <w:pPr>
              <w:spacing w:line="240" w:lineRule="auto"/>
              <w:jc w:val="center"/>
              <w:rPr>
                <w:rFonts w:eastAsia="Times New Roman" w:cstheme="minorHAnsi"/>
                <w:b/>
                <w:bCs/>
                <w:color w:val="000000"/>
                <w:sz w:val="18"/>
                <w:szCs w:val="18"/>
                <w:lang w:eastAsia="es-MX"/>
              </w:rPr>
            </w:pPr>
            <w:r w:rsidRPr="008C72D8">
              <w:rPr>
                <w:rFonts w:eastAsia="Times New Roman" w:cstheme="minorHAnsi"/>
                <w:b/>
                <w:bCs/>
                <w:color w:val="000000"/>
                <w:sz w:val="18"/>
                <w:szCs w:val="18"/>
                <w:lang w:eastAsia="es-MX"/>
              </w:rPr>
              <w:t>Docencia</w:t>
            </w:r>
          </w:p>
        </w:tc>
        <w:tc>
          <w:tcPr>
            <w:tcW w:w="121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A3CAA2D" w14:textId="77777777" w:rsidR="005C60F9" w:rsidRPr="005C60F9" w:rsidRDefault="005C60F9" w:rsidP="0078703F">
            <w:pPr>
              <w:spacing w:line="240" w:lineRule="auto"/>
              <w:jc w:val="center"/>
              <w:rPr>
                <w:rFonts w:eastAsia="Times New Roman" w:cstheme="minorHAnsi"/>
                <w:b/>
                <w:bCs/>
                <w:color w:val="000000"/>
                <w:sz w:val="18"/>
                <w:szCs w:val="18"/>
                <w:lang w:eastAsia="es-MX"/>
              </w:rPr>
            </w:pPr>
            <w:r w:rsidRPr="005C60F9">
              <w:rPr>
                <w:rFonts w:eastAsia="Times New Roman" w:cstheme="minorHAnsi"/>
                <w:b/>
                <w:bCs/>
                <w:color w:val="000000"/>
                <w:sz w:val="18"/>
                <w:szCs w:val="18"/>
                <w:lang w:eastAsia="es-MX"/>
              </w:rPr>
              <w:t>Investigación</w:t>
            </w:r>
          </w:p>
        </w:tc>
        <w:tc>
          <w:tcPr>
            <w:tcW w:w="121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4596713" w14:textId="77777777" w:rsidR="005C60F9" w:rsidRPr="005C60F9" w:rsidRDefault="005C60F9" w:rsidP="0078703F">
            <w:pPr>
              <w:spacing w:line="240" w:lineRule="auto"/>
              <w:jc w:val="center"/>
              <w:rPr>
                <w:rFonts w:eastAsia="Times New Roman" w:cstheme="minorHAnsi"/>
                <w:b/>
                <w:bCs/>
                <w:color w:val="000000"/>
                <w:sz w:val="18"/>
                <w:szCs w:val="18"/>
                <w:lang w:eastAsia="es-MX"/>
              </w:rPr>
            </w:pPr>
            <w:r w:rsidRPr="005C60F9">
              <w:rPr>
                <w:rFonts w:eastAsia="Times New Roman" w:cstheme="minorHAnsi"/>
                <w:b/>
                <w:bCs/>
                <w:color w:val="000000"/>
                <w:sz w:val="18"/>
                <w:szCs w:val="18"/>
                <w:lang w:eastAsia="es-MX"/>
              </w:rPr>
              <w:t>Citas</w:t>
            </w:r>
          </w:p>
        </w:tc>
        <w:tc>
          <w:tcPr>
            <w:tcW w:w="1295"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4D41EDD" w14:textId="10F0F39B" w:rsidR="005C60F9" w:rsidRPr="005C60F9" w:rsidRDefault="005C60F9" w:rsidP="0078703F">
            <w:pPr>
              <w:spacing w:line="240" w:lineRule="auto"/>
              <w:jc w:val="center"/>
              <w:rPr>
                <w:rFonts w:eastAsia="Times New Roman" w:cstheme="minorHAnsi"/>
                <w:b/>
                <w:bCs/>
                <w:color w:val="000000"/>
                <w:sz w:val="18"/>
                <w:szCs w:val="18"/>
                <w:lang w:eastAsia="es-MX"/>
              </w:rPr>
            </w:pPr>
            <w:r w:rsidRPr="008C72D8">
              <w:rPr>
                <w:rFonts w:eastAsia="Times New Roman" w:cstheme="minorHAnsi"/>
                <w:b/>
                <w:bCs/>
                <w:color w:val="000000"/>
                <w:sz w:val="18"/>
                <w:szCs w:val="18"/>
                <w:lang w:eastAsia="es-MX"/>
              </w:rPr>
              <w:t>Financiamiento de la industria</w:t>
            </w:r>
          </w:p>
        </w:tc>
        <w:tc>
          <w:tcPr>
            <w:tcW w:w="121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8B0F1C2" w14:textId="1B90D7EA" w:rsidR="005C60F9" w:rsidRPr="005C60F9" w:rsidRDefault="005C60F9" w:rsidP="0078703F">
            <w:pPr>
              <w:spacing w:line="240" w:lineRule="auto"/>
              <w:jc w:val="center"/>
              <w:rPr>
                <w:rFonts w:eastAsia="Times New Roman" w:cstheme="minorHAnsi"/>
                <w:b/>
                <w:bCs/>
                <w:color w:val="000000"/>
                <w:sz w:val="18"/>
                <w:szCs w:val="18"/>
                <w:lang w:eastAsia="es-MX"/>
              </w:rPr>
            </w:pPr>
            <w:r w:rsidRPr="005C60F9">
              <w:rPr>
                <w:rFonts w:eastAsia="Times New Roman" w:cstheme="minorHAnsi"/>
                <w:b/>
                <w:bCs/>
                <w:color w:val="000000"/>
                <w:sz w:val="18"/>
                <w:szCs w:val="18"/>
                <w:lang w:eastAsia="es-MX"/>
              </w:rPr>
              <w:t>Perspectiva internacional</w:t>
            </w:r>
          </w:p>
        </w:tc>
      </w:tr>
      <w:tr w:rsidR="005C60F9" w:rsidRPr="008C72D8" w14:paraId="51C5CF03" w14:textId="77777777" w:rsidTr="005C60F9">
        <w:trPr>
          <w:trHeight w:val="260"/>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A0F35B" w14:textId="77777777" w:rsidR="005C60F9" w:rsidRPr="005C60F9" w:rsidRDefault="005C60F9" w:rsidP="0078703F">
            <w:pPr>
              <w:spacing w:line="240" w:lineRule="auto"/>
              <w:rPr>
                <w:rFonts w:eastAsia="Times New Roman" w:cstheme="minorHAnsi"/>
                <w:color w:val="000000"/>
                <w:sz w:val="18"/>
                <w:szCs w:val="18"/>
                <w:lang w:eastAsia="es-MX"/>
              </w:rPr>
            </w:pPr>
            <w:r w:rsidRPr="005C60F9">
              <w:rPr>
                <w:rFonts w:eastAsia="Times New Roman" w:cstheme="minorHAnsi"/>
                <w:color w:val="000000"/>
                <w:sz w:val="18"/>
                <w:szCs w:val="18"/>
                <w:lang w:eastAsia="es-MX"/>
              </w:rPr>
              <w:t>Artes y Humanidades</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3A4A76E"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40.4–45.1</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EB7D15F"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44.2</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CE7FC02"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38.8</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ABBB20A"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31.1</w:t>
            </w:r>
          </w:p>
        </w:tc>
        <w:tc>
          <w:tcPr>
            <w:tcW w:w="12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DAA1741"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98.9</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14AE87D"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44.4</w:t>
            </w:r>
          </w:p>
        </w:tc>
      </w:tr>
      <w:tr w:rsidR="005C60F9" w:rsidRPr="008C72D8" w14:paraId="67C2AC4A" w14:textId="77777777" w:rsidTr="005C60F9">
        <w:trPr>
          <w:trHeight w:val="260"/>
        </w:trPr>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2CA38A7F" w14:textId="77777777" w:rsidR="005C60F9" w:rsidRPr="005C60F9" w:rsidRDefault="005C60F9" w:rsidP="0078703F">
            <w:pPr>
              <w:spacing w:line="240" w:lineRule="auto"/>
              <w:rPr>
                <w:rFonts w:eastAsia="Times New Roman" w:cstheme="minorHAnsi"/>
                <w:color w:val="000000"/>
                <w:sz w:val="18"/>
                <w:szCs w:val="18"/>
                <w:lang w:eastAsia="es-MX"/>
              </w:rPr>
            </w:pPr>
            <w:r w:rsidRPr="005C60F9">
              <w:rPr>
                <w:rFonts w:eastAsia="Times New Roman" w:cstheme="minorHAnsi"/>
                <w:color w:val="000000"/>
                <w:sz w:val="18"/>
                <w:szCs w:val="18"/>
                <w:lang w:eastAsia="es-MX"/>
              </w:rPr>
              <w:t>Derecho</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904ECE7"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34.8–39.2</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D010752"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27.9</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5B82D7D6"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75.7</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459F211B"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43.1</w:t>
            </w:r>
          </w:p>
        </w:tc>
        <w:tc>
          <w:tcPr>
            <w:tcW w:w="1295"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4C5E606"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49.2</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37162628"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17.6</w:t>
            </w:r>
          </w:p>
        </w:tc>
      </w:tr>
      <w:tr w:rsidR="005C60F9" w:rsidRPr="008C72D8" w14:paraId="48877833" w14:textId="77777777" w:rsidTr="005C60F9">
        <w:trPr>
          <w:trHeight w:val="260"/>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5871F8" w14:textId="77777777" w:rsidR="005C60F9" w:rsidRPr="005C60F9" w:rsidRDefault="005C60F9" w:rsidP="0078703F">
            <w:pPr>
              <w:spacing w:line="240" w:lineRule="auto"/>
              <w:rPr>
                <w:rFonts w:eastAsia="Times New Roman" w:cstheme="minorHAnsi"/>
                <w:color w:val="000000"/>
                <w:sz w:val="18"/>
                <w:szCs w:val="18"/>
                <w:lang w:eastAsia="es-MX"/>
              </w:rPr>
            </w:pPr>
            <w:r w:rsidRPr="005C60F9">
              <w:rPr>
                <w:rFonts w:eastAsia="Times New Roman" w:cstheme="minorHAnsi"/>
                <w:color w:val="000000"/>
                <w:sz w:val="18"/>
                <w:szCs w:val="18"/>
                <w:lang w:eastAsia="es-MX"/>
              </w:rPr>
              <w:t>Educación</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618FDD4"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39.8–42.4</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7CE737A"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49.2</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630D169"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86.9</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9DE648F"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44.2</w:t>
            </w:r>
          </w:p>
        </w:tc>
        <w:tc>
          <w:tcPr>
            <w:tcW w:w="12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3C4C3BA"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58</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E95811F"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17.4</w:t>
            </w:r>
          </w:p>
        </w:tc>
      </w:tr>
      <w:tr w:rsidR="005C60F9" w:rsidRPr="008C72D8" w14:paraId="38C0702D" w14:textId="77777777" w:rsidTr="005C60F9">
        <w:trPr>
          <w:trHeight w:val="260"/>
        </w:trPr>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101B12C6" w14:textId="77777777" w:rsidR="005C60F9" w:rsidRPr="005C60F9" w:rsidRDefault="005C60F9" w:rsidP="0078703F">
            <w:pPr>
              <w:spacing w:line="240" w:lineRule="auto"/>
              <w:rPr>
                <w:rFonts w:eastAsia="Times New Roman" w:cstheme="minorHAnsi"/>
                <w:color w:val="000000"/>
                <w:sz w:val="18"/>
                <w:szCs w:val="18"/>
                <w:lang w:eastAsia="es-MX"/>
              </w:rPr>
            </w:pPr>
            <w:r w:rsidRPr="005C60F9">
              <w:rPr>
                <w:rFonts w:eastAsia="Times New Roman" w:cstheme="minorHAnsi"/>
                <w:color w:val="000000"/>
                <w:sz w:val="18"/>
                <w:szCs w:val="18"/>
                <w:lang w:eastAsia="es-MX"/>
              </w:rPr>
              <w:t>Ciencias Sociales</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79ABEC06"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30.0–34.6</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538AA7ED"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37.7</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95911C8"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28.2</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390BE19A"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24.9</w:t>
            </w:r>
          </w:p>
        </w:tc>
        <w:tc>
          <w:tcPr>
            <w:tcW w:w="1295"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7DA906A"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88.4</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36E2E037"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42.6</w:t>
            </w:r>
          </w:p>
        </w:tc>
      </w:tr>
      <w:tr w:rsidR="005C60F9" w:rsidRPr="008C72D8" w14:paraId="652DC01D" w14:textId="77777777" w:rsidTr="005C60F9">
        <w:trPr>
          <w:trHeight w:val="260"/>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9C5227" w14:textId="77777777" w:rsidR="005C60F9" w:rsidRPr="005C60F9" w:rsidRDefault="005C60F9" w:rsidP="0078703F">
            <w:pPr>
              <w:spacing w:line="240" w:lineRule="auto"/>
              <w:rPr>
                <w:rFonts w:eastAsia="Times New Roman" w:cstheme="minorHAnsi"/>
                <w:color w:val="000000"/>
                <w:sz w:val="18"/>
                <w:szCs w:val="18"/>
                <w:lang w:eastAsia="es-MX"/>
              </w:rPr>
            </w:pPr>
            <w:r w:rsidRPr="005C60F9">
              <w:rPr>
                <w:rFonts w:eastAsia="Times New Roman" w:cstheme="minorHAnsi"/>
                <w:color w:val="000000"/>
                <w:sz w:val="18"/>
                <w:szCs w:val="18"/>
                <w:lang w:eastAsia="es-MX"/>
              </w:rPr>
              <w:t>Psicología</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D0879EA"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28.6–33.9</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939AE06"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31.7</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4D5CF81"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51.4</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98671F7"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38.8</w:t>
            </w:r>
          </w:p>
        </w:tc>
        <w:tc>
          <w:tcPr>
            <w:tcW w:w="12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5CECC00"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25.1</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974E97B"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29.1</w:t>
            </w:r>
          </w:p>
        </w:tc>
      </w:tr>
      <w:tr w:rsidR="005C60F9" w:rsidRPr="008C72D8" w14:paraId="02923B29" w14:textId="77777777" w:rsidTr="005C60F9">
        <w:trPr>
          <w:trHeight w:val="260"/>
        </w:trPr>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27300DBA" w14:textId="77777777" w:rsidR="005C60F9" w:rsidRPr="005C60F9" w:rsidRDefault="005C60F9" w:rsidP="0078703F">
            <w:pPr>
              <w:spacing w:line="240" w:lineRule="auto"/>
              <w:rPr>
                <w:rFonts w:eastAsia="Times New Roman" w:cstheme="minorHAnsi"/>
                <w:color w:val="000000"/>
                <w:sz w:val="18"/>
                <w:szCs w:val="18"/>
                <w:lang w:eastAsia="es-MX"/>
              </w:rPr>
            </w:pPr>
            <w:r w:rsidRPr="005C60F9">
              <w:rPr>
                <w:rFonts w:eastAsia="Times New Roman" w:cstheme="minorHAnsi"/>
                <w:color w:val="000000"/>
                <w:sz w:val="18"/>
                <w:szCs w:val="18"/>
                <w:lang w:eastAsia="es-MX"/>
              </w:rPr>
              <w:t>Clínica, Pre-Clínica y Salud</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798B4F57"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29.2–32.3</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706FB457"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28.9</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86651A3"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23.8</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5856A092"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35.2</w:t>
            </w:r>
          </w:p>
        </w:tc>
        <w:tc>
          <w:tcPr>
            <w:tcW w:w="1295"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E5AF063"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44.1</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51C4B64B"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31.5</w:t>
            </w:r>
          </w:p>
        </w:tc>
      </w:tr>
      <w:tr w:rsidR="005C60F9" w:rsidRPr="008C72D8" w14:paraId="12C7B91C" w14:textId="77777777" w:rsidTr="005C60F9">
        <w:trPr>
          <w:trHeight w:val="260"/>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F43430" w14:textId="77777777" w:rsidR="005C60F9" w:rsidRPr="005C60F9" w:rsidRDefault="005C60F9" w:rsidP="0078703F">
            <w:pPr>
              <w:spacing w:line="240" w:lineRule="auto"/>
              <w:rPr>
                <w:rFonts w:eastAsia="Times New Roman" w:cstheme="minorHAnsi"/>
                <w:color w:val="000000"/>
                <w:sz w:val="18"/>
                <w:szCs w:val="18"/>
                <w:lang w:eastAsia="es-MX"/>
              </w:rPr>
            </w:pPr>
            <w:r w:rsidRPr="005C60F9">
              <w:rPr>
                <w:rFonts w:eastAsia="Times New Roman" w:cstheme="minorHAnsi"/>
                <w:color w:val="000000"/>
                <w:sz w:val="18"/>
                <w:szCs w:val="18"/>
                <w:lang w:eastAsia="es-MX"/>
              </w:rPr>
              <w:t>Ciencias de la Vida</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982FA4B"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23.3–29.5</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0C8EC74"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32.1</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7241CD8"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28.1</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F736A4D"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22.9</w:t>
            </w:r>
          </w:p>
        </w:tc>
        <w:tc>
          <w:tcPr>
            <w:tcW w:w="12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9C1F207"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69.9</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06EB94D"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42.5</w:t>
            </w:r>
          </w:p>
        </w:tc>
      </w:tr>
      <w:tr w:rsidR="005C60F9" w:rsidRPr="008C72D8" w14:paraId="697EABFD" w14:textId="77777777" w:rsidTr="005C60F9">
        <w:trPr>
          <w:trHeight w:val="260"/>
        </w:trPr>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13151D7F" w14:textId="77777777" w:rsidR="005C60F9" w:rsidRPr="005C60F9" w:rsidRDefault="005C60F9" w:rsidP="0078703F">
            <w:pPr>
              <w:spacing w:line="240" w:lineRule="auto"/>
              <w:rPr>
                <w:rFonts w:eastAsia="Times New Roman" w:cstheme="minorHAnsi"/>
                <w:color w:val="000000"/>
                <w:sz w:val="18"/>
                <w:szCs w:val="18"/>
                <w:lang w:eastAsia="es-MX"/>
              </w:rPr>
            </w:pPr>
            <w:r w:rsidRPr="005C60F9">
              <w:rPr>
                <w:rFonts w:eastAsia="Times New Roman" w:cstheme="minorHAnsi"/>
                <w:color w:val="000000"/>
                <w:sz w:val="18"/>
                <w:szCs w:val="18"/>
                <w:lang w:eastAsia="es-MX"/>
              </w:rPr>
              <w:t>Negocios y Economía</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2C195F10"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9.8–24.6</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460BF0E"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17</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E8E588C"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15.5</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5E7D23E"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17.5</w:t>
            </w:r>
          </w:p>
        </w:tc>
        <w:tc>
          <w:tcPr>
            <w:tcW w:w="1295"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9797735"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65.6</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3DEE833"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19.7</w:t>
            </w:r>
          </w:p>
        </w:tc>
      </w:tr>
      <w:tr w:rsidR="005C60F9" w:rsidRPr="008C72D8" w14:paraId="73A3B07C" w14:textId="77777777" w:rsidTr="005C60F9">
        <w:trPr>
          <w:trHeight w:val="260"/>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990358" w14:textId="77777777" w:rsidR="005C60F9" w:rsidRPr="005C60F9" w:rsidRDefault="005C60F9" w:rsidP="0078703F">
            <w:pPr>
              <w:spacing w:line="240" w:lineRule="auto"/>
              <w:rPr>
                <w:rFonts w:eastAsia="Times New Roman" w:cstheme="minorHAnsi"/>
                <w:color w:val="000000"/>
                <w:sz w:val="18"/>
                <w:szCs w:val="18"/>
                <w:lang w:eastAsia="es-MX"/>
              </w:rPr>
            </w:pPr>
            <w:r w:rsidRPr="005C60F9">
              <w:rPr>
                <w:rFonts w:eastAsia="Times New Roman" w:cstheme="minorHAnsi"/>
                <w:color w:val="000000"/>
                <w:sz w:val="18"/>
                <w:szCs w:val="18"/>
                <w:lang w:eastAsia="es-MX"/>
              </w:rPr>
              <w:t>Ciencias Físicas</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8221929"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20.5–30.0</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F2C4410"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26.2</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03BF18D"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23.1</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6AEA2F6"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27.8</w:t>
            </w:r>
          </w:p>
        </w:tc>
        <w:tc>
          <w:tcPr>
            <w:tcW w:w="12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4AE9135"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94.5</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8056FED"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53.7</w:t>
            </w:r>
          </w:p>
        </w:tc>
      </w:tr>
      <w:tr w:rsidR="005C60F9" w:rsidRPr="008C72D8" w14:paraId="49D678C7" w14:textId="77777777" w:rsidTr="005C60F9">
        <w:trPr>
          <w:trHeight w:val="260"/>
        </w:trPr>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69B679A2" w14:textId="77777777" w:rsidR="005C60F9" w:rsidRPr="005C60F9" w:rsidRDefault="005C60F9" w:rsidP="0078703F">
            <w:pPr>
              <w:spacing w:line="240" w:lineRule="auto"/>
              <w:rPr>
                <w:rFonts w:eastAsia="Times New Roman" w:cstheme="minorHAnsi"/>
                <w:color w:val="000000"/>
                <w:sz w:val="18"/>
                <w:szCs w:val="18"/>
                <w:lang w:eastAsia="es-MX"/>
              </w:rPr>
            </w:pPr>
            <w:r w:rsidRPr="005C60F9">
              <w:rPr>
                <w:rFonts w:eastAsia="Times New Roman" w:cstheme="minorHAnsi"/>
                <w:color w:val="000000"/>
                <w:sz w:val="18"/>
                <w:szCs w:val="18"/>
                <w:lang w:eastAsia="es-MX"/>
              </w:rPr>
              <w:t>Ingeniería y Tecnología</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8652DF8"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18.5–26.8</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7CA14F11"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21.2</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5363466C"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17.9</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229171D5"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16.4</w:t>
            </w:r>
          </w:p>
        </w:tc>
        <w:tc>
          <w:tcPr>
            <w:tcW w:w="1295"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40C8AEA1"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63.4</w:t>
            </w:r>
          </w:p>
        </w:tc>
        <w:tc>
          <w:tcPr>
            <w:tcW w:w="12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DE01D71"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42.3</w:t>
            </w:r>
          </w:p>
        </w:tc>
      </w:tr>
      <w:tr w:rsidR="005C60F9" w:rsidRPr="008C72D8" w14:paraId="41AB9F7A" w14:textId="77777777" w:rsidTr="005C60F9">
        <w:trPr>
          <w:trHeight w:val="260"/>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E44688" w14:textId="77777777" w:rsidR="005C60F9" w:rsidRPr="005C60F9" w:rsidRDefault="005C60F9" w:rsidP="0078703F">
            <w:pPr>
              <w:spacing w:line="240" w:lineRule="auto"/>
              <w:rPr>
                <w:rFonts w:eastAsia="Times New Roman" w:cstheme="minorHAnsi"/>
                <w:color w:val="000000"/>
                <w:sz w:val="18"/>
                <w:szCs w:val="18"/>
                <w:lang w:eastAsia="es-MX"/>
              </w:rPr>
            </w:pPr>
            <w:r w:rsidRPr="005C60F9">
              <w:rPr>
                <w:rFonts w:eastAsia="Times New Roman" w:cstheme="minorHAnsi"/>
                <w:color w:val="000000"/>
                <w:sz w:val="18"/>
                <w:szCs w:val="18"/>
                <w:lang w:eastAsia="es-MX"/>
              </w:rPr>
              <w:t>Ciencias de la Computación</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77299E3"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11.2–23.4</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2866211"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23.3</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86D26C1"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12.9</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E748843"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20.6</w:t>
            </w:r>
          </w:p>
        </w:tc>
        <w:tc>
          <w:tcPr>
            <w:tcW w:w="12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79C5D7C"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53.5</w:t>
            </w:r>
          </w:p>
        </w:tc>
        <w:tc>
          <w:tcPr>
            <w:tcW w:w="121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4BB54A9" w14:textId="77777777" w:rsidR="005C60F9" w:rsidRPr="005C60F9" w:rsidRDefault="005C60F9" w:rsidP="0078703F">
            <w:pPr>
              <w:spacing w:line="240" w:lineRule="auto"/>
              <w:jc w:val="center"/>
              <w:rPr>
                <w:rFonts w:eastAsia="Times New Roman" w:cstheme="minorHAnsi"/>
                <w:color w:val="000000"/>
                <w:sz w:val="18"/>
                <w:szCs w:val="18"/>
                <w:lang w:eastAsia="es-MX"/>
              </w:rPr>
            </w:pPr>
            <w:r w:rsidRPr="005C60F9">
              <w:rPr>
                <w:rFonts w:eastAsia="Times New Roman" w:cstheme="minorHAnsi"/>
                <w:color w:val="000000"/>
                <w:sz w:val="18"/>
                <w:szCs w:val="18"/>
                <w:lang w:eastAsia="es-MX"/>
              </w:rPr>
              <w:t>40.8</w:t>
            </w:r>
          </w:p>
        </w:tc>
      </w:tr>
      <w:tr w:rsidR="005C60F9" w:rsidRPr="005C60F9" w14:paraId="5902EF79" w14:textId="77777777" w:rsidTr="005C60F9">
        <w:trPr>
          <w:trHeight w:val="60"/>
        </w:trPr>
        <w:tc>
          <w:tcPr>
            <w:tcW w:w="9770" w:type="dxa"/>
            <w:gridSpan w:val="7"/>
            <w:tcBorders>
              <w:top w:val="single" w:sz="4" w:space="0" w:color="auto"/>
            </w:tcBorders>
            <w:shd w:val="clear" w:color="auto" w:fill="auto"/>
            <w:noWrap/>
            <w:vAlign w:val="bottom"/>
          </w:tcPr>
          <w:p w14:paraId="5FC9BA74" w14:textId="6B275DE4" w:rsidR="005C60F9" w:rsidRPr="005C60F9" w:rsidRDefault="005C60F9" w:rsidP="0078703F">
            <w:pPr>
              <w:spacing w:line="240" w:lineRule="auto"/>
              <w:rPr>
                <w:rFonts w:eastAsia="Times New Roman" w:cstheme="minorHAnsi"/>
                <w:color w:val="000000"/>
                <w:sz w:val="18"/>
                <w:szCs w:val="18"/>
                <w:lang w:eastAsia="es-MX"/>
              </w:rPr>
            </w:pPr>
            <w:r w:rsidRPr="008C72D8">
              <w:rPr>
                <w:rFonts w:ascii="Calibri" w:eastAsia="Times New Roman" w:hAnsi="Calibri" w:cs="Calibri"/>
                <w:color w:val="000000"/>
                <w:sz w:val="14"/>
                <w:szCs w:val="18"/>
                <w:lang w:eastAsia="es-MX"/>
              </w:rPr>
              <w:t>* Ordenado por la posición obtenida en 2020, por áreas del conocimiento.</w:t>
            </w:r>
          </w:p>
        </w:tc>
      </w:tr>
    </w:tbl>
    <w:p w14:paraId="5EB38998" w14:textId="77777777" w:rsidR="005C60F9" w:rsidRDefault="005C60F9" w:rsidP="0078703F">
      <w:pPr>
        <w:spacing w:line="240" w:lineRule="auto"/>
        <w:jc w:val="both"/>
        <w:rPr>
          <w:sz w:val="24"/>
        </w:rPr>
      </w:pPr>
      <w:bookmarkStart w:id="0" w:name="_GoBack"/>
      <w:bookmarkEnd w:id="0"/>
    </w:p>
    <w:sectPr w:rsidR="005C60F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9564B" w14:textId="77777777" w:rsidR="0086178E" w:rsidRDefault="0086178E" w:rsidP="008A3771">
      <w:pPr>
        <w:spacing w:line="240" w:lineRule="auto"/>
      </w:pPr>
      <w:r>
        <w:separator/>
      </w:r>
    </w:p>
  </w:endnote>
  <w:endnote w:type="continuationSeparator" w:id="0">
    <w:p w14:paraId="16533689" w14:textId="77777777" w:rsidR="0086178E" w:rsidRDefault="0086178E" w:rsidP="008A37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379F5" w14:textId="77777777" w:rsidR="0086178E" w:rsidRDefault="0086178E" w:rsidP="008A3771">
      <w:pPr>
        <w:spacing w:line="240" w:lineRule="auto"/>
      </w:pPr>
      <w:r>
        <w:separator/>
      </w:r>
    </w:p>
  </w:footnote>
  <w:footnote w:type="continuationSeparator" w:id="0">
    <w:p w14:paraId="4FE7C6A3" w14:textId="77777777" w:rsidR="0086178E" w:rsidRDefault="0086178E" w:rsidP="008A37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3DC"/>
    <w:multiLevelType w:val="hybridMultilevel"/>
    <w:tmpl w:val="F1E21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9D4397"/>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003BB9"/>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365640"/>
    <w:multiLevelType w:val="hybridMultilevel"/>
    <w:tmpl w:val="308250D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BAA38C8"/>
    <w:multiLevelType w:val="hybridMultilevel"/>
    <w:tmpl w:val="CAFA8CDA"/>
    <w:lvl w:ilvl="0" w:tplc="0F3CACBC">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A6783C"/>
    <w:multiLevelType w:val="hybridMultilevel"/>
    <w:tmpl w:val="4672ECDE"/>
    <w:lvl w:ilvl="0" w:tplc="080A000F">
      <w:start w:val="1"/>
      <w:numFmt w:val="decimal"/>
      <w:lvlText w:val="%1."/>
      <w:lvlJc w:val="left"/>
      <w:pPr>
        <w:ind w:left="1776" w:hanging="360"/>
      </w:pPr>
      <w:rPr>
        <w:rFonts w:hint="default"/>
      </w:r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1AF5602A"/>
    <w:multiLevelType w:val="hybridMultilevel"/>
    <w:tmpl w:val="198C8D38"/>
    <w:lvl w:ilvl="0" w:tplc="386A9FBE">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8977F0"/>
    <w:multiLevelType w:val="hybridMultilevel"/>
    <w:tmpl w:val="EB00DBD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15:restartNumberingAfterBreak="0">
    <w:nsid w:val="2BAE5B69"/>
    <w:multiLevelType w:val="hybridMultilevel"/>
    <w:tmpl w:val="1A7EDA7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30A4F65"/>
    <w:multiLevelType w:val="hybridMultilevel"/>
    <w:tmpl w:val="59964D9E"/>
    <w:lvl w:ilvl="0" w:tplc="080A0001">
      <w:start w:val="1"/>
      <w:numFmt w:val="bullet"/>
      <w:lvlText w:val=""/>
      <w:lvlJc w:val="left"/>
      <w:pPr>
        <w:ind w:left="2880" w:hanging="360"/>
      </w:pPr>
      <w:rPr>
        <w:rFonts w:ascii="Symbol" w:hAnsi="Symbol" w:hint="default"/>
      </w:rPr>
    </w:lvl>
    <w:lvl w:ilvl="1" w:tplc="080A0003" w:tentative="1">
      <w:start w:val="1"/>
      <w:numFmt w:val="bullet"/>
      <w:lvlText w:val="o"/>
      <w:lvlJc w:val="left"/>
      <w:pPr>
        <w:ind w:left="3600" w:hanging="360"/>
      </w:pPr>
      <w:rPr>
        <w:rFonts w:ascii="Courier New" w:hAnsi="Courier New" w:cs="Courier New" w:hint="default"/>
      </w:rPr>
    </w:lvl>
    <w:lvl w:ilvl="2" w:tplc="080A0005" w:tentative="1">
      <w:start w:val="1"/>
      <w:numFmt w:val="bullet"/>
      <w:lvlText w:val=""/>
      <w:lvlJc w:val="left"/>
      <w:pPr>
        <w:ind w:left="4320" w:hanging="360"/>
      </w:pPr>
      <w:rPr>
        <w:rFonts w:ascii="Wingdings" w:hAnsi="Wingdings" w:hint="default"/>
      </w:rPr>
    </w:lvl>
    <w:lvl w:ilvl="3" w:tplc="080A0001" w:tentative="1">
      <w:start w:val="1"/>
      <w:numFmt w:val="bullet"/>
      <w:lvlText w:val=""/>
      <w:lvlJc w:val="left"/>
      <w:pPr>
        <w:ind w:left="5040" w:hanging="360"/>
      </w:pPr>
      <w:rPr>
        <w:rFonts w:ascii="Symbol" w:hAnsi="Symbol" w:hint="default"/>
      </w:rPr>
    </w:lvl>
    <w:lvl w:ilvl="4" w:tplc="080A0003" w:tentative="1">
      <w:start w:val="1"/>
      <w:numFmt w:val="bullet"/>
      <w:lvlText w:val="o"/>
      <w:lvlJc w:val="left"/>
      <w:pPr>
        <w:ind w:left="5760" w:hanging="360"/>
      </w:pPr>
      <w:rPr>
        <w:rFonts w:ascii="Courier New" w:hAnsi="Courier New" w:cs="Courier New" w:hint="default"/>
      </w:rPr>
    </w:lvl>
    <w:lvl w:ilvl="5" w:tplc="080A0005" w:tentative="1">
      <w:start w:val="1"/>
      <w:numFmt w:val="bullet"/>
      <w:lvlText w:val=""/>
      <w:lvlJc w:val="left"/>
      <w:pPr>
        <w:ind w:left="6480" w:hanging="360"/>
      </w:pPr>
      <w:rPr>
        <w:rFonts w:ascii="Wingdings" w:hAnsi="Wingdings" w:hint="default"/>
      </w:rPr>
    </w:lvl>
    <w:lvl w:ilvl="6" w:tplc="080A0001" w:tentative="1">
      <w:start w:val="1"/>
      <w:numFmt w:val="bullet"/>
      <w:lvlText w:val=""/>
      <w:lvlJc w:val="left"/>
      <w:pPr>
        <w:ind w:left="7200" w:hanging="360"/>
      </w:pPr>
      <w:rPr>
        <w:rFonts w:ascii="Symbol" w:hAnsi="Symbol" w:hint="default"/>
      </w:rPr>
    </w:lvl>
    <w:lvl w:ilvl="7" w:tplc="080A0003" w:tentative="1">
      <w:start w:val="1"/>
      <w:numFmt w:val="bullet"/>
      <w:lvlText w:val="o"/>
      <w:lvlJc w:val="left"/>
      <w:pPr>
        <w:ind w:left="7920" w:hanging="360"/>
      </w:pPr>
      <w:rPr>
        <w:rFonts w:ascii="Courier New" w:hAnsi="Courier New" w:cs="Courier New" w:hint="default"/>
      </w:rPr>
    </w:lvl>
    <w:lvl w:ilvl="8" w:tplc="080A0005" w:tentative="1">
      <w:start w:val="1"/>
      <w:numFmt w:val="bullet"/>
      <w:lvlText w:val=""/>
      <w:lvlJc w:val="left"/>
      <w:pPr>
        <w:ind w:left="8640" w:hanging="360"/>
      </w:pPr>
      <w:rPr>
        <w:rFonts w:ascii="Wingdings" w:hAnsi="Wingdings" w:hint="default"/>
      </w:rPr>
    </w:lvl>
  </w:abstractNum>
  <w:abstractNum w:abstractNumId="10" w15:restartNumberingAfterBreak="0">
    <w:nsid w:val="36454369"/>
    <w:multiLevelType w:val="hybridMultilevel"/>
    <w:tmpl w:val="A516CDD8"/>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7167EFB"/>
    <w:multiLevelType w:val="hybridMultilevel"/>
    <w:tmpl w:val="471A4054"/>
    <w:lvl w:ilvl="0" w:tplc="386A9FBE">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F36934"/>
    <w:multiLevelType w:val="hybridMultilevel"/>
    <w:tmpl w:val="91D89B0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3B82ADB"/>
    <w:multiLevelType w:val="hybridMultilevel"/>
    <w:tmpl w:val="8A5C77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44523BB7"/>
    <w:multiLevelType w:val="hybridMultilevel"/>
    <w:tmpl w:val="59245686"/>
    <w:lvl w:ilvl="0" w:tplc="386A9FBE">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9538B7"/>
    <w:multiLevelType w:val="hybridMultilevel"/>
    <w:tmpl w:val="F1E21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B226BD6"/>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91715E"/>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CA76FF"/>
    <w:multiLevelType w:val="hybridMultilevel"/>
    <w:tmpl w:val="C9E4A7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1D6A16"/>
    <w:multiLevelType w:val="hybridMultilevel"/>
    <w:tmpl w:val="762255C4"/>
    <w:lvl w:ilvl="0" w:tplc="386A9FBE">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C84BD2"/>
    <w:multiLevelType w:val="hybridMultilevel"/>
    <w:tmpl w:val="DCA075F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73012D81"/>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137955"/>
    <w:multiLevelType w:val="hybridMultilevel"/>
    <w:tmpl w:val="2C7E4562"/>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3" w15:restartNumberingAfterBreak="0">
    <w:nsid w:val="792A0070"/>
    <w:multiLevelType w:val="hybridMultilevel"/>
    <w:tmpl w:val="F1E21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124999"/>
    <w:multiLevelType w:val="hybridMultilevel"/>
    <w:tmpl w:val="CCDE0C24"/>
    <w:lvl w:ilvl="0" w:tplc="386A9FBE">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20"/>
  </w:num>
  <w:num w:numId="3">
    <w:abstractNumId w:val="7"/>
  </w:num>
  <w:num w:numId="4">
    <w:abstractNumId w:val="12"/>
  </w:num>
  <w:num w:numId="5">
    <w:abstractNumId w:val="10"/>
  </w:num>
  <w:num w:numId="6">
    <w:abstractNumId w:val="15"/>
  </w:num>
  <w:num w:numId="7">
    <w:abstractNumId w:val="5"/>
  </w:num>
  <w:num w:numId="8">
    <w:abstractNumId w:val="3"/>
  </w:num>
  <w:num w:numId="9">
    <w:abstractNumId w:val="22"/>
  </w:num>
  <w:num w:numId="10">
    <w:abstractNumId w:val="23"/>
  </w:num>
  <w:num w:numId="11">
    <w:abstractNumId w:val="0"/>
  </w:num>
  <w:num w:numId="12">
    <w:abstractNumId w:val="17"/>
  </w:num>
  <w:num w:numId="13">
    <w:abstractNumId w:val="11"/>
  </w:num>
  <w:num w:numId="14">
    <w:abstractNumId w:val="8"/>
  </w:num>
  <w:num w:numId="15">
    <w:abstractNumId w:val="13"/>
  </w:num>
  <w:num w:numId="16">
    <w:abstractNumId w:val="4"/>
  </w:num>
  <w:num w:numId="17">
    <w:abstractNumId w:val="16"/>
  </w:num>
  <w:num w:numId="18">
    <w:abstractNumId w:val="1"/>
  </w:num>
  <w:num w:numId="19">
    <w:abstractNumId w:val="2"/>
  </w:num>
  <w:num w:numId="20">
    <w:abstractNumId w:val="21"/>
  </w:num>
  <w:num w:numId="21">
    <w:abstractNumId w:val="18"/>
  </w:num>
  <w:num w:numId="22">
    <w:abstractNumId w:val="19"/>
  </w:num>
  <w:num w:numId="23">
    <w:abstractNumId w:val="14"/>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87"/>
    <w:rsid w:val="00020057"/>
    <w:rsid w:val="00021108"/>
    <w:rsid w:val="00022797"/>
    <w:rsid w:val="00033DBE"/>
    <w:rsid w:val="00037DAC"/>
    <w:rsid w:val="0004030C"/>
    <w:rsid w:val="00041D71"/>
    <w:rsid w:val="00043F82"/>
    <w:rsid w:val="00056BA6"/>
    <w:rsid w:val="00057B8F"/>
    <w:rsid w:val="00061E1F"/>
    <w:rsid w:val="00073F6F"/>
    <w:rsid w:val="00074F01"/>
    <w:rsid w:val="00074F2B"/>
    <w:rsid w:val="00080ACB"/>
    <w:rsid w:val="00095E29"/>
    <w:rsid w:val="00095FEE"/>
    <w:rsid w:val="000A1862"/>
    <w:rsid w:val="000A62C9"/>
    <w:rsid w:val="000B3CEF"/>
    <w:rsid w:val="000B56FF"/>
    <w:rsid w:val="000B75AF"/>
    <w:rsid w:val="000C3D13"/>
    <w:rsid w:val="000C6A1B"/>
    <w:rsid w:val="000D0015"/>
    <w:rsid w:val="000E7136"/>
    <w:rsid w:val="000F054A"/>
    <w:rsid w:val="000F0E83"/>
    <w:rsid w:val="000F6054"/>
    <w:rsid w:val="001011BD"/>
    <w:rsid w:val="0011183D"/>
    <w:rsid w:val="00114D13"/>
    <w:rsid w:val="001216D6"/>
    <w:rsid w:val="00121ECB"/>
    <w:rsid w:val="001247D2"/>
    <w:rsid w:val="00135A7C"/>
    <w:rsid w:val="001416AF"/>
    <w:rsid w:val="00143D31"/>
    <w:rsid w:val="001511A2"/>
    <w:rsid w:val="00153214"/>
    <w:rsid w:val="00160CA2"/>
    <w:rsid w:val="001718E6"/>
    <w:rsid w:val="00176F02"/>
    <w:rsid w:val="001823FA"/>
    <w:rsid w:val="00182EA8"/>
    <w:rsid w:val="00183CB5"/>
    <w:rsid w:val="001853FC"/>
    <w:rsid w:val="00187675"/>
    <w:rsid w:val="00193D13"/>
    <w:rsid w:val="00195F1A"/>
    <w:rsid w:val="00197C4B"/>
    <w:rsid w:val="001A286B"/>
    <w:rsid w:val="001A5A27"/>
    <w:rsid w:val="001A7CDB"/>
    <w:rsid w:val="001C2954"/>
    <w:rsid w:val="001C5260"/>
    <w:rsid w:val="001C6EB8"/>
    <w:rsid w:val="001D3CCF"/>
    <w:rsid w:val="001D4545"/>
    <w:rsid w:val="001D5EBD"/>
    <w:rsid w:val="001E004F"/>
    <w:rsid w:val="001E345D"/>
    <w:rsid w:val="001E3B47"/>
    <w:rsid w:val="001E3E33"/>
    <w:rsid w:val="001E50E9"/>
    <w:rsid w:val="001F34B8"/>
    <w:rsid w:val="001F507B"/>
    <w:rsid w:val="00200691"/>
    <w:rsid w:val="00200E0C"/>
    <w:rsid w:val="002062E7"/>
    <w:rsid w:val="002072EB"/>
    <w:rsid w:val="00210497"/>
    <w:rsid w:val="00213521"/>
    <w:rsid w:val="00216BFF"/>
    <w:rsid w:val="00216C99"/>
    <w:rsid w:val="002215D9"/>
    <w:rsid w:val="00230DB2"/>
    <w:rsid w:val="00231026"/>
    <w:rsid w:val="00236AB1"/>
    <w:rsid w:val="0024082E"/>
    <w:rsid w:val="00246D7A"/>
    <w:rsid w:val="00253754"/>
    <w:rsid w:val="00257087"/>
    <w:rsid w:val="0026150C"/>
    <w:rsid w:val="002620F6"/>
    <w:rsid w:val="00270C1A"/>
    <w:rsid w:val="0027594B"/>
    <w:rsid w:val="00286835"/>
    <w:rsid w:val="002871EB"/>
    <w:rsid w:val="00291132"/>
    <w:rsid w:val="002938AF"/>
    <w:rsid w:val="002A1E33"/>
    <w:rsid w:val="002B285D"/>
    <w:rsid w:val="002B2D2F"/>
    <w:rsid w:val="002B6314"/>
    <w:rsid w:val="002B705F"/>
    <w:rsid w:val="002C0542"/>
    <w:rsid w:val="002C0B59"/>
    <w:rsid w:val="002D04B0"/>
    <w:rsid w:val="002D2258"/>
    <w:rsid w:val="002D2F67"/>
    <w:rsid w:val="002E24B1"/>
    <w:rsid w:val="002E342B"/>
    <w:rsid w:val="002F1244"/>
    <w:rsid w:val="002F62AE"/>
    <w:rsid w:val="003002F8"/>
    <w:rsid w:val="003062D3"/>
    <w:rsid w:val="0031474A"/>
    <w:rsid w:val="003201C2"/>
    <w:rsid w:val="003215C3"/>
    <w:rsid w:val="0032392B"/>
    <w:rsid w:val="00325265"/>
    <w:rsid w:val="00335FEE"/>
    <w:rsid w:val="00340787"/>
    <w:rsid w:val="00343E9A"/>
    <w:rsid w:val="00344794"/>
    <w:rsid w:val="00350282"/>
    <w:rsid w:val="0035751C"/>
    <w:rsid w:val="00357C25"/>
    <w:rsid w:val="00357C5B"/>
    <w:rsid w:val="003613E0"/>
    <w:rsid w:val="00367D30"/>
    <w:rsid w:val="00373204"/>
    <w:rsid w:val="0037348B"/>
    <w:rsid w:val="00375109"/>
    <w:rsid w:val="003857A7"/>
    <w:rsid w:val="00385B7D"/>
    <w:rsid w:val="00396BBE"/>
    <w:rsid w:val="003970E6"/>
    <w:rsid w:val="003A1A80"/>
    <w:rsid w:val="003A1FA2"/>
    <w:rsid w:val="003C102E"/>
    <w:rsid w:val="003D17B4"/>
    <w:rsid w:val="003D4E0C"/>
    <w:rsid w:val="003E1861"/>
    <w:rsid w:val="00404126"/>
    <w:rsid w:val="00410E21"/>
    <w:rsid w:val="0041260E"/>
    <w:rsid w:val="00416C11"/>
    <w:rsid w:val="00416CC0"/>
    <w:rsid w:val="00424437"/>
    <w:rsid w:val="004245EE"/>
    <w:rsid w:val="00441D90"/>
    <w:rsid w:val="00465EE6"/>
    <w:rsid w:val="004660D3"/>
    <w:rsid w:val="00467DEF"/>
    <w:rsid w:val="004711CF"/>
    <w:rsid w:val="004744A4"/>
    <w:rsid w:val="00483664"/>
    <w:rsid w:val="00494054"/>
    <w:rsid w:val="004A1F03"/>
    <w:rsid w:val="004B4A0F"/>
    <w:rsid w:val="004C4943"/>
    <w:rsid w:val="004C4F5D"/>
    <w:rsid w:val="004D0D99"/>
    <w:rsid w:val="004D3A44"/>
    <w:rsid w:val="004D7D0E"/>
    <w:rsid w:val="004E1ADF"/>
    <w:rsid w:val="004F0722"/>
    <w:rsid w:val="004F61D3"/>
    <w:rsid w:val="00516B87"/>
    <w:rsid w:val="00520F40"/>
    <w:rsid w:val="00523F50"/>
    <w:rsid w:val="0052669D"/>
    <w:rsid w:val="005309EA"/>
    <w:rsid w:val="00536ABF"/>
    <w:rsid w:val="00540434"/>
    <w:rsid w:val="0054176F"/>
    <w:rsid w:val="005427A3"/>
    <w:rsid w:val="0054305B"/>
    <w:rsid w:val="005439E6"/>
    <w:rsid w:val="00550713"/>
    <w:rsid w:val="00556FA9"/>
    <w:rsid w:val="005612C8"/>
    <w:rsid w:val="00561A19"/>
    <w:rsid w:val="00567186"/>
    <w:rsid w:val="00570169"/>
    <w:rsid w:val="0057064A"/>
    <w:rsid w:val="00575FB7"/>
    <w:rsid w:val="00586586"/>
    <w:rsid w:val="00591CFE"/>
    <w:rsid w:val="00591E68"/>
    <w:rsid w:val="005A1ACE"/>
    <w:rsid w:val="005B3D9A"/>
    <w:rsid w:val="005B54F4"/>
    <w:rsid w:val="005B79EA"/>
    <w:rsid w:val="005C1159"/>
    <w:rsid w:val="005C60A8"/>
    <w:rsid w:val="005C60F9"/>
    <w:rsid w:val="005C6BF5"/>
    <w:rsid w:val="005C762D"/>
    <w:rsid w:val="005E02C6"/>
    <w:rsid w:val="005E27BD"/>
    <w:rsid w:val="005F7A8A"/>
    <w:rsid w:val="0060110E"/>
    <w:rsid w:val="006018B6"/>
    <w:rsid w:val="00602022"/>
    <w:rsid w:val="0060365B"/>
    <w:rsid w:val="006043DC"/>
    <w:rsid w:val="0060699F"/>
    <w:rsid w:val="00610EEE"/>
    <w:rsid w:val="0061222F"/>
    <w:rsid w:val="0061346E"/>
    <w:rsid w:val="00627DDA"/>
    <w:rsid w:val="00631508"/>
    <w:rsid w:val="00632A8E"/>
    <w:rsid w:val="006347C7"/>
    <w:rsid w:val="00640209"/>
    <w:rsid w:val="00642C37"/>
    <w:rsid w:val="00650E90"/>
    <w:rsid w:val="00653C36"/>
    <w:rsid w:val="00654163"/>
    <w:rsid w:val="00666241"/>
    <w:rsid w:val="00670550"/>
    <w:rsid w:val="00671354"/>
    <w:rsid w:val="006736A3"/>
    <w:rsid w:val="0067403C"/>
    <w:rsid w:val="0067491E"/>
    <w:rsid w:val="00676347"/>
    <w:rsid w:val="00680B07"/>
    <w:rsid w:val="00681D20"/>
    <w:rsid w:val="0069463B"/>
    <w:rsid w:val="006A5E9B"/>
    <w:rsid w:val="006A60F4"/>
    <w:rsid w:val="006B05EF"/>
    <w:rsid w:val="006B4CCA"/>
    <w:rsid w:val="006B52E8"/>
    <w:rsid w:val="006C6D02"/>
    <w:rsid w:val="006C79D4"/>
    <w:rsid w:val="006D09C2"/>
    <w:rsid w:val="006D2A38"/>
    <w:rsid w:val="006E0DB2"/>
    <w:rsid w:val="006E1000"/>
    <w:rsid w:val="006F3FA2"/>
    <w:rsid w:val="006F4917"/>
    <w:rsid w:val="006F5E71"/>
    <w:rsid w:val="007038AE"/>
    <w:rsid w:val="00704DE8"/>
    <w:rsid w:val="00715A8F"/>
    <w:rsid w:val="0072387E"/>
    <w:rsid w:val="00723B5A"/>
    <w:rsid w:val="00744819"/>
    <w:rsid w:val="00745041"/>
    <w:rsid w:val="00745E65"/>
    <w:rsid w:val="007467BD"/>
    <w:rsid w:val="00754BE1"/>
    <w:rsid w:val="00757B9E"/>
    <w:rsid w:val="0076328A"/>
    <w:rsid w:val="00763FC9"/>
    <w:rsid w:val="00776C1B"/>
    <w:rsid w:val="00780F49"/>
    <w:rsid w:val="00785BED"/>
    <w:rsid w:val="0078703F"/>
    <w:rsid w:val="00790D03"/>
    <w:rsid w:val="00797EBA"/>
    <w:rsid w:val="007B2B33"/>
    <w:rsid w:val="007B4D15"/>
    <w:rsid w:val="007B7057"/>
    <w:rsid w:val="007C0430"/>
    <w:rsid w:val="007D48C0"/>
    <w:rsid w:val="007E02D3"/>
    <w:rsid w:val="007F336A"/>
    <w:rsid w:val="007F5C4B"/>
    <w:rsid w:val="007F72AE"/>
    <w:rsid w:val="007F746F"/>
    <w:rsid w:val="008005A1"/>
    <w:rsid w:val="00803500"/>
    <w:rsid w:val="0080682B"/>
    <w:rsid w:val="00810B7C"/>
    <w:rsid w:val="0081233E"/>
    <w:rsid w:val="00813ACB"/>
    <w:rsid w:val="0083225D"/>
    <w:rsid w:val="00834AA8"/>
    <w:rsid w:val="0083640D"/>
    <w:rsid w:val="008565ED"/>
    <w:rsid w:val="00857921"/>
    <w:rsid w:val="00860F65"/>
    <w:rsid w:val="0086178E"/>
    <w:rsid w:val="0086322B"/>
    <w:rsid w:val="00870806"/>
    <w:rsid w:val="0087278D"/>
    <w:rsid w:val="008758A8"/>
    <w:rsid w:val="00876A66"/>
    <w:rsid w:val="00885344"/>
    <w:rsid w:val="00890ACB"/>
    <w:rsid w:val="008945DB"/>
    <w:rsid w:val="00896B5C"/>
    <w:rsid w:val="008A0463"/>
    <w:rsid w:val="008A3771"/>
    <w:rsid w:val="008A3DE1"/>
    <w:rsid w:val="008B3929"/>
    <w:rsid w:val="008B678C"/>
    <w:rsid w:val="008B75DD"/>
    <w:rsid w:val="008C3B1E"/>
    <w:rsid w:val="008C705D"/>
    <w:rsid w:val="008C72D8"/>
    <w:rsid w:val="008D26F5"/>
    <w:rsid w:val="008D7AE6"/>
    <w:rsid w:val="008D7F96"/>
    <w:rsid w:val="008F14D8"/>
    <w:rsid w:val="008F2D1A"/>
    <w:rsid w:val="008F6C6B"/>
    <w:rsid w:val="00903EBE"/>
    <w:rsid w:val="009103B0"/>
    <w:rsid w:val="00911157"/>
    <w:rsid w:val="0091324E"/>
    <w:rsid w:val="009153C8"/>
    <w:rsid w:val="0092095C"/>
    <w:rsid w:val="00922309"/>
    <w:rsid w:val="009254C9"/>
    <w:rsid w:val="009265F9"/>
    <w:rsid w:val="00927179"/>
    <w:rsid w:val="00932183"/>
    <w:rsid w:val="009329AB"/>
    <w:rsid w:val="00941419"/>
    <w:rsid w:val="00950D2D"/>
    <w:rsid w:val="00954A14"/>
    <w:rsid w:val="00954CDE"/>
    <w:rsid w:val="00955161"/>
    <w:rsid w:val="00955ABB"/>
    <w:rsid w:val="009636DB"/>
    <w:rsid w:val="00963C19"/>
    <w:rsid w:val="0097768D"/>
    <w:rsid w:val="00981CD5"/>
    <w:rsid w:val="009857C4"/>
    <w:rsid w:val="009926CE"/>
    <w:rsid w:val="009928A6"/>
    <w:rsid w:val="00992C09"/>
    <w:rsid w:val="009A2617"/>
    <w:rsid w:val="009A2A39"/>
    <w:rsid w:val="009A4E37"/>
    <w:rsid w:val="009B4626"/>
    <w:rsid w:val="009C487D"/>
    <w:rsid w:val="009D0639"/>
    <w:rsid w:val="009D416B"/>
    <w:rsid w:val="009E06D9"/>
    <w:rsid w:val="009E7FF8"/>
    <w:rsid w:val="009F36F0"/>
    <w:rsid w:val="009F4A57"/>
    <w:rsid w:val="00A12537"/>
    <w:rsid w:val="00A16BE4"/>
    <w:rsid w:val="00A20978"/>
    <w:rsid w:val="00A2224C"/>
    <w:rsid w:val="00A301BB"/>
    <w:rsid w:val="00A34D3F"/>
    <w:rsid w:val="00A52257"/>
    <w:rsid w:val="00A53D28"/>
    <w:rsid w:val="00A5715F"/>
    <w:rsid w:val="00A603D2"/>
    <w:rsid w:val="00A63125"/>
    <w:rsid w:val="00A6768D"/>
    <w:rsid w:val="00A724CE"/>
    <w:rsid w:val="00A735AF"/>
    <w:rsid w:val="00A76DED"/>
    <w:rsid w:val="00A86B7B"/>
    <w:rsid w:val="00A91F3D"/>
    <w:rsid w:val="00A92D8A"/>
    <w:rsid w:val="00A95334"/>
    <w:rsid w:val="00A97717"/>
    <w:rsid w:val="00AB0508"/>
    <w:rsid w:val="00AB1258"/>
    <w:rsid w:val="00AB71DE"/>
    <w:rsid w:val="00AC0D56"/>
    <w:rsid w:val="00AC0ED4"/>
    <w:rsid w:val="00AC155C"/>
    <w:rsid w:val="00AC3FEF"/>
    <w:rsid w:val="00AC563B"/>
    <w:rsid w:val="00AD0E3B"/>
    <w:rsid w:val="00AD2D93"/>
    <w:rsid w:val="00AE5228"/>
    <w:rsid w:val="00AF3EB1"/>
    <w:rsid w:val="00B00D95"/>
    <w:rsid w:val="00B05F72"/>
    <w:rsid w:val="00B068BC"/>
    <w:rsid w:val="00B1058D"/>
    <w:rsid w:val="00B122CE"/>
    <w:rsid w:val="00B13F80"/>
    <w:rsid w:val="00B14CAF"/>
    <w:rsid w:val="00B167FE"/>
    <w:rsid w:val="00B208EC"/>
    <w:rsid w:val="00B21449"/>
    <w:rsid w:val="00B27D6C"/>
    <w:rsid w:val="00B30AA4"/>
    <w:rsid w:val="00B33DF2"/>
    <w:rsid w:val="00B36FBB"/>
    <w:rsid w:val="00B371EB"/>
    <w:rsid w:val="00B513FC"/>
    <w:rsid w:val="00B52342"/>
    <w:rsid w:val="00B5257F"/>
    <w:rsid w:val="00B528BF"/>
    <w:rsid w:val="00B57999"/>
    <w:rsid w:val="00B57A50"/>
    <w:rsid w:val="00B60811"/>
    <w:rsid w:val="00B62B09"/>
    <w:rsid w:val="00B742A7"/>
    <w:rsid w:val="00B920DE"/>
    <w:rsid w:val="00BA5D4D"/>
    <w:rsid w:val="00BC0701"/>
    <w:rsid w:val="00BC0809"/>
    <w:rsid w:val="00BC0C14"/>
    <w:rsid w:val="00BC4F99"/>
    <w:rsid w:val="00BC5A1E"/>
    <w:rsid w:val="00BC7CA6"/>
    <w:rsid w:val="00BD4F67"/>
    <w:rsid w:val="00BF0E0F"/>
    <w:rsid w:val="00BF17FC"/>
    <w:rsid w:val="00C01EB9"/>
    <w:rsid w:val="00C15148"/>
    <w:rsid w:val="00C25550"/>
    <w:rsid w:val="00C25675"/>
    <w:rsid w:val="00C513CF"/>
    <w:rsid w:val="00C5267F"/>
    <w:rsid w:val="00C625AC"/>
    <w:rsid w:val="00C67D80"/>
    <w:rsid w:val="00C70E4F"/>
    <w:rsid w:val="00C856B6"/>
    <w:rsid w:val="00C90791"/>
    <w:rsid w:val="00C91771"/>
    <w:rsid w:val="00C96CAA"/>
    <w:rsid w:val="00CA0B0D"/>
    <w:rsid w:val="00CA633C"/>
    <w:rsid w:val="00CA7F40"/>
    <w:rsid w:val="00CB0A10"/>
    <w:rsid w:val="00CB7710"/>
    <w:rsid w:val="00CB7BB8"/>
    <w:rsid w:val="00CC2FF8"/>
    <w:rsid w:val="00CC4772"/>
    <w:rsid w:val="00CC478C"/>
    <w:rsid w:val="00CC4F28"/>
    <w:rsid w:val="00CD4017"/>
    <w:rsid w:val="00CD43A5"/>
    <w:rsid w:val="00CE0ACB"/>
    <w:rsid w:val="00CE0B4F"/>
    <w:rsid w:val="00CE1B0F"/>
    <w:rsid w:val="00CE3E8E"/>
    <w:rsid w:val="00D00D1F"/>
    <w:rsid w:val="00D0231C"/>
    <w:rsid w:val="00D05CA4"/>
    <w:rsid w:val="00D110B7"/>
    <w:rsid w:val="00D1324A"/>
    <w:rsid w:val="00D17E34"/>
    <w:rsid w:val="00D23A42"/>
    <w:rsid w:val="00D246B5"/>
    <w:rsid w:val="00D25B6A"/>
    <w:rsid w:val="00D25E24"/>
    <w:rsid w:val="00D312F8"/>
    <w:rsid w:val="00D44E20"/>
    <w:rsid w:val="00D52CE6"/>
    <w:rsid w:val="00D55A62"/>
    <w:rsid w:val="00D67286"/>
    <w:rsid w:val="00D70652"/>
    <w:rsid w:val="00D74C94"/>
    <w:rsid w:val="00D75035"/>
    <w:rsid w:val="00D800F4"/>
    <w:rsid w:val="00D81AEE"/>
    <w:rsid w:val="00D8424B"/>
    <w:rsid w:val="00D86893"/>
    <w:rsid w:val="00DA70FB"/>
    <w:rsid w:val="00DB2644"/>
    <w:rsid w:val="00DB445F"/>
    <w:rsid w:val="00DB4F05"/>
    <w:rsid w:val="00DC1C91"/>
    <w:rsid w:val="00DC3520"/>
    <w:rsid w:val="00DC4C14"/>
    <w:rsid w:val="00DD36A0"/>
    <w:rsid w:val="00DE0F03"/>
    <w:rsid w:val="00DE6350"/>
    <w:rsid w:val="00DF38E0"/>
    <w:rsid w:val="00E04039"/>
    <w:rsid w:val="00E16DB1"/>
    <w:rsid w:val="00E21969"/>
    <w:rsid w:val="00E21A58"/>
    <w:rsid w:val="00E225BE"/>
    <w:rsid w:val="00E2676F"/>
    <w:rsid w:val="00E40E04"/>
    <w:rsid w:val="00E420D9"/>
    <w:rsid w:val="00E46BB3"/>
    <w:rsid w:val="00E5561C"/>
    <w:rsid w:val="00E61F92"/>
    <w:rsid w:val="00E64262"/>
    <w:rsid w:val="00E800AC"/>
    <w:rsid w:val="00E828D0"/>
    <w:rsid w:val="00E85433"/>
    <w:rsid w:val="00E918FA"/>
    <w:rsid w:val="00E93F34"/>
    <w:rsid w:val="00EA0F71"/>
    <w:rsid w:val="00EA753F"/>
    <w:rsid w:val="00EC10F8"/>
    <w:rsid w:val="00EC2587"/>
    <w:rsid w:val="00ED566B"/>
    <w:rsid w:val="00ED780C"/>
    <w:rsid w:val="00EE3D6B"/>
    <w:rsid w:val="00EF2128"/>
    <w:rsid w:val="00EF2EDE"/>
    <w:rsid w:val="00EF4296"/>
    <w:rsid w:val="00F066F1"/>
    <w:rsid w:val="00F07646"/>
    <w:rsid w:val="00F23AE7"/>
    <w:rsid w:val="00F25B04"/>
    <w:rsid w:val="00F27902"/>
    <w:rsid w:val="00F3118C"/>
    <w:rsid w:val="00F35480"/>
    <w:rsid w:val="00F4398E"/>
    <w:rsid w:val="00F477EA"/>
    <w:rsid w:val="00F505AC"/>
    <w:rsid w:val="00F57DC0"/>
    <w:rsid w:val="00F65136"/>
    <w:rsid w:val="00F67E34"/>
    <w:rsid w:val="00F8199B"/>
    <w:rsid w:val="00F84119"/>
    <w:rsid w:val="00F94D10"/>
    <w:rsid w:val="00FA3228"/>
    <w:rsid w:val="00FA47B6"/>
    <w:rsid w:val="00FC55BF"/>
    <w:rsid w:val="00FE4B30"/>
    <w:rsid w:val="00FE5AA4"/>
    <w:rsid w:val="00FF028B"/>
    <w:rsid w:val="00FF06D9"/>
    <w:rsid w:val="00FF0EE1"/>
    <w:rsid w:val="00FF282E"/>
    <w:rsid w:val="00FF6D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E8D8"/>
  <w15:chartTrackingRefBased/>
  <w15:docId w15:val="{80D52E2F-2207-4FD1-8B51-4F5B00F5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F02"/>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398E"/>
    <w:pPr>
      <w:ind w:left="720"/>
      <w:contextualSpacing/>
    </w:pPr>
  </w:style>
  <w:style w:type="table" w:styleId="Tablaconcuadrcula">
    <w:name w:val="Table Grid"/>
    <w:basedOn w:val="Tablanormal"/>
    <w:uiPriority w:val="39"/>
    <w:rsid w:val="00E9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00691"/>
    <w:rPr>
      <w:color w:val="0563C1" w:themeColor="hyperlink"/>
      <w:u w:val="single"/>
    </w:rPr>
  </w:style>
  <w:style w:type="character" w:styleId="Refdecomentario">
    <w:name w:val="annotation reference"/>
    <w:basedOn w:val="Fuentedeprrafopredeter"/>
    <w:uiPriority w:val="99"/>
    <w:semiHidden/>
    <w:unhideWhenUsed/>
    <w:rsid w:val="000B3CEF"/>
    <w:rPr>
      <w:sz w:val="16"/>
      <w:szCs w:val="16"/>
    </w:rPr>
  </w:style>
  <w:style w:type="paragraph" w:styleId="Textocomentario">
    <w:name w:val="annotation text"/>
    <w:basedOn w:val="Normal"/>
    <w:link w:val="TextocomentarioCar"/>
    <w:uiPriority w:val="99"/>
    <w:semiHidden/>
    <w:unhideWhenUsed/>
    <w:rsid w:val="000B3C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3CEF"/>
    <w:rPr>
      <w:sz w:val="20"/>
      <w:szCs w:val="20"/>
    </w:rPr>
  </w:style>
  <w:style w:type="paragraph" w:styleId="Asuntodelcomentario">
    <w:name w:val="annotation subject"/>
    <w:basedOn w:val="Textocomentario"/>
    <w:next w:val="Textocomentario"/>
    <w:link w:val="AsuntodelcomentarioCar"/>
    <w:uiPriority w:val="99"/>
    <w:semiHidden/>
    <w:unhideWhenUsed/>
    <w:rsid w:val="000B3CEF"/>
    <w:rPr>
      <w:b/>
      <w:bCs/>
    </w:rPr>
  </w:style>
  <w:style w:type="character" w:customStyle="1" w:styleId="AsuntodelcomentarioCar">
    <w:name w:val="Asunto del comentario Car"/>
    <w:basedOn w:val="TextocomentarioCar"/>
    <w:link w:val="Asuntodelcomentario"/>
    <w:uiPriority w:val="99"/>
    <w:semiHidden/>
    <w:rsid w:val="000B3CEF"/>
    <w:rPr>
      <w:b/>
      <w:bCs/>
      <w:sz w:val="20"/>
      <w:szCs w:val="20"/>
    </w:rPr>
  </w:style>
  <w:style w:type="paragraph" w:styleId="Textodeglobo">
    <w:name w:val="Balloon Text"/>
    <w:basedOn w:val="Normal"/>
    <w:link w:val="TextodegloboCar"/>
    <w:uiPriority w:val="99"/>
    <w:semiHidden/>
    <w:unhideWhenUsed/>
    <w:rsid w:val="000B3CE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CEF"/>
    <w:rPr>
      <w:rFonts w:ascii="Segoe UI" w:hAnsi="Segoe UI" w:cs="Segoe UI"/>
      <w:sz w:val="18"/>
      <w:szCs w:val="18"/>
    </w:rPr>
  </w:style>
  <w:style w:type="table" w:styleId="Tabladecuadrcula4-nfasis5">
    <w:name w:val="Grid Table 4 Accent 5"/>
    <w:basedOn w:val="Tablanormal"/>
    <w:uiPriority w:val="49"/>
    <w:rsid w:val="00E16D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notapie">
    <w:name w:val="footnote text"/>
    <w:basedOn w:val="Normal"/>
    <w:link w:val="TextonotapieCar"/>
    <w:uiPriority w:val="99"/>
    <w:unhideWhenUsed/>
    <w:rsid w:val="008A3771"/>
    <w:pPr>
      <w:spacing w:line="240" w:lineRule="auto"/>
    </w:pPr>
    <w:rPr>
      <w:sz w:val="20"/>
      <w:szCs w:val="20"/>
    </w:rPr>
  </w:style>
  <w:style w:type="character" w:customStyle="1" w:styleId="TextonotapieCar">
    <w:name w:val="Texto nota pie Car"/>
    <w:basedOn w:val="Fuentedeprrafopredeter"/>
    <w:link w:val="Textonotapie"/>
    <w:uiPriority w:val="99"/>
    <w:rsid w:val="008A3771"/>
    <w:rPr>
      <w:sz w:val="20"/>
      <w:szCs w:val="20"/>
    </w:rPr>
  </w:style>
  <w:style w:type="character" w:styleId="Refdenotaalpie">
    <w:name w:val="footnote reference"/>
    <w:basedOn w:val="Fuentedeprrafopredeter"/>
    <w:uiPriority w:val="99"/>
    <w:semiHidden/>
    <w:unhideWhenUsed/>
    <w:rsid w:val="008A3771"/>
    <w:rPr>
      <w:vertAlign w:val="superscript"/>
    </w:rPr>
  </w:style>
  <w:style w:type="paragraph" w:styleId="Piedepgina">
    <w:name w:val="footer"/>
    <w:basedOn w:val="Normal"/>
    <w:link w:val="PiedepginaCar"/>
    <w:uiPriority w:val="99"/>
    <w:unhideWhenUsed/>
    <w:rsid w:val="00FF282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F282E"/>
  </w:style>
  <w:style w:type="paragraph" w:styleId="Encabezado">
    <w:name w:val="header"/>
    <w:basedOn w:val="Normal"/>
    <w:link w:val="EncabezadoCar"/>
    <w:uiPriority w:val="99"/>
    <w:unhideWhenUsed/>
    <w:rsid w:val="000F054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F054A"/>
  </w:style>
  <w:style w:type="character" w:styleId="Hipervnculovisitado">
    <w:name w:val="FollowedHyperlink"/>
    <w:basedOn w:val="Fuentedeprrafopredeter"/>
    <w:uiPriority w:val="99"/>
    <w:semiHidden/>
    <w:unhideWhenUsed/>
    <w:rsid w:val="006315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7245">
      <w:bodyDiv w:val="1"/>
      <w:marLeft w:val="0"/>
      <w:marRight w:val="0"/>
      <w:marTop w:val="0"/>
      <w:marBottom w:val="0"/>
      <w:divBdr>
        <w:top w:val="none" w:sz="0" w:space="0" w:color="auto"/>
        <w:left w:val="none" w:sz="0" w:space="0" w:color="auto"/>
        <w:bottom w:val="none" w:sz="0" w:space="0" w:color="auto"/>
        <w:right w:val="none" w:sz="0" w:space="0" w:color="auto"/>
      </w:divBdr>
    </w:div>
    <w:div w:id="76174733">
      <w:bodyDiv w:val="1"/>
      <w:marLeft w:val="0"/>
      <w:marRight w:val="0"/>
      <w:marTop w:val="0"/>
      <w:marBottom w:val="0"/>
      <w:divBdr>
        <w:top w:val="none" w:sz="0" w:space="0" w:color="auto"/>
        <w:left w:val="none" w:sz="0" w:space="0" w:color="auto"/>
        <w:bottom w:val="none" w:sz="0" w:space="0" w:color="auto"/>
        <w:right w:val="none" w:sz="0" w:space="0" w:color="auto"/>
      </w:divBdr>
    </w:div>
    <w:div w:id="108939796">
      <w:bodyDiv w:val="1"/>
      <w:marLeft w:val="0"/>
      <w:marRight w:val="0"/>
      <w:marTop w:val="0"/>
      <w:marBottom w:val="0"/>
      <w:divBdr>
        <w:top w:val="none" w:sz="0" w:space="0" w:color="auto"/>
        <w:left w:val="none" w:sz="0" w:space="0" w:color="auto"/>
        <w:bottom w:val="none" w:sz="0" w:space="0" w:color="auto"/>
        <w:right w:val="none" w:sz="0" w:space="0" w:color="auto"/>
      </w:divBdr>
    </w:div>
    <w:div w:id="122240474">
      <w:bodyDiv w:val="1"/>
      <w:marLeft w:val="0"/>
      <w:marRight w:val="0"/>
      <w:marTop w:val="0"/>
      <w:marBottom w:val="0"/>
      <w:divBdr>
        <w:top w:val="none" w:sz="0" w:space="0" w:color="auto"/>
        <w:left w:val="none" w:sz="0" w:space="0" w:color="auto"/>
        <w:bottom w:val="none" w:sz="0" w:space="0" w:color="auto"/>
        <w:right w:val="none" w:sz="0" w:space="0" w:color="auto"/>
      </w:divBdr>
    </w:div>
    <w:div w:id="146744950">
      <w:bodyDiv w:val="1"/>
      <w:marLeft w:val="0"/>
      <w:marRight w:val="0"/>
      <w:marTop w:val="0"/>
      <w:marBottom w:val="0"/>
      <w:divBdr>
        <w:top w:val="none" w:sz="0" w:space="0" w:color="auto"/>
        <w:left w:val="none" w:sz="0" w:space="0" w:color="auto"/>
        <w:bottom w:val="none" w:sz="0" w:space="0" w:color="auto"/>
        <w:right w:val="none" w:sz="0" w:space="0" w:color="auto"/>
      </w:divBdr>
    </w:div>
    <w:div w:id="161167870">
      <w:bodyDiv w:val="1"/>
      <w:marLeft w:val="0"/>
      <w:marRight w:val="0"/>
      <w:marTop w:val="0"/>
      <w:marBottom w:val="0"/>
      <w:divBdr>
        <w:top w:val="none" w:sz="0" w:space="0" w:color="auto"/>
        <w:left w:val="none" w:sz="0" w:space="0" w:color="auto"/>
        <w:bottom w:val="none" w:sz="0" w:space="0" w:color="auto"/>
        <w:right w:val="none" w:sz="0" w:space="0" w:color="auto"/>
      </w:divBdr>
    </w:div>
    <w:div w:id="208929310">
      <w:bodyDiv w:val="1"/>
      <w:marLeft w:val="0"/>
      <w:marRight w:val="0"/>
      <w:marTop w:val="0"/>
      <w:marBottom w:val="0"/>
      <w:divBdr>
        <w:top w:val="none" w:sz="0" w:space="0" w:color="auto"/>
        <w:left w:val="none" w:sz="0" w:space="0" w:color="auto"/>
        <w:bottom w:val="none" w:sz="0" w:space="0" w:color="auto"/>
        <w:right w:val="none" w:sz="0" w:space="0" w:color="auto"/>
      </w:divBdr>
    </w:div>
    <w:div w:id="229122672">
      <w:bodyDiv w:val="1"/>
      <w:marLeft w:val="0"/>
      <w:marRight w:val="0"/>
      <w:marTop w:val="0"/>
      <w:marBottom w:val="0"/>
      <w:divBdr>
        <w:top w:val="none" w:sz="0" w:space="0" w:color="auto"/>
        <w:left w:val="none" w:sz="0" w:space="0" w:color="auto"/>
        <w:bottom w:val="none" w:sz="0" w:space="0" w:color="auto"/>
        <w:right w:val="none" w:sz="0" w:space="0" w:color="auto"/>
      </w:divBdr>
    </w:div>
    <w:div w:id="265893685">
      <w:bodyDiv w:val="1"/>
      <w:marLeft w:val="0"/>
      <w:marRight w:val="0"/>
      <w:marTop w:val="0"/>
      <w:marBottom w:val="0"/>
      <w:divBdr>
        <w:top w:val="none" w:sz="0" w:space="0" w:color="auto"/>
        <w:left w:val="none" w:sz="0" w:space="0" w:color="auto"/>
        <w:bottom w:val="none" w:sz="0" w:space="0" w:color="auto"/>
        <w:right w:val="none" w:sz="0" w:space="0" w:color="auto"/>
      </w:divBdr>
    </w:div>
    <w:div w:id="326784223">
      <w:bodyDiv w:val="1"/>
      <w:marLeft w:val="0"/>
      <w:marRight w:val="0"/>
      <w:marTop w:val="0"/>
      <w:marBottom w:val="0"/>
      <w:divBdr>
        <w:top w:val="none" w:sz="0" w:space="0" w:color="auto"/>
        <w:left w:val="none" w:sz="0" w:space="0" w:color="auto"/>
        <w:bottom w:val="none" w:sz="0" w:space="0" w:color="auto"/>
        <w:right w:val="none" w:sz="0" w:space="0" w:color="auto"/>
      </w:divBdr>
    </w:div>
    <w:div w:id="328410597">
      <w:bodyDiv w:val="1"/>
      <w:marLeft w:val="0"/>
      <w:marRight w:val="0"/>
      <w:marTop w:val="0"/>
      <w:marBottom w:val="0"/>
      <w:divBdr>
        <w:top w:val="none" w:sz="0" w:space="0" w:color="auto"/>
        <w:left w:val="none" w:sz="0" w:space="0" w:color="auto"/>
        <w:bottom w:val="none" w:sz="0" w:space="0" w:color="auto"/>
        <w:right w:val="none" w:sz="0" w:space="0" w:color="auto"/>
      </w:divBdr>
    </w:div>
    <w:div w:id="397822789">
      <w:bodyDiv w:val="1"/>
      <w:marLeft w:val="0"/>
      <w:marRight w:val="0"/>
      <w:marTop w:val="0"/>
      <w:marBottom w:val="0"/>
      <w:divBdr>
        <w:top w:val="none" w:sz="0" w:space="0" w:color="auto"/>
        <w:left w:val="none" w:sz="0" w:space="0" w:color="auto"/>
        <w:bottom w:val="none" w:sz="0" w:space="0" w:color="auto"/>
        <w:right w:val="none" w:sz="0" w:space="0" w:color="auto"/>
      </w:divBdr>
    </w:div>
    <w:div w:id="438183877">
      <w:bodyDiv w:val="1"/>
      <w:marLeft w:val="0"/>
      <w:marRight w:val="0"/>
      <w:marTop w:val="0"/>
      <w:marBottom w:val="0"/>
      <w:divBdr>
        <w:top w:val="none" w:sz="0" w:space="0" w:color="auto"/>
        <w:left w:val="none" w:sz="0" w:space="0" w:color="auto"/>
        <w:bottom w:val="none" w:sz="0" w:space="0" w:color="auto"/>
        <w:right w:val="none" w:sz="0" w:space="0" w:color="auto"/>
      </w:divBdr>
    </w:div>
    <w:div w:id="522590935">
      <w:bodyDiv w:val="1"/>
      <w:marLeft w:val="0"/>
      <w:marRight w:val="0"/>
      <w:marTop w:val="0"/>
      <w:marBottom w:val="0"/>
      <w:divBdr>
        <w:top w:val="none" w:sz="0" w:space="0" w:color="auto"/>
        <w:left w:val="none" w:sz="0" w:space="0" w:color="auto"/>
        <w:bottom w:val="none" w:sz="0" w:space="0" w:color="auto"/>
        <w:right w:val="none" w:sz="0" w:space="0" w:color="auto"/>
      </w:divBdr>
    </w:div>
    <w:div w:id="579757755">
      <w:bodyDiv w:val="1"/>
      <w:marLeft w:val="0"/>
      <w:marRight w:val="0"/>
      <w:marTop w:val="0"/>
      <w:marBottom w:val="0"/>
      <w:divBdr>
        <w:top w:val="none" w:sz="0" w:space="0" w:color="auto"/>
        <w:left w:val="none" w:sz="0" w:space="0" w:color="auto"/>
        <w:bottom w:val="none" w:sz="0" w:space="0" w:color="auto"/>
        <w:right w:val="none" w:sz="0" w:space="0" w:color="auto"/>
      </w:divBdr>
    </w:div>
    <w:div w:id="690953339">
      <w:bodyDiv w:val="1"/>
      <w:marLeft w:val="0"/>
      <w:marRight w:val="0"/>
      <w:marTop w:val="0"/>
      <w:marBottom w:val="0"/>
      <w:divBdr>
        <w:top w:val="none" w:sz="0" w:space="0" w:color="auto"/>
        <w:left w:val="none" w:sz="0" w:space="0" w:color="auto"/>
        <w:bottom w:val="none" w:sz="0" w:space="0" w:color="auto"/>
        <w:right w:val="none" w:sz="0" w:space="0" w:color="auto"/>
      </w:divBdr>
    </w:div>
    <w:div w:id="755906408">
      <w:bodyDiv w:val="1"/>
      <w:marLeft w:val="0"/>
      <w:marRight w:val="0"/>
      <w:marTop w:val="0"/>
      <w:marBottom w:val="0"/>
      <w:divBdr>
        <w:top w:val="none" w:sz="0" w:space="0" w:color="auto"/>
        <w:left w:val="none" w:sz="0" w:space="0" w:color="auto"/>
        <w:bottom w:val="none" w:sz="0" w:space="0" w:color="auto"/>
        <w:right w:val="none" w:sz="0" w:space="0" w:color="auto"/>
      </w:divBdr>
    </w:div>
    <w:div w:id="805705321">
      <w:bodyDiv w:val="1"/>
      <w:marLeft w:val="0"/>
      <w:marRight w:val="0"/>
      <w:marTop w:val="0"/>
      <w:marBottom w:val="0"/>
      <w:divBdr>
        <w:top w:val="none" w:sz="0" w:space="0" w:color="auto"/>
        <w:left w:val="none" w:sz="0" w:space="0" w:color="auto"/>
        <w:bottom w:val="none" w:sz="0" w:space="0" w:color="auto"/>
        <w:right w:val="none" w:sz="0" w:space="0" w:color="auto"/>
      </w:divBdr>
    </w:div>
    <w:div w:id="819879590">
      <w:bodyDiv w:val="1"/>
      <w:marLeft w:val="0"/>
      <w:marRight w:val="0"/>
      <w:marTop w:val="0"/>
      <w:marBottom w:val="0"/>
      <w:divBdr>
        <w:top w:val="none" w:sz="0" w:space="0" w:color="auto"/>
        <w:left w:val="none" w:sz="0" w:space="0" w:color="auto"/>
        <w:bottom w:val="none" w:sz="0" w:space="0" w:color="auto"/>
        <w:right w:val="none" w:sz="0" w:space="0" w:color="auto"/>
      </w:divBdr>
    </w:div>
    <w:div w:id="843130856">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898323823">
      <w:bodyDiv w:val="1"/>
      <w:marLeft w:val="0"/>
      <w:marRight w:val="0"/>
      <w:marTop w:val="0"/>
      <w:marBottom w:val="0"/>
      <w:divBdr>
        <w:top w:val="none" w:sz="0" w:space="0" w:color="auto"/>
        <w:left w:val="none" w:sz="0" w:space="0" w:color="auto"/>
        <w:bottom w:val="none" w:sz="0" w:space="0" w:color="auto"/>
        <w:right w:val="none" w:sz="0" w:space="0" w:color="auto"/>
      </w:divBdr>
    </w:div>
    <w:div w:id="901716084">
      <w:bodyDiv w:val="1"/>
      <w:marLeft w:val="0"/>
      <w:marRight w:val="0"/>
      <w:marTop w:val="0"/>
      <w:marBottom w:val="0"/>
      <w:divBdr>
        <w:top w:val="none" w:sz="0" w:space="0" w:color="auto"/>
        <w:left w:val="none" w:sz="0" w:space="0" w:color="auto"/>
        <w:bottom w:val="none" w:sz="0" w:space="0" w:color="auto"/>
        <w:right w:val="none" w:sz="0" w:space="0" w:color="auto"/>
      </w:divBdr>
    </w:div>
    <w:div w:id="922833176">
      <w:bodyDiv w:val="1"/>
      <w:marLeft w:val="0"/>
      <w:marRight w:val="0"/>
      <w:marTop w:val="0"/>
      <w:marBottom w:val="0"/>
      <w:divBdr>
        <w:top w:val="none" w:sz="0" w:space="0" w:color="auto"/>
        <w:left w:val="none" w:sz="0" w:space="0" w:color="auto"/>
        <w:bottom w:val="none" w:sz="0" w:space="0" w:color="auto"/>
        <w:right w:val="none" w:sz="0" w:space="0" w:color="auto"/>
      </w:divBdr>
    </w:div>
    <w:div w:id="991182648">
      <w:bodyDiv w:val="1"/>
      <w:marLeft w:val="0"/>
      <w:marRight w:val="0"/>
      <w:marTop w:val="0"/>
      <w:marBottom w:val="0"/>
      <w:divBdr>
        <w:top w:val="none" w:sz="0" w:space="0" w:color="auto"/>
        <w:left w:val="none" w:sz="0" w:space="0" w:color="auto"/>
        <w:bottom w:val="none" w:sz="0" w:space="0" w:color="auto"/>
        <w:right w:val="none" w:sz="0" w:space="0" w:color="auto"/>
      </w:divBdr>
    </w:div>
    <w:div w:id="1016274804">
      <w:bodyDiv w:val="1"/>
      <w:marLeft w:val="0"/>
      <w:marRight w:val="0"/>
      <w:marTop w:val="0"/>
      <w:marBottom w:val="0"/>
      <w:divBdr>
        <w:top w:val="none" w:sz="0" w:space="0" w:color="auto"/>
        <w:left w:val="none" w:sz="0" w:space="0" w:color="auto"/>
        <w:bottom w:val="none" w:sz="0" w:space="0" w:color="auto"/>
        <w:right w:val="none" w:sz="0" w:space="0" w:color="auto"/>
      </w:divBdr>
    </w:div>
    <w:div w:id="1043797719">
      <w:bodyDiv w:val="1"/>
      <w:marLeft w:val="0"/>
      <w:marRight w:val="0"/>
      <w:marTop w:val="0"/>
      <w:marBottom w:val="0"/>
      <w:divBdr>
        <w:top w:val="none" w:sz="0" w:space="0" w:color="auto"/>
        <w:left w:val="none" w:sz="0" w:space="0" w:color="auto"/>
        <w:bottom w:val="none" w:sz="0" w:space="0" w:color="auto"/>
        <w:right w:val="none" w:sz="0" w:space="0" w:color="auto"/>
      </w:divBdr>
    </w:div>
    <w:div w:id="1046494338">
      <w:bodyDiv w:val="1"/>
      <w:marLeft w:val="0"/>
      <w:marRight w:val="0"/>
      <w:marTop w:val="0"/>
      <w:marBottom w:val="0"/>
      <w:divBdr>
        <w:top w:val="none" w:sz="0" w:space="0" w:color="auto"/>
        <w:left w:val="none" w:sz="0" w:space="0" w:color="auto"/>
        <w:bottom w:val="none" w:sz="0" w:space="0" w:color="auto"/>
        <w:right w:val="none" w:sz="0" w:space="0" w:color="auto"/>
      </w:divBdr>
    </w:div>
    <w:div w:id="1120219134">
      <w:bodyDiv w:val="1"/>
      <w:marLeft w:val="0"/>
      <w:marRight w:val="0"/>
      <w:marTop w:val="0"/>
      <w:marBottom w:val="0"/>
      <w:divBdr>
        <w:top w:val="none" w:sz="0" w:space="0" w:color="auto"/>
        <w:left w:val="none" w:sz="0" w:space="0" w:color="auto"/>
        <w:bottom w:val="none" w:sz="0" w:space="0" w:color="auto"/>
        <w:right w:val="none" w:sz="0" w:space="0" w:color="auto"/>
      </w:divBdr>
    </w:div>
    <w:div w:id="1158692164">
      <w:bodyDiv w:val="1"/>
      <w:marLeft w:val="0"/>
      <w:marRight w:val="0"/>
      <w:marTop w:val="0"/>
      <w:marBottom w:val="0"/>
      <w:divBdr>
        <w:top w:val="none" w:sz="0" w:space="0" w:color="auto"/>
        <w:left w:val="none" w:sz="0" w:space="0" w:color="auto"/>
        <w:bottom w:val="none" w:sz="0" w:space="0" w:color="auto"/>
        <w:right w:val="none" w:sz="0" w:space="0" w:color="auto"/>
      </w:divBdr>
    </w:div>
    <w:div w:id="1264075166">
      <w:bodyDiv w:val="1"/>
      <w:marLeft w:val="0"/>
      <w:marRight w:val="0"/>
      <w:marTop w:val="0"/>
      <w:marBottom w:val="0"/>
      <w:divBdr>
        <w:top w:val="none" w:sz="0" w:space="0" w:color="auto"/>
        <w:left w:val="none" w:sz="0" w:space="0" w:color="auto"/>
        <w:bottom w:val="none" w:sz="0" w:space="0" w:color="auto"/>
        <w:right w:val="none" w:sz="0" w:space="0" w:color="auto"/>
      </w:divBdr>
    </w:div>
    <w:div w:id="1355376091">
      <w:bodyDiv w:val="1"/>
      <w:marLeft w:val="0"/>
      <w:marRight w:val="0"/>
      <w:marTop w:val="0"/>
      <w:marBottom w:val="0"/>
      <w:divBdr>
        <w:top w:val="none" w:sz="0" w:space="0" w:color="auto"/>
        <w:left w:val="none" w:sz="0" w:space="0" w:color="auto"/>
        <w:bottom w:val="none" w:sz="0" w:space="0" w:color="auto"/>
        <w:right w:val="none" w:sz="0" w:space="0" w:color="auto"/>
      </w:divBdr>
    </w:div>
    <w:div w:id="1357652275">
      <w:bodyDiv w:val="1"/>
      <w:marLeft w:val="0"/>
      <w:marRight w:val="0"/>
      <w:marTop w:val="0"/>
      <w:marBottom w:val="0"/>
      <w:divBdr>
        <w:top w:val="none" w:sz="0" w:space="0" w:color="auto"/>
        <w:left w:val="none" w:sz="0" w:space="0" w:color="auto"/>
        <w:bottom w:val="none" w:sz="0" w:space="0" w:color="auto"/>
        <w:right w:val="none" w:sz="0" w:space="0" w:color="auto"/>
      </w:divBdr>
    </w:div>
    <w:div w:id="1403603375">
      <w:bodyDiv w:val="1"/>
      <w:marLeft w:val="0"/>
      <w:marRight w:val="0"/>
      <w:marTop w:val="0"/>
      <w:marBottom w:val="0"/>
      <w:divBdr>
        <w:top w:val="none" w:sz="0" w:space="0" w:color="auto"/>
        <w:left w:val="none" w:sz="0" w:space="0" w:color="auto"/>
        <w:bottom w:val="none" w:sz="0" w:space="0" w:color="auto"/>
        <w:right w:val="none" w:sz="0" w:space="0" w:color="auto"/>
      </w:divBdr>
    </w:div>
    <w:div w:id="1437404327">
      <w:bodyDiv w:val="1"/>
      <w:marLeft w:val="0"/>
      <w:marRight w:val="0"/>
      <w:marTop w:val="0"/>
      <w:marBottom w:val="0"/>
      <w:divBdr>
        <w:top w:val="none" w:sz="0" w:space="0" w:color="auto"/>
        <w:left w:val="none" w:sz="0" w:space="0" w:color="auto"/>
        <w:bottom w:val="none" w:sz="0" w:space="0" w:color="auto"/>
        <w:right w:val="none" w:sz="0" w:space="0" w:color="auto"/>
      </w:divBdr>
    </w:div>
    <w:div w:id="1453280219">
      <w:bodyDiv w:val="1"/>
      <w:marLeft w:val="0"/>
      <w:marRight w:val="0"/>
      <w:marTop w:val="0"/>
      <w:marBottom w:val="0"/>
      <w:divBdr>
        <w:top w:val="none" w:sz="0" w:space="0" w:color="auto"/>
        <w:left w:val="none" w:sz="0" w:space="0" w:color="auto"/>
        <w:bottom w:val="none" w:sz="0" w:space="0" w:color="auto"/>
        <w:right w:val="none" w:sz="0" w:space="0" w:color="auto"/>
      </w:divBdr>
    </w:div>
    <w:div w:id="1527065203">
      <w:bodyDiv w:val="1"/>
      <w:marLeft w:val="0"/>
      <w:marRight w:val="0"/>
      <w:marTop w:val="0"/>
      <w:marBottom w:val="0"/>
      <w:divBdr>
        <w:top w:val="none" w:sz="0" w:space="0" w:color="auto"/>
        <w:left w:val="none" w:sz="0" w:space="0" w:color="auto"/>
        <w:bottom w:val="none" w:sz="0" w:space="0" w:color="auto"/>
        <w:right w:val="none" w:sz="0" w:space="0" w:color="auto"/>
      </w:divBdr>
    </w:div>
    <w:div w:id="1538660728">
      <w:bodyDiv w:val="1"/>
      <w:marLeft w:val="0"/>
      <w:marRight w:val="0"/>
      <w:marTop w:val="0"/>
      <w:marBottom w:val="0"/>
      <w:divBdr>
        <w:top w:val="none" w:sz="0" w:space="0" w:color="auto"/>
        <w:left w:val="none" w:sz="0" w:space="0" w:color="auto"/>
        <w:bottom w:val="none" w:sz="0" w:space="0" w:color="auto"/>
        <w:right w:val="none" w:sz="0" w:space="0" w:color="auto"/>
      </w:divBdr>
    </w:div>
    <w:div w:id="1570651783">
      <w:bodyDiv w:val="1"/>
      <w:marLeft w:val="0"/>
      <w:marRight w:val="0"/>
      <w:marTop w:val="0"/>
      <w:marBottom w:val="0"/>
      <w:divBdr>
        <w:top w:val="none" w:sz="0" w:space="0" w:color="auto"/>
        <w:left w:val="none" w:sz="0" w:space="0" w:color="auto"/>
        <w:bottom w:val="none" w:sz="0" w:space="0" w:color="auto"/>
        <w:right w:val="none" w:sz="0" w:space="0" w:color="auto"/>
      </w:divBdr>
    </w:div>
    <w:div w:id="1604997109">
      <w:bodyDiv w:val="1"/>
      <w:marLeft w:val="0"/>
      <w:marRight w:val="0"/>
      <w:marTop w:val="0"/>
      <w:marBottom w:val="0"/>
      <w:divBdr>
        <w:top w:val="none" w:sz="0" w:space="0" w:color="auto"/>
        <w:left w:val="none" w:sz="0" w:space="0" w:color="auto"/>
        <w:bottom w:val="none" w:sz="0" w:space="0" w:color="auto"/>
        <w:right w:val="none" w:sz="0" w:space="0" w:color="auto"/>
      </w:divBdr>
    </w:div>
    <w:div w:id="1605730301">
      <w:bodyDiv w:val="1"/>
      <w:marLeft w:val="0"/>
      <w:marRight w:val="0"/>
      <w:marTop w:val="0"/>
      <w:marBottom w:val="0"/>
      <w:divBdr>
        <w:top w:val="none" w:sz="0" w:space="0" w:color="auto"/>
        <w:left w:val="none" w:sz="0" w:space="0" w:color="auto"/>
        <w:bottom w:val="none" w:sz="0" w:space="0" w:color="auto"/>
        <w:right w:val="none" w:sz="0" w:space="0" w:color="auto"/>
      </w:divBdr>
    </w:div>
    <w:div w:id="1669333459">
      <w:bodyDiv w:val="1"/>
      <w:marLeft w:val="0"/>
      <w:marRight w:val="0"/>
      <w:marTop w:val="0"/>
      <w:marBottom w:val="0"/>
      <w:divBdr>
        <w:top w:val="none" w:sz="0" w:space="0" w:color="auto"/>
        <w:left w:val="none" w:sz="0" w:space="0" w:color="auto"/>
        <w:bottom w:val="none" w:sz="0" w:space="0" w:color="auto"/>
        <w:right w:val="none" w:sz="0" w:space="0" w:color="auto"/>
      </w:divBdr>
    </w:div>
    <w:div w:id="1669481809">
      <w:bodyDiv w:val="1"/>
      <w:marLeft w:val="0"/>
      <w:marRight w:val="0"/>
      <w:marTop w:val="0"/>
      <w:marBottom w:val="0"/>
      <w:divBdr>
        <w:top w:val="none" w:sz="0" w:space="0" w:color="auto"/>
        <w:left w:val="none" w:sz="0" w:space="0" w:color="auto"/>
        <w:bottom w:val="none" w:sz="0" w:space="0" w:color="auto"/>
        <w:right w:val="none" w:sz="0" w:space="0" w:color="auto"/>
      </w:divBdr>
    </w:div>
    <w:div w:id="1694696052">
      <w:bodyDiv w:val="1"/>
      <w:marLeft w:val="0"/>
      <w:marRight w:val="0"/>
      <w:marTop w:val="0"/>
      <w:marBottom w:val="0"/>
      <w:divBdr>
        <w:top w:val="none" w:sz="0" w:space="0" w:color="auto"/>
        <w:left w:val="none" w:sz="0" w:space="0" w:color="auto"/>
        <w:bottom w:val="none" w:sz="0" w:space="0" w:color="auto"/>
        <w:right w:val="none" w:sz="0" w:space="0" w:color="auto"/>
      </w:divBdr>
    </w:div>
    <w:div w:id="1699507544">
      <w:bodyDiv w:val="1"/>
      <w:marLeft w:val="0"/>
      <w:marRight w:val="0"/>
      <w:marTop w:val="0"/>
      <w:marBottom w:val="0"/>
      <w:divBdr>
        <w:top w:val="none" w:sz="0" w:space="0" w:color="auto"/>
        <w:left w:val="none" w:sz="0" w:space="0" w:color="auto"/>
        <w:bottom w:val="none" w:sz="0" w:space="0" w:color="auto"/>
        <w:right w:val="none" w:sz="0" w:space="0" w:color="auto"/>
      </w:divBdr>
    </w:div>
    <w:div w:id="1715614613">
      <w:bodyDiv w:val="1"/>
      <w:marLeft w:val="0"/>
      <w:marRight w:val="0"/>
      <w:marTop w:val="0"/>
      <w:marBottom w:val="0"/>
      <w:divBdr>
        <w:top w:val="none" w:sz="0" w:space="0" w:color="auto"/>
        <w:left w:val="none" w:sz="0" w:space="0" w:color="auto"/>
        <w:bottom w:val="none" w:sz="0" w:space="0" w:color="auto"/>
        <w:right w:val="none" w:sz="0" w:space="0" w:color="auto"/>
      </w:divBdr>
    </w:div>
    <w:div w:id="1757634551">
      <w:bodyDiv w:val="1"/>
      <w:marLeft w:val="0"/>
      <w:marRight w:val="0"/>
      <w:marTop w:val="0"/>
      <w:marBottom w:val="0"/>
      <w:divBdr>
        <w:top w:val="none" w:sz="0" w:space="0" w:color="auto"/>
        <w:left w:val="none" w:sz="0" w:space="0" w:color="auto"/>
        <w:bottom w:val="none" w:sz="0" w:space="0" w:color="auto"/>
        <w:right w:val="none" w:sz="0" w:space="0" w:color="auto"/>
      </w:divBdr>
    </w:div>
    <w:div w:id="1762026230">
      <w:bodyDiv w:val="1"/>
      <w:marLeft w:val="0"/>
      <w:marRight w:val="0"/>
      <w:marTop w:val="0"/>
      <w:marBottom w:val="0"/>
      <w:divBdr>
        <w:top w:val="none" w:sz="0" w:space="0" w:color="auto"/>
        <w:left w:val="none" w:sz="0" w:space="0" w:color="auto"/>
        <w:bottom w:val="none" w:sz="0" w:space="0" w:color="auto"/>
        <w:right w:val="none" w:sz="0" w:space="0" w:color="auto"/>
      </w:divBdr>
    </w:div>
    <w:div w:id="1780638179">
      <w:bodyDiv w:val="1"/>
      <w:marLeft w:val="0"/>
      <w:marRight w:val="0"/>
      <w:marTop w:val="0"/>
      <w:marBottom w:val="0"/>
      <w:divBdr>
        <w:top w:val="none" w:sz="0" w:space="0" w:color="auto"/>
        <w:left w:val="none" w:sz="0" w:space="0" w:color="auto"/>
        <w:bottom w:val="none" w:sz="0" w:space="0" w:color="auto"/>
        <w:right w:val="none" w:sz="0" w:space="0" w:color="auto"/>
      </w:divBdr>
    </w:div>
    <w:div w:id="1828786456">
      <w:bodyDiv w:val="1"/>
      <w:marLeft w:val="0"/>
      <w:marRight w:val="0"/>
      <w:marTop w:val="0"/>
      <w:marBottom w:val="0"/>
      <w:divBdr>
        <w:top w:val="none" w:sz="0" w:space="0" w:color="auto"/>
        <w:left w:val="none" w:sz="0" w:space="0" w:color="auto"/>
        <w:bottom w:val="none" w:sz="0" w:space="0" w:color="auto"/>
        <w:right w:val="none" w:sz="0" w:space="0" w:color="auto"/>
      </w:divBdr>
    </w:div>
    <w:div w:id="1865364376">
      <w:bodyDiv w:val="1"/>
      <w:marLeft w:val="0"/>
      <w:marRight w:val="0"/>
      <w:marTop w:val="0"/>
      <w:marBottom w:val="0"/>
      <w:divBdr>
        <w:top w:val="none" w:sz="0" w:space="0" w:color="auto"/>
        <w:left w:val="none" w:sz="0" w:space="0" w:color="auto"/>
        <w:bottom w:val="none" w:sz="0" w:space="0" w:color="auto"/>
        <w:right w:val="none" w:sz="0" w:space="0" w:color="auto"/>
      </w:divBdr>
    </w:div>
    <w:div w:id="1923907023">
      <w:bodyDiv w:val="1"/>
      <w:marLeft w:val="0"/>
      <w:marRight w:val="0"/>
      <w:marTop w:val="0"/>
      <w:marBottom w:val="0"/>
      <w:divBdr>
        <w:top w:val="none" w:sz="0" w:space="0" w:color="auto"/>
        <w:left w:val="none" w:sz="0" w:space="0" w:color="auto"/>
        <w:bottom w:val="none" w:sz="0" w:space="0" w:color="auto"/>
        <w:right w:val="none" w:sz="0" w:space="0" w:color="auto"/>
      </w:divBdr>
    </w:div>
    <w:div w:id="1949197896">
      <w:bodyDiv w:val="1"/>
      <w:marLeft w:val="0"/>
      <w:marRight w:val="0"/>
      <w:marTop w:val="0"/>
      <w:marBottom w:val="0"/>
      <w:divBdr>
        <w:top w:val="none" w:sz="0" w:space="0" w:color="auto"/>
        <w:left w:val="none" w:sz="0" w:space="0" w:color="auto"/>
        <w:bottom w:val="none" w:sz="0" w:space="0" w:color="auto"/>
        <w:right w:val="none" w:sz="0" w:space="0" w:color="auto"/>
      </w:divBdr>
    </w:div>
    <w:div w:id="1987203324">
      <w:bodyDiv w:val="1"/>
      <w:marLeft w:val="0"/>
      <w:marRight w:val="0"/>
      <w:marTop w:val="0"/>
      <w:marBottom w:val="0"/>
      <w:divBdr>
        <w:top w:val="none" w:sz="0" w:space="0" w:color="auto"/>
        <w:left w:val="none" w:sz="0" w:space="0" w:color="auto"/>
        <w:bottom w:val="none" w:sz="0" w:space="0" w:color="auto"/>
        <w:right w:val="none" w:sz="0" w:space="0" w:color="auto"/>
      </w:divBdr>
    </w:div>
    <w:div w:id="1991975697">
      <w:bodyDiv w:val="1"/>
      <w:marLeft w:val="0"/>
      <w:marRight w:val="0"/>
      <w:marTop w:val="0"/>
      <w:marBottom w:val="0"/>
      <w:divBdr>
        <w:top w:val="none" w:sz="0" w:space="0" w:color="auto"/>
        <w:left w:val="none" w:sz="0" w:space="0" w:color="auto"/>
        <w:bottom w:val="none" w:sz="0" w:space="0" w:color="auto"/>
        <w:right w:val="none" w:sz="0" w:space="0" w:color="auto"/>
      </w:divBdr>
    </w:div>
    <w:div w:id="2001955832">
      <w:bodyDiv w:val="1"/>
      <w:marLeft w:val="0"/>
      <w:marRight w:val="0"/>
      <w:marTop w:val="0"/>
      <w:marBottom w:val="0"/>
      <w:divBdr>
        <w:top w:val="none" w:sz="0" w:space="0" w:color="auto"/>
        <w:left w:val="none" w:sz="0" w:space="0" w:color="auto"/>
        <w:bottom w:val="none" w:sz="0" w:space="0" w:color="auto"/>
        <w:right w:val="none" w:sz="0" w:space="0" w:color="auto"/>
      </w:divBdr>
    </w:div>
    <w:div w:id="2044354579">
      <w:bodyDiv w:val="1"/>
      <w:marLeft w:val="0"/>
      <w:marRight w:val="0"/>
      <w:marTop w:val="0"/>
      <w:marBottom w:val="0"/>
      <w:divBdr>
        <w:top w:val="none" w:sz="0" w:space="0" w:color="auto"/>
        <w:left w:val="none" w:sz="0" w:space="0" w:color="auto"/>
        <w:bottom w:val="none" w:sz="0" w:space="0" w:color="auto"/>
        <w:right w:val="none" w:sz="0" w:space="0" w:color="auto"/>
      </w:divBdr>
    </w:div>
    <w:div w:id="2064988255">
      <w:bodyDiv w:val="1"/>
      <w:marLeft w:val="0"/>
      <w:marRight w:val="0"/>
      <w:marTop w:val="0"/>
      <w:marBottom w:val="0"/>
      <w:divBdr>
        <w:top w:val="none" w:sz="0" w:space="0" w:color="auto"/>
        <w:left w:val="none" w:sz="0" w:space="0" w:color="auto"/>
        <w:bottom w:val="none" w:sz="0" w:space="0" w:color="auto"/>
        <w:right w:val="none" w:sz="0" w:space="0" w:color="auto"/>
      </w:divBdr>
    </w:div>
    <w:div w:id="207319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ropbox\DGEI%20-%20UNAM\Reportes%20Rankings\Estadisticas\World%20University%20Rankings%202020_THE_by%20subject_1911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5.5555555555555552E-2"/>
          <c:w val="0.90286351706036749"/>
          <c:h val="0.79224482356372117"/>
        </c:manualLayout>
      </c:layout>
      <c:barChart>
        <c:barDir val="col"/>
        <c:grouping val="clustered"/>
        <c:varyColors val="0"/>
        <c:ser>
          <c:idx val="0"/>
          <c:order val="0"/>
          <c:tx>
            <c:strRef>
              <c:f>'Paises 1 Participacion'!$A$3</c:f>
              <c:strCache>
                <c:ptCount val="1"/>
                <c:pt idx="0">
                  <c:v>España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 1 Participacion'!$C$3</c:f>
              <c:numCache>
                <c:formatCode>General</c:formatCode>
                <c:ptCount val="1"/>
                <c:pt idx="0">
                  <c:v>45</c:v>
                </c:pt>
              </c:numCache>
            </c:numRef>
          </c:val>
        </c:ser>
        <c:ser>
          <c:idx val="1"/>
          <c:order val="1"/>
          <c:tx>
            <c:strRef>
              <c:f>'Paises 1 Participacion'!$A$4</c:f>
              <c:strCache>
                <c:ptCount val="1"/>
                <c:pt idx="0">
                  <c:v>Brasil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 1 Participacion'!$C$4</c:f>
              <c:numCache>
                <c:formatCode>General</c:formatCode>
                <c:ptCount val="1"/>
                <c:pt idx="0">
                  <c:v>43</c:v>
                </c:pt>
              </c:numCache>
            </c:numRef>
          </c:val>
        </c:ser>
        <c:ser>
          <c:idx val="2"/>
          <c:order val="2"/>
          <c:tx>
            <c:strRef>
              <c:f>'Paises 1 Participacion'!$A$5</c:f>
              <c:strCache>
                <c:ptCount val="1"/>
                <c:pt idx="0">
                  <c:v>México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 1 Participacion'!$C$5</c:f>
              <c:numCache>
                <c:formatCode>General</c:formatCode>
                <c:ptCount val="1"/>
                <c:pt idx="0">
                  <c:v>16</c:v>
                </c:pt>
              </c:numCache>
            </c:numRef>
          </c:val>
        </c:ser>
        <c:ser>
          <c:idx val="3"/>
          <c:order val="3"/>
          <c:tx>
            <c:strRef>
              <c:f>'Paises 1 Participacion'!$A$6</c:f>
              <c:strCache>
                <c:ptCount val="1"/>
                <c:pt idx="0">
                  <c:v>Chile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 1 Participacion'!$C$6</c:f>
              <c:numCache>
                <c:formatCode>General</c:formatCode>
                <c:ptCount val="1"/>
                <c:pt idx="0">
                  <c:v>15</c:v>
                </c:pt>
              </c:numCache>
            </c:numRef>
          </c:val>
        </c:ser>
        <c:ser>
          <c:idx val="4"/>
          <c:order val="4"/>
          <c:tx>
            <c:strRef>
              <c:f>'Paises 1 Participacion'!$A$7</c:f>
              <c:strCache>
                <c:ptCount val="1"/>
                <c:pt idx="0">
                  <c:v>Portugal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 1 Participacion'!$C$7</c:f>
              <c:numCache>
                <c:formatCode>General</c:formatCode>
                <c:ptCount val="1"/>
                <c:pt idx="0">
                  <c:v>12</c:v>
                </c:pt>
              </c:numCache>
            </c:numRef>
          </c:val>
        </c:ser>
        <c:ser>
          <c:idx val="5"/>
          <c:order val="5"/>
          <c:tx>
            <c:strRef>
              <c:f>'Paises 1 Participacion'!$A$8</c:f>
              <c:strCache>
                <c:ptCount val="1"/>
                <c:pt idx="0">
                  <c:v>Colombia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 1 Participacion'!$C$8</c:f>
              <c:numCache>
                <c:formatCode>General</c:formatCode>
                <c:ptCount val="1"/>
                <c:pt idx="0">
                  <c:v>6</c:v>
                </c:pt>
              </c:numCache>
            </c:numRef>
          </c:val>
        </c:ser>
        <c:ser>
          <c:idx val="6"/>
          <c:order val="6"/>
          <c:tx>
            <c:strRef>
              <c:f>'Paises 1 Participacion'!$A$9</c:f>
              <c:strCache>
                <c:ptCount val="1"/>
                <c:pt idx="0">
                  <c:v>Argentina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 1 Participacion'!$C$9</c:f>
              <c:numCache>
                <c:formatCode>General</c:formatCode>
                <c:ptCount val="1"/>
                <c:pt idx="0">
                  <c:v>3</c:v>
                </c:pt>
              </c:numCache>
            </c:numRef>
          </c:val>
        </c:ser>
        <c:ser>
          <c:idx val="7"/>
          <c:order val="7"/>
          <c:tx>
            <c:strRef>
              <c:f>'Paises 1 Participacion'!$A$10</c:f>
              <c:strCache>
                <c:ptCount val="1"/>
                <c:pt idx="0">
                  <c:v>Perú</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 1 Participacion'!$C$10</c:f>
              <c:numCache>
                <c:formatCode>General</c:formatCode>
                <c:ptCount val="1"/>
                <c:pt idx="0">
                  <c:v>2</c:v>
                </c:pt>
              </c:numCache>
            </c:numRef>
          </c:val>
        </c:ser>
        <c:ser>
          <c:idx val="8"/>
          <c:order val="8"/>
          <c:tx>
            <c:strRef>
              <c:f>'Paises 1 Participacion'!$A$11</c:f>
              <c:strCache>
                <c:ptCount val="1"/>
                <c:pt idx="0">
                  <c:v>Venezuela</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 1 Participacion'!$C$11</c:f>
              <c:numCache>
                <c:formatCode>General</c:formatCode>
                <c:ptCount val="1"/>
                <c:pt idx="0">
                  <c:v>2</c:v>
                </c:pt>
              </c:numCache>
            </c:numRef>
          </c:val>
        </c:ser>
        <c:ser>
          <c:idx val="9"/>
          <c:order val="9"/>
          <c:tx>
            <c:strRef>
              <c:f>'Paises 1 Participacion'!$A$12</c:f>
              <c:strCache>
                <c:ptCount val="1"/>
                <c:pt idx="0">
                  <c:v>Costa Rica</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 1 Participacion'!$C$12</c:f>
              <c:numCache>
                <c:formatCode>General</c:formatCode>
                <c:ptCount val="1"/>
                <c:pt idx="0">
                  <c:v>1</c:v>
                </c:pt>
              </c:numCache>
            </c:numRef>
          </c:val>
        </c:ser>
        <c:ser>
          <c:idx val="10"/>
          <c:order val="10"/>
          <c:tx>
            <c:strRef>
              <c:f>'Paises 1 Participacion'!$A$13</c:f>
              <c:strCache>
                <c:ptCount val="1"/>
                <c:pt idx="0">
                  <c:v>Cuba</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 1 Participacion'!$C$13</c:f>
              <c:numCache>
                <c:formatCode>General</c:formatCode>
                <c:ptCount val="1"/>
                <c:pt idx="0">
                  <c:v>1</c:v>
                </c:pt>
              </c:numCache>
            </c:numRef>
          </c:val>
        </c:ser>
        <c:dLbls>
          <c:dLblPos val="outEnd"/>
          <c:showLegendKey val="0"/>
          <c:showVal val="1"/>
          <c:showCatName val="0"/>
          <c:showSerName val="0"/>
          <c:showPercent val="0"/>
          <c:showBubbleSize val="0"/>
        </c:dLbls>
        <c:gapWidth val="219"/>
        <c:overlap val="-27"/>
        <c:axId val="536566104"/>
        <c:axId val="536564928"/>
      </c:barChart>
      <c:catAx>
        <c:axId val="536566104"/>
        <c:scaling>
          <c:orientation val="minMax"/>
        </c:scaling>
        <c:delete val="1"/>
        <c:axPos val="b"/>
        <c:numFmt formatCode="General" sourceLinked="1"/>
        <c:majorTickMark val="none"/>
        <c:minorTickMark val="none"/>
        <c:tickLblPos val="nextTo"/>
        <c:crossAx val="536564928"/>
        <c:crosses val="autoZero"/>
        <c:auto val="1"/>
        <c:lblAlgn val="ctr"/>
        <c:lblOffset val="100"/>
        <c:noMultiLvlLbl val="0"/>
      </c:catAx>
      <c:valAx>
        <c:axId val="536564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536566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EAE40-332A-4C2C-95C8-8410582E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9</Pages>
  <Words>3298</Words>
  <Characters>18145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DGEI Sala de juntas</dc:creator>
  <cp:keywords/>
  <dc:description/>
  <cp:lastModifiedBy>admin</cp:lastModifiedBy>
  <cp:revision>130</cp:revision>
  <cp:lastPrinted>2019-11-20T21:45:00Z</cp:lastPrinted>
  <dcterms:created xsi:type="dcterms:W3CDTF">2018-09-26T14:55:00Z</dcterms:created>
  <dcterms:modified xsi:type="dcterms:W3CDTF">2019-11-20T22:27:00Z</dcterms:modified>
</cp:coreProperties>
</file>