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D5EB3" w14:textId="77777777" w:rsidR="001511A2" w:rsidRPr="0018560A" w:rsidRDefault="001511A2" w:rsidP="00556FA9">
      <w:pPr>
        <w:spacing w:after="0" w:line="240" w:lineRule="auto"/>
        <w:jc w:val="center"/>
        <w:rPr>
          <w:b/>
          <w:sz w:val="24"/>
        </w:rPr>
      </w:pPr>
      <w:r w:rsidRPr="0018560A">
        <w:rPr>
          <w:b/>
          <w:sz w:val="24"/>
        </w:rPr>
        <w:t>Dirección General de Evaluación Institucional</w:t>
      </w:r>
    </w:p>
    <w:p w14:paraId="6A06AB9A" w14:textId="01291E7A" w:rsidR="001511A2" w:rsidRPr="0018560A" w:rsidRDefault="001511A2" w:rsidP="00556FA9">
      <w:pPr>
        <w:spacing w:after="0" w:line="240" w:lineRule="auto"/>
        <w:jc w:val="center"/>
        <w:rPr>
          <w:b/>
          <w:sz w:val="24"/>
        </w:rPr>
      </w:pPr>
      <w:r w:rsidRPr="0018560A">
        <w:rPr>
          <w:b/>
          <w:sz w:val="24"/>
        </w:rPr>
        <w:t xml:space="preserve">Ciudad Universitaria, DF a </w:t>
      </w:r>
      <w:r w:rsidR="006161B1" w:rsidRPr="0018560A">
        <w:rPr>
          <w:b/>
          <w:sz w:val="24"/>
        </w:rPr>
        <w:t>7</w:t>
      </w:r>
      <w:r w:rsidR="007262CF" w:rsidRPr="0018560A">
        <w:rPr>
          <w:b/>
          <w:sz w:val="24"/>
        </w:rPr>
        <w:t xml:space="preserve"> </w:t>
      </w:r>
      <w:r w:rsidRPr="0018560A">
        <w:rPr>
          <w:b/>
          <w:sz w:val="24"/>
        </w:rPr>
        <w:t xml:space="preserve">de </w:t>
      </w:r>
      <w:r w:rsidR="006161B1" w:rsidRPr="0018560A">
        <w:rPr>
          <w:b/>
          <w:sz w:val="24"/>
        </w:rPr>
        <w:t>julio</w:t>
      </w:r>
      <w:r w:rsidR="007262CF" w:rsidRPr="0018560A">
        <w:rPr>
          <w:b/>
          <w:sz w:val="24"/>
        </w:rPr>
        <w:t xml:space="preserve"> </w:t>
      </w:r>
      <w:r w:rsidR="00207836" w:rsidRPr="0018560A">
        <w:rPr>
          <w:b/>
          <w:sz w:val="24"/>
        </w:rPr>
        <w:t>de 20</w:t>
      </w:r>
      <w:r w:rsidR="006161B1" w:rsidRPr="0018560A">
        <w:rPr>
          <w:b/>
          <w:sz w:val="24"/>
        </w:rPr>
        <w:t>20</w:t>
      </w:r>
    </w:p>
    <w:p w14:paraId="1CF22417" w14:textId="77777777" w:rsidR="001511A2" w:rsidRPr="0018560A" w:rsidRDefault="001511A2" w:rsidP="00556FA9">
      <w:pPr>
        <w:spacing w:after="0" w:line="240" w:lineRule="auto"/>
        <w:jc w:val="center"/>
        <w:rPr>
          <w:b/>
          <w:sz w:val="24"/>
        </w:rPr>
      </w:pPr>
    </w:p>
    <w:p w14:paraId="105F4479" w14:textId="6DE0FED6" w:rsidR="001511A2" w:rsidRPr="0018560A" w:rsidRDefault="001511A2" w:rsidP="00556FA9">
      <w:pPr>
        <w:spacing w:after="0" w:line="240" w:lineRule="auto"/>
        <w:jc w:val="center"/>
        <w:rPr>
          <w:b/>
          <w:sz w:val="28"/>
          <w:szCs w:val="28"/>
        </w:rPr>
      </w:pPr>
      <w:r w:rsidRPr="0018560A">
        <w:rPr>
          <w:b/>
          <w:sz w:val="28"/>
          <w:szCs w:val="28"/>
        </w:rPr>
        <w:t xml:space="preserve">UNAM EN </w:t>
      </w:r>
      <w:r w:rsidR="001A7CDB" w:rsidRPr="0018560A">
        <w:rPr>
          <w:b/>
          <w:sz w:val="28"/>
          <w:szCs w:val="28"/>
        </w:rPr>
        <w:t xml:space="preserve">TIMES HIGHER EDUCATION </w:t>
      </w:r>
      <w:r w:rsidR="00396BBE" w:rsidRPr="0018560A">
        <w:rPr>
          <w:b/>
          <w:sz w:val="28"/>
          <w:szCs w:val="28"/>
        </w:rPr>
        <w:t xml:space="preserve">LATINOAMÉRICA </w:t>
      </w:r>
    </w:p>
    <w:p w14:paraId="206DCAFA" w14:textId="77777777" w:rsidR="00EF2EDE" w:rsidRPr="0018560A" w:rsidRDefault="00EF2EDE" w:rsidP="00556FA9">
      <w:pPr>
        <w:spacing w:after="0" w:line="240" w:lineRule="auto"/>
        <w:rPr>
          <w:sz w:val="24"/>
        </w:rPr>
      </w:pPr>
    </w:p>
    <w:p w14:paraId="20A2FACF" w14:textId="5B5D0506" w:rsidR="001A7CDB" w:rsidRPr="0018560A" w:rsidRDefault="001A7CDB" w:rsidP="00556FA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18560A">
        <w:rPr>
          <w:sz w:val="24"/>
        </w:rPr>
        <w:t xml:space="preserve">Times Higher Education (THE) publicó la edición del ranking latinoamericano de universidades. </w:t>
      </w:r>
    </w:p>
    <w:p w14:paraId="1ACF18D8" w14:textId="77777777" w:rsidR="006D2A38" w:rsidRPr="0018560A" w:rsidRDefault="006D2A38" w:rsidP="00556FA9">
      <w:pPr>
        <w:pStyle w:val="Prrafodelista"/>
        <w:spacing w:after="0" w:line="240" w:lineRule="auto"/>
        <w:jc w:val="both"/>
        <w:rPr>
          <w:sz w:val="24"/>
        </w:rPr>
      </w:pPr>
    </w:p>
    <w:p w14:paraId="7BF1C552" w14:textId="1941F71F" w:rsidR="00BC0809" w:rsidRPr="0018560A" w:rsidRDefault="00207836" w:rsidP="00BC080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18560A">
        <w:rPr>
          <w:sz w:val="24"/>
        </w:rPr>
        <w:t xml:space="preserve">A la fecha el ranking </w:t>
      </w:r>
      <w:r w:rsidR="00BC0809" w:rsidRPr="0018560A">
        <w:rPr>
          <w:sz w:val="24"/>
        </w:rPr>
        <w:t xml:space="preserve">THE Mundial </w:t>
      </w:r>
      <w:r w:rsidR="006161B1" w:rsidRPr="0018560A">
        <w:rPr>
          <w:sz w:val="24"/>
        </w:rPr>
        <w:t>2021</w:t>
      </w:r>
      <w:r w:rsidRPr="0018560A">
        <w:rPr>
          <w:sz w:val="24"/>
        </w:rPr>
        <w:t xml:space="preserve"> no ha publicado sus resultados</w:t>
      </w:r>
      <w:r w:rsidR="00D67286" w:rsidRPr="0018560A">
        <w:rPr>
          <w:sz w:val="24"/>
        </w:rPr>
        <w:t>.</w:t>
      </w:r>
    </w:p>
    <w:p w14:paraId="052BC471" w14:textId="77777777" w:rsidR="00BC0809" w:rsidRPr="0018560A" w:rsidRDefault="00BC0809" w:rsidP="00BC0809">
      <w:pPr>
        <w:pStyle w:val="Prrafodelista"/>
        <w:rPr>
          <w:sz w:val="24"/>
        </w:rPr>
      </w:pPr>
    </w:p>
    <w:p w14:paraId="0A81452A" w14:textId="77777777" w:rsidR="003600DC" w:rsidRPr="0018560A" w:rsidRDefault="00745041" w:rsidP="00556FA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18560A">
        <w:rPr>
          <w:sz w:val="24"/>
        </w:rPr>
        <w:t xml:space="preserve">En </w:t>
      </w:r>
      <w:r w:rsidR="007347A8" w:rsidRPr="0018560A">
        <w:rPr>
          <w:sz w:val="24"/>
        </w:rPr>
        <w:t xml:space="preserve">el </w:t>
      </w:r>
      <w:r w:rsidR="006D2A38" w:rsidRPr="0018560A">
        <w:rPr>
          <w:sz w:val="24"/>
        </w:rPr>
        <w:t xml:space="preserve">ranking </w:t>
      </w:r>
      <w:r w:rsidR="001A7CDB" w:rsidRPr="0018560A">
        <w:rPr>
          <w:sz w:val="24"/>
        </w:rPr>
        <w:t>THE Latinoamérica</w:t>
      </w:r>
      <w:r w:rsidR="007347A8" w:rsidRPr="0018560A">
        <w:rPr>
          <w:sz w:val="24"/>
        </w:rPr>
        <w:t xml:space="preserve"> </w:t>
      </w:r>
      <w:r w:rsidR="006161B1" w:rsidRPr="0018560A">
        <w:rPr>
          <w:sz w:val="24"/>
        </w:rPr>
        <w:t>2020</w:t>
      </w:r>
      <w:r w:rsidR="001A7CDB" w:rsidRPr="0018560A">
        <w:rPr>
          <w:sz w:val="24"/>
        </w:rPr>
        <w:t xml:space="preserve">, </w:t>
      </w:r>
      <w:r w:rsidRPr="0018560A">
        <w:rPr>
          <w:sz w:val="24"/>
        </w:rPr>
        <w:t>la UNAM fue cl</w:t>
      </w:r>
      <w:r w:rsidR="00074F01" w:rsidRPr="0018560A">
        <w:rPr>
          <w:sz w:val="24"/>
        </w:rPr>
        <w:t xml:space="preserve">asificada en </w:t>
      </w:r>
      <w:r w:rsidR="007347A8" w:rsidRPr="0018560A">
        <w:rPr>
          <w:sz w:val="24"/>
        </w:rPr>
        <w:t xml:space="preserve">el lugar </w:t>
      </w:r>
      <w:r w:rsidR="00B627AD" w:rsidRPr="0018560A">
        <w:rPr>
          <w:sz w:val="24"/>
        </w:rPr>
        <w:t>17</w:t>
      </w:r>
      <w:r w:rsidR="003600DC" w:rsidRPr="0018560A">
        <w:rPr>
          <w:sz w:val="24"/>
        </w:rPr>
        <w:t xml:space="preserve"> en la región de Latinoamérica, y como la </w:t>
      </w:r>
      <w:r w:rsidR="001A7CDB" w:rsidRPr="0018560A">
        <w:rPr>
          <w:sz w:val="24"/>
        </w:rPr>
        <w:t xml:space="preserve">segunda mejor universidad </w:t>
      </w:r>
      <w:r w:rsidR="007347A8" w:rsidRPr="0018560A">
        <w:rPr>
          <w:sz w:val="24"/>
        </w:rPr>
        <w:t>mexicana</w:t>
      </w:r>
      <w:r w:rsidR="003600DC" w:rsidRPr="0018560A">
        <w:rPr>
          <w:sz w:val="24"/>
        </w:rPr>
        <w:t>.</w:t>
      </w:r>
    </w:p>
    <w:p w14:paraId="1C471F19" w14:textId="77777777" w:rsidR="003600DC" w:rsidRPr="0018560A" w:rsidRDefault="003600DC" w:rsidP="003600DC">
      <w:pPr>
        <w:pStyle w:val="Prrafodelista"/>
        <w:rPr>
          <w:sz w:val="24"/>
        </w:rPr>
      </w:pPr>
    </w:p>
    <w:p w14:paraId="277C970A" w14:textId="33A1CDBE" w:rsidR="001A7CDB" w:rsidRPr="0018560A" w:rsidRDefault="003600DC" w:rsidP="003600DC">
      <w:pPr>
        <w:pStyle w:val="Prrafodelista"/>
        <w:spacing w:after="0" w:line="240" w:lineRule="auto"/>
        <w:jc w:val="both"/>
        <w:rPr>
          <w:sz w:val="24"/>
        </w:rPr>
      </w:pPr>
      <w:r w:rsidRPr="0018560A">
        <w:rPr>
          <w:sz w:val="24"/>
        </w:rPr>
        <w:t>El ranking es liderado por la Pontificia Universidad Católica de Chile, en segundo lugar por la Universidad de Sao Paulo, y en tercer lugar por la Universidad de Campinas.</w:t>
      </w:r>
    </w:p>
    <w:p w14:paraId="0C57CB75" w14:textId="77777777" w:rsidR="006D2A38" w:rsidRPr="0018560A" w:rsidRDefault="006D2A38" w:rsidP="00556FA9">
      <w:pPr>
        <w:pStyle w:val="Prrafodelista"/>
        <w:spacing w:after="0"/>
        <w:rPr>
          <w:sz w:val="24"/>
        </w:rPr>
      </w:pPr>
    </w:p>
    <w:p w14:paraId="5C94F4D6" w14:textId="77777777" w:rsidR="00A2224C" w:rsidRPr="0018560A" w:rsidRDefault="00A2224C" w:rsidP="00A2224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sz w:val="24"/>
        </w:rPr>
      </w:pPr>
      <w:r w:rsidRPr="0018560A">
        <w:rPr>
          <w:b/>
          <w:sz w:val="24"/>
        </w:rPr>
        <w:t>Metodología e Indicadores</w:t>
      </w:r>
    </w:p>
    <w:p w14:paraId="06ABFED2" w14:textId="77777777" w:rsidR="00101E20" w:rsidRPr="0018560A" w:rsidRDefault="00101E20" w:rsidP="007B2D36">
      <w:pPr>
        <w:pStyle w:val="Prrafodelista"/>
        <w:spacing w:after="0" w:line="240" w:lineRule="auto"/>
        <w:jc w:val="both"/>
        <w:rPr>
          <w:sz w:val="24"/>
        </w:rPr>
      </w:pPr>
    </w:p>
    <w:p w14:paraId="1F11EFFA" w14:textId="0BC117A2" w:rsidR="007B2D36" w:rsidRPr="0018560A" w:rsidRDefault="007B2D36" w:rsidP="007B2D36">
      <w:pPr>
        <w:pStyle w:val="Prrafodelista"/>
        <w:spacing w:after="0" w:line="240" w:lineRule="auto"/>
        <w:jc w:val="both"/>
        <w:rPr>
          <w:sz w:val="24"/>
        </w:rPr>
      </w:pPr>
      <w:r w:rsidRPr="0018560A">
        <w:rPr>
          <w:sz w:val="24"/>
        </w:rPr>
        <w:t xml:space="preserve">El ranking THE Latinoamérica excluye a la clasificación de universidades, si estas: </w:t>
      </w:r>
    </w:p>
    <w:p w14:paraId="0E2FFEB9" w14:textId="75F17B7B" w:rsidR="007B2D36" w:rsidRPr="0018560A" w:rsidRDefault="007B2D36" w:rsidP="007B2D36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sz w:val="24"/>
        </w:rPr>
      </w:pPr>
      <w:r w:rsidRPr="0018560A">
        <w:rPr>
          <w:sz w:val="24"/>
        </w:rPr>
        <w:t>No enseñan licenciatura;</w:t>
      </w:r>
    </w:p>
    <w:p w14:paraId="624BBBD2" w14:textId="3B4B8F49" w:rsidR="007B2D36" w:rsidRPr="0018560A" w:rsidRDefault="007B2D36" w:rsidP="007B2D36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sz w:val="24"/>
        </w:rPr>
      </w:pPr>
      <w:r w:rsidRPr="0018560A">
        <w:rPr>
          <w:sz w:val="24"/>
        </w:rPr>
        <w:t>Son altamente especializadas (el 80% o más de su actividad es exclusiva en un tema de los 11 considerados por el ranking);</w:t>
      </w:r>
    </w:p>
    <w:p w14:paraId="0E716579" w14:textId="56B23D0E" w:rsidR="007B2D36" w:rsidRPr="0018560A" w:rsidRDefault="007B2D36" w:rsidP="007B2D36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sz w:val="24"/>
        </w:rPr>
      </w:pPr>
      <w:r w:rsidRPr="0018560A">
        <w:rPr>
          <w:sz w:val="24"/>
        </w:rPr>
        <w:t>Sus resultados de investigación no son superiores a 200 artículos en un periodo de cinco años</w:t>
      </w:r>
      <w:r w:rsidR="00101E20" w:rsidRPr="0018560A">
        <w:rPr>
          <w:sz w:val="24"/>
        </w:rPr>
        <w:t>.</w:t>
      </w:r>
    </w:p>
    <w:p w14:paraId="2D650F14" w14:textId="77777777" w:rsidR="00101E20" w:rsidRPr="0018560A" w:rsidRDefault="00101E20" w:rsidP="00101E20">
      <w:pPr>
        <w:spacing w:after="0" w:line="240" w:lineRule="auto"/>
        <w:ind w:firstLine="708"/>
        <w:jc w:val="both"/>
        <w:rPr>
          <w:b/>
          <w:sz w:val="24"/>
        </w:rPr>
      </w:pPr>
    </w:p>
    <w:tbl>
      <w:tblPr>
        <w:tblW w:w="100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2"/>
        <w:gridCol w:w="6745"/>
        <w:gridCol w:w="943"/>
        <w:gridCol w:w="850"/>
      </w:tblGrid>
      <w:tr w:rsidR="00551F52" w:rsidRPr="0018560A" w14:paraId="6E0C6674" w14:textId="77777777" w:rsidTr="00D328FD">
        <w:trPr>
          <w:trHeight w:val="255"/>
          <w:jc w:val="center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14:paraId="456CA973" w14:textId="77777777" w:rsidR="00551F52" w:rsidRPr="0018560A" w:rsidRDefault="00551F52" w:rsidP="00575FB7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18560A">
              <w:rPr>
                <w:b/>
                <w:sz w:val="20"/>
              </w:rPr>
              <w:t>Indicador</w:t>
            </w:r>
          </w:p>
        </w:tc>
        <w:tc>
          <w:tcPr>
            <w:tcW w:w="6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center"/>
            <w:hideMark/>
          </w:tcPr>
          <w:p w14:paraId="74AD7C69" w14:textId="77777777" w:rsidR="00551F52" w:rsidRPr="0018560A" w:rsidRDefault="00551F52" w:rsidP="00575FB7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18560A">
              <w:rPr>
                <w:b/>
                <w:sz w:val="20"/>
              </w:rPr>
              <w:t>Descripción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DEEAF6" w:fill="DEEAF6"/>
          </w:tcPr>
          <w:p w14:paraId="3E8ACDF8" w14:textId="0C978121" w:rsidR="00551F52" w:rsidRPr="0018560A" w:rsidRDefault="00551F52" w:rsidP="00575FB7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18560A">
              <w:rPr>
                <w:b/>
                <w:sz w:val="20"/>
              </w:rPr>
              <w:t>Ponderador</w:t>
            </w:r>
          </w:p>
        </w:tc>
      </w:tr>
      <w:tr w:rsidR="00551F52" w:rsidRPr="0018560A" w14:paraId="143DC7C6" w14:textId="77777777" w:rsidTr="00D328FD">
        <w:trPr>
          <w:trHeight w:val="255"/>
          <w:jc w:val="center"/>
        </w:trPr>
        <w:tc>
          <w:tcPr>
            <w:tcW w:w="1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3554B" w14:textId="7E72606F" w:rsidR="00551F52" w:rsidRPr="0018560A" w:rsidRDefault="00551F52" w:rsidP="000039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8560A">
              <w:rPr>
                <w:b/>
                <w:sz w:val="19"/>
                <w:szCs w:val="19"/>
              </w:rPr>
              <w:t xml:space="preserve">Citas 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C007B" w14:textId="77777777" w:rsidR="00551F52" w:rsidRPr="0018560A" w:rsidRDefault="00551F52" w:rsidP="00575FB7">
            <w:pPr>
              <w:spacing w:after="0" w:line="240" w:lineRule="auto"/>
              <w:rPr>
                <w:sz w:val="19"/>
                <w:szCs w:val="19"/>
              </w:rPr>
            </w:pPr>
            <w:r w:rsidRPr="0018560A">
              <w:rPr>
                <w:sz w:val="19"/>
                <w:szCs w:val="19"/>
              </w:rPr>
              <w:t>Promedio de citas a los artículos en revistas indexadas en Elsevier Scopus entre la planta académica, en un periodo de 5 años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33DB0" w14:textId="4070337F" w:rsidR="00551F52" w:rsidRPr="0018560A" w:rsidRDefault="00551F52" w:rsidP="00551F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8560A">
              <w:rPr>
                <w:sz w:val="19"/>
                <w:szCs w:val="19"/>
              </w:rPr>
              <w:t>20%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2742" w14:textId="0C33D586" w:rsidR="00551F52" w:rsidRPr="0018560A" w:rsidRDefault="00551F52" w:rsidP="0057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8560A">
              <w:rPr>
                <w:sz w:val="19"/>
                <w:szCs w:val="19"/>
              </w:rPr>
              <w:t>20%</w:t>
            </w:r>
          </w:p>
        </w:tc>
      </w:tr>
      <w:tr w:rsidR="00551F52" w:rsidRPr="0018560A" w14:paraId="3F18769A" w14:textId="77777777" w:rsidTr="00D328FD">
        <w:trPr>
          <w:trHeight w:val="152"/>
          <w:jc w:val="center"/>
        </w:trPr>
        <w:tc>
          <w:tcPr>
            <w:tcW w:w="1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5C4A2" w14:textId="04EA709F" w:rsidR="00551F52" w:rsidRPr="0018560A" w:rsidRDefault="00551F52" w:rsidP="000039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8560A">
              <w:rPr>
                <w:b/>
                <w:sz w:val="19"/>
                <w:szCs w:val="19"/>
              </w:rPr>
              <w:t xml:space="preserve">Docencia 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3C30" w14:textId="77777777" w:rsidR="00551F52" w:rsidRPr="0018560A" w:rsidRDefault="00551F52" w:rsidP="00575FB7">
            <w:pPr>
              <w:spacing w:after="0" w:line="240" w:lineRule="auto"/>
              <w:rPr>
                <w:sz w:val="19"/>
                <w:szCs w:val="19"/>
              </w:rPr>
            </w:pPr>
            <w:r w:rsidRPr="0018560A">
              <w:rPr>
                <w:sz w:val="19"/>
                <w:szCs w:val="19"/>
              </w:rPr>
              <w:t>Encuesta de reputación sobre docencia aplicada a académicos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7BB52" w14:textId="123BD5D4" w:rsidR="00551F52" w:rsidRPr="0018560A" w:rsidRDefault="00551F52" w:rsidP="00551F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8560A">
              <w:rPr>
                <w:sz w:val="19"/>
                <w:szCs w:val="19"/>
              </w:rPr>
              <w:t>36%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2E644" w14:textId="1AB251C5" w:rsidR="00551F52" w:rsidRPr="0018560A" w:rsidRDefault="00551F52" w:rsidP="0057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8560A">
              <w:rPr>
                <w:sz w:val="19"/>
                <w:szCs w:val="19"/>
              </w:rPr>
              <w:t>15%</w:t>
            </w:r>
          </w:p>
        </w:tc>
      </w:tr>
      <w:tr w:rsidR="00551F52" w:rsidRPr="0018560A" w14:paraId="2D0BAB1A" w14:textId="77777777" w:rsidTr="00D328FD">
        <w:trPr>
          <w:trHeight w:val="179"/>
          <w:jc w:val="center"/>
        </w:trPr>
        <w:tc>
          <w:tcPr>
            <w:tcW w:w="1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AB8C1" w14:textId="77777777" w:rsidR="00551F52" w:rsidRPr="0018560A" w:rsidRDefault="00551F52" w:rsidP="00575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MX"/>
              </w:rPr>
            </w:pP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E908A" w14:textId="77777777" w:rsidR="00551F52" w:rsidRPr="0018560A" w:rsidRDefault="00551F52" w:rsidP="00575FB7">
            <w:pPr>
              <w:spacing w:after="0" w:line="240" w:lineRule="auto"/>
              <w:rPr>
                <w:sz w:val="19"/>
                <w:szCs w:val="19"/>
              </w:rPr>
            </w:pPr>
            <w:r w:rsidRPr="0018560A">
              <w:rPr>
                <w:sz w:val="19"/>
                <w:szCs w:val="19"/>
              </w:rPr>
              <w:t>Proporción de estudiantes entre número de académicos</w:t>
            </w: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E8376" w14:textId="77777777" w:rsidR="00551F52" w:rsidRPr="0018560A" w:rsidRDefault="00551F52" w:rsidP="00551F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BE277" w14:textId="4BDA20F0" w:rsidR="00551F52" w:rsidRPr="0018560A" w:rsidRDefault="00551F52" w:rsidP="0057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8560A">
              <w:rPr>
                <w:sz w:val="19"/>
                <w:szCs w:val="19"/>
              </w:rPr>
              <w:t>5%</w:t>
            </w:r>
          </w:p>
        </w:tc>
      </w:tr>
      <w:tr w:rsidR="00551F52" w:rsidRPr="0018560A" w14:paraId="24C930CC" w14:textId="77777777" w:rsidTr="00D328FD">
        <w:trPr>
          <w:trHeight w:val="152"/>
          <w:jc w:val="center"/>
        </w:trPr>
        <w:tc>
          <w:tcPr>
            <w:tcW w:w="1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FBCF1" w14:textId="77777777" w:rsidR="00551F52" w:rsidRPr="0018560A" w:rsidRDefault="00551F52" w:rsidP="00575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MX"/>
              </w:rPr>
            </w:pP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041BD" w14:textId="77777777" w:rsidR="00551F52" w:rsidRPr="0018560A" w:rsidRDefault="00551F52" w:rsidP="00575FB7">
            <w:pPr>
              <w:spacing w:after="0" w:line="240" w:lineRule="auto"/>
              <w:rPr>
                <w:sz w:val="19"/>
                <w:szCs w:val="19"/>
              </w:rPr>
            </w:pPr>
            <w:r w:rsidRPr="0018560A">
              <w:rPr>
                <w:sz w:val="19"/>
                <w:szCs w:val="19"/>
              </w:rPr>
              <w:t>Doctorados otorgados entre licenciaturas otorgadas</w:t>
            </w: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0377A" w14:textId="77777777" w:rsidR="00551F52" w:rsidRPr="0018560A" w:rsidRDefault="00551F52" w:rsidP="00551F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6E7D8" w14:textId="35760B67" w:rsidR="00551F52" w:rsidRPr="0018560A" w:rsidRDefault="00551F52" w:rsidP="0057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8560A">
              <w:rPr>
                <w:sz w:val="19"/>
                <w:szCs w:val="19"/>
              </w:rPr>
              <w:t>5%</w:t>
            </w:r>
          </w:p>
        </w:tc>
      </w:tr>
      <w:tr w:rsidR="00551F52" w:rsidRPr="0018560A" w14:paraId="3836599D" w14:textId="77777777" w:rsidTr="00D328FD">
        <w:trPr>
          <w:trHeight w:val="190"/>
          <w:jc w:val="center"/>
        </w:trPr>
        <w:tc>
          <w:tcPr>
            <w:tcW w:w="1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1C817" w14:textId="77777777" w:rsidR="00551F52" w:rsidRPr="0018560A" w:rsidRDefault="00551F52" w:rsidP="00575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MX"/>
              </w:rPr>
            </w:pP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60D39" w14:textId="77777777" w:rsidR="00551F52" w:rsidRPr="0018560A" w:rsidRDefault="00551F52" w:rsidP="00575FB7">
            <w:pPr>
              <w:spacing w:after="0" w:line="240" w:lineRule="auto"/>
              <w:rPr>
                <w:sz w:val="19"/>
                <w:szCs w:val="19"/>
              </w:rPr>
            </w:pPr>
            <w:r w:rsidRPr="0018560A">
              <w:rPr>
                <w:sz w:val="19"/>
                <w:szCs w:val="19"/>
              </w:rPr>
              <w:t xml:space="preserve">Doctorados otorgados entre número de académicos </w:t>
            </w: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75B2F" w14:textId="77777777" w:rsidR="00551F52" w:rsidRPr="0018560A" w:rsidRDefault="00551F52" w:rsidP="00551F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08A4" w14:textId="797CFA9D" w:rsidR="00551F52" w:rsidRPr="0018560A" w:rsidRDefault="00551F52" w:rsidP="0057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8560A">
              <w:rPr>
                <w:sz w:val="19"/>
                <w:szCs w:val="19"/>
              </w:rPr>
              <w:t>5%</w:t>
            </w:r>
          </w:p>
        </w:tc>
      </w:tr>
      <w:tr w:rsidR="00551F52" w:rsidRPr="0018560A" w14:paraId="3F1D34B8" w14:textId="77777777" w:rsidTr="00D328FD">
        <w:trPr>
          <w:trHeight w:val="172"/>
          <w:jc w:val="center"/>
        </w:trPr>
        <w:tc>
          <w:tcPr>
            <w:tcW w:w="1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8B44E" w14:textId="77777777" w:rsidR="00551F52" w:rsidRPr="0018560A" w:rsidRDefault="00551F52" w:rsidP="00575F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MX"/>
              </w:rPr>
            </w:pP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C6C4" w14:textId="77777777" w:rsidR="00551F52" w:rsidRPr="0018560A" w:rsidRDefault="00551F52" w:rsidP="00575FB7">
            <w:pPr>
              <w:spacing w:after="0" w:line="240" w:lineRule="auto"/>
              <w:rPr>
                <w:sz w:val="19"/>
                <w:szCs w:val="19"/>
              </w:rPr>
            </w:pPr>
            <w:r w:rsidRPr="0018560A">
              <w:rPr>
                <w:sz w:val="19"/>
                <w:szCs w:val="19"/>
              </w:rPr>
              <w:t xml:space="preserve">Presupuesto para docencia entre número de académicos </w:t>
            </w: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847CB" w14:textId="77777777" w:rsidR="00551F52" w:rsidRPr="0018560A" w:rsidRDefault="00551F52" w:rsidP="00551F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0A0C" w14:textId="1162078C" w:rsidR="00551F52" w:rsidRPr="0018560A" w:rsidRDefault="00551F52" w:rsidP="0057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8560A">
              <w:rPr>
                <w:sz w:val="19"/>
                <w:szCs w:val="19"/>
              </w:rPr>
              <w:t>6%</w:t>
            </w:r>
          </w:p>
        </w:tc>
      </w:tr>
      <w:tr w:rsidR="00551F52" w:rsidRPr="0018560A" w14:paraId="1BCE0966" w14:textId="77777777" w:rsidTr="00D328FD">
        <w:trPr>
          <w:trHeight w:val="172"/>
          <w:jc w:val="center"/>
        </w:trPr>
        <w:tc>
          <w:tcPr>
            <w:tcW w:w="1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C3FD3" w14:textId="30EF45A0" w:rsidR="00551F52" w:rsidRPr="0018560A" w:rsidRDefault="00551F52" w:rsidP="000039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8560A">
              <w:rPr>
                <w:b/>
                <w:sz w:val="19"/>
                <w:szCs w:val="19"/>
              </w:rPr>
              <w:t xml:space="preserve">Investigación 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5858" w14:textId="77777777" w:rsidR="00551F52" w:rsidRPr="0018560A" w:rsidRDefault="00551F52" w:rsidP="00575FB7">
            <w:pPr>
              <w:spacing w:after="0" w:line="240" w:lineRule="auto"/>
              <w:rPr>
                <w:sz w:val="19"/>
                <w:szCs w:val="19"/>
              </w:rPr>
            </w:pPr>
            <w:r w:rsidRPr="0018560A">
              <w:rPr>
                <w:sz w:val="19"/>
                <w:szCs w:val="19"/>
              </w:rPr>
              <w:t>Encuesta de reputación sobre investigación aplicada a académicos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DE460" w14:textId="50228373" w:rsidR="00551F52" w:rsidRPr="0018560A" w:rsidRDefault="00551F52" w:rsidP="00551F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8560A">
              <w:rPr>
                <w:sz w:val="19"/>
                <w:szCs w:val="19"/>
              </w:rPr>
              <w:t>34%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F07E0" w14:textId="367730F4" w:rsidR="00551F52" w:rsidRPr="0018560A" w:rsidRDefault="00551F52" w:rsidP="0057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8560A">
              <w:rPr>
                <w:sz w:val="19"/>
                <w:szCs w:val="19"/>
              </w:rPr>
              <w:t>18%</w:t>
            </w:r>
          </w:p>
        </w:tc>
      </w:tr>
      <w:tr w:rsidR="00551F52" w:rsidRPr="0018560A" w14:paraId="600E2144" w14:textId="77777777" w:rsidTr="00D328FD">
        <w:trPr>
          <w:trHeight w:val="204"/>
          <w:jc w:val="center"/>
        </w:trPr>
        <w:tc>
          <w:tcPr>
            <w:tcW w:w="1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B4C9F" w14:textId="77777777" w:rsidR="00551F52" w:rsidRPr="0018560A" w:rsidRDefault="00551F52" w:rsidP="0057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73CF0" w14:textId="77777777" w:rsidR="00551F52" w:rsidRPr="0018560A" w:rsidRDefault="00551F52" w:rsidP="00575FB7">
            <w:pPr>
              <w:spacing w:after="0" w:line="240" w:lineRule="auto"/>
              <w:rPr>
                <w:sz w:val="19"/>
                <w:szCs w:val="19"/>
              </w:rPr>
            </w:pPr>
            <w:r w:rsidRPr="0018560A">
              <w:rPr>
                <w:sz w:val="19"/>
                <w:szCs w:val="19"/>
              </w:rPr>
              <w:t xml:space="preserve">Financiamiento para investigación entre número de académicos </w:t>
            </w: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8005" w14:textId="77777777" w:rsidR="00551F52" w:rsidRPr="0018560A" w:rsidRDefault="00551F52" w:rsidP="00551F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9A07A" w14:textId="654EE148" w:rsidR="00551F52" w:rsidRPr="0018560A" w:rsidRDefault="00551F52" w:rsidP="0057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8560A">
              <w:rPr>
                <w:sz w:val="19"/>
                <w:szCs w:val="19"/>
              </w:rPr>
              <w:t>6%</w:t>
            </w:r>
          </w:p>
        </w:tc>
      </w:tr>
      <w:tr w:rsidR="00551F52" w:rsidRPr="0018560A" w14:paraId="1C657E2F" w14:textId="77777777" w:rsidTr="00D328FD">
        <w:trPr>
          <w:trHeight w:val="255"/>
          <w:jc w:val="center"/>
        </w:trPr>
        <w:tc>
          <w:tcPr>
            <w:tcW w:w="1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F0958" w14:textId="77777777" w:rsidR="00551F52" w:rsidRPr="0018560A" w:rsidRDefault="00551F52" w:rsidP="0057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62E10" w14:textId="77777777" w:rsidR="00551F52" w:rsidRPr="0018560A" w:rsidRDefault="00551F52" w:rsidP="00575FB7">
            <w:pPr>
              <w:spacing w:after="0" w:line="240" w:lineRule="auto"/>
              <w:rPr>
                <w:sz w:val="19"/>
                <w:szCs w:val="19"/>
              </w:rPr>
            </w:pPr>
            <w:r w:rsidRPr="0018560A">
              <w:rPr>
                <w:sz w:val="19"/>
                <w:szCs w:val="19"/>
              </w:rPr>
              <w:t>Promedio de artículos publicados en revistas indexadas en Elsevier Scopus entre el número de académicos</w:t>
            </w: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36D3" w14:textId="77777777" w:rsidR="00551F52" w:rsidRPr="0018560A" w:rsidRDefault="00551F52" w:rsidP="00551F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20563" w14:textId="1FACF2C5" w:rsidR="00551F52" w:rsidRPr="0018560A" w:rsidRDefault="00551F52" w:rsidP="0057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8560A">
              <w:rPr>
                <w:sz w:val="19"/>
                <w:szCs w:val="19"/>
              </w:rPr>
              <w:t>10%</w:t>
            </w:r>
          </w:p>
        </w:tc>
      </w:tr>
      <w:tr w:rsidR="00551F52" w:rsidRPr="0018560A" w14:paraId="0ECDA6B5" w14:textId="77777777" w:rsidTr="00D328FD">
        <w:trPr>
          <w:trHeight w:val="255"/>
          <w:jc w:val="center"/>
        </w:trPr>
        <w:tc>
          <w:tcPr>
            <w:tcW w:w="14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69508" w14:textId="664ED800" w:rsidR="00551F52" w:rsidRPr="0018560A" w:rsidRDefault="00551F52" w:rsidP="000039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8560A">
              <w:rPr>
                <w:b/>
                <w:sz w:val="19"/>
                <w:szCs w:val="19"/>
              </w:rPr>
              <w:t>Perspectiva internacional</w:t>
            </w:r>
            <w:r w:rsidRPr="0018560A">
              <w:rPr>
                <w:sz w:val="19"/>
                <w:szCs w:val="19"/>
              </w:rPr>
              <w:t xml:space="preserve"> 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04A72" w14:textId="77777777" w:rsidR="00551F52" w:rsidRPr="0018560A" w:rsidRDefault="00551F52" w:rsidP="00575FB7">
            <w:pPr>
              <w:spacing w:after="0" w:line="240" w:lineRule="auto"/>
              <w:rPr>
                <w:sz w:val="19"/>
                <w:szCs w:val="19"/>
              </w:rPr>
            </w:pPr>
            <w:r w:rsidRPr="0018560A">
              <w:rPr>
                <w:sz w:val="19"/>
                <w:szCs w:val="19"/>
              </w:rPr>
              <w:t>Proporción de académicos internacionales entre académicos nacionales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B62A6" w14:textId="3CD86942" w:rsidR="00551F52" w:rsidRPr="0018560A" w:rsidRDefault="00551F52" w:rsidP="00551F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8560A">
              <w:rPr>
                <w:sz w:val="19"/>
                <w:szCs w:val="19"/>
              </w:rPr>
              <w:t>7.5%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B8AE" w14:textId="5C460C86" w:rsidR="00551F52" w:rsidRPr="0018560A" w:rsidRDefault="00551F52" w:rsidP="0057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8560A">
              <w:rPr>
                <w:sz w:val="19"/>
                <w:szCs w:val="19"/>
              </w:rPr>
              <w:t>2.5%</w:t>
            </w:r>
          </w:p>
        </w:tc>
      </w:tr>
      <w:tr w:rsidR="00551F52" w:rsidRPr="0018560A" w14:paraId="6445C7DE" w14:textId="77777777" w:rsidTr="00D328FD">
        <w:trPr>
          <w:trHeight w:val="255"/>
          <w:jc w:val="center"/>
        </w:trPr>
        <w:tc>
          <w:tcPr>
            <w:tcW w:w="1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129C7" w14:textId="77777777" w:rsidR="00551F52" w:rsidRPr="0018560A" w:rsidRDefault="00551F52" w:rsidP="0057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C575D" w14:textId="77777777" w:rsidR="00551F52" w:rsidRPr="0018560A" w:rsidRDefault="00551F52" w:rsidP="00575FB7">
            <w:pPr>
              <w:spacing w:after="0" w:line="240" w:lineRule="auto"/>
              <w:rPr>
                <w:sz w:val="19"/>
                <w:szCs w:val="19"/>
              </w:rPr>
            </w:pPr>
            <w:r w:rsidRPr="0018560A">
              <w:rPr>
                <w:sz w:val="19"/>
                <w:szCs w:val="19"/>
              </w:rPr>
              <w:t>Proporción de estudiantes internacionales entre estudiantes nacionales</w:t>
            </w: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27118" w14:textId="77777777" w:rsidR="00551F52" w:rsidRPr="0018560A" w:rsidRDefault="00551F52" w:rsidP="00551F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05ABD" w14:textId="7AE43858" w:rsidR="00551F52" w:rsidRPr="0018560A" w:rsidRDefault="00551F52" w:rsidP="0057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8560A">
              <w:rPr>
                <w:sz w:val="19"/>
                <w:szCs w:val="19"/>
              </w:rPr>
              <w:t>2.5%</w:t>
            </w:r>
          </w:p>
        </w:tc>
      </w:tr>
      <w:tr w:rsidR="00551F52" w:rsidRPr="0018560A" w14:paraId="582663C3" w14:textId="77777777" w:rsidTr="00D328FD">
        <w:trPr>
          <w:trHeight w:val="249"/>
          <w:jc w:val="center"/>
        </w:trPr>
        <w:tc>
          <w:tcPr>
            <w:tcW w:w="1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18D3A" w14:textId="77777777" w:rsidR="00551F52" w:rsidRPr="0018560A" w:rsidRDefault="00551F52" w:rsidP="0057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D466" w14:textId="77777777" w:rsidR="00551F52" w:rsidRPr="0018560A" w:rsidRDefault="00551F52" w:rsidP="00575FB7">
            <w:pPr>
              <w:spacing w:after="0" w:line="240" w:lineRule="auto"/>
              <w:rPr>
                <w:sz w:val="19"/>
                <w:szCs w:val="19"/>
              </w:rPr>
            </w:pPr>
            <w:r w:rsidRPr="0018560A">
              <w:rPr>
                <w:sz w:val="19"/>
                <w:szCs w:val="19"/>
              </w:rPr>
              <w:t xml:space="preserve">Proporción de artículos publicados con coautores internacionales </w:t>
            </w: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6CF7" w14:textId="77777777" w:rsidR="00551F52" w:rsidRPr="0018560A" w:rsidRDefault="00551F52" w:rsidP="00551F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7F6DD" w14:textId="15C97991" w:rsidR="00551F52" w:rsidRPr="0018560A" w:rsidRDefault="00551F52" w:rsidP="0057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8560A">
              <w:rPr>
                <w:sz w:val="19"/>
                <w:szCs w:val="19"/>
              </w:rPr>
              <w:t>2.5%</w:t>
            </w:r>
          </w:p>
        </w:tc>
      </w:tr>
      <w:tr w:rsidR="00551F52" w:rsidRPr="0018560A" w14:paraId="0EA09BFC" w14:textId="77777777" w:rsidTr="00D328FD">
        <w:trPr>
          <w:trHeight w:val="255"/>
          <w:jc w:val="center"/>
        </w:trPr>
        <w:tc>
          <w:tcPr>
            <w:tcW w:w="1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E03C2" w14:textId="5EDD39A5" w:rsidR="00551F52" w:rsidRPr="0018560A" w:rsidRDefault="00551F52" w:rsidP="000039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8560A">
              <w:rPr>
                <w:b/>
                <w:sz w:val="19"/>
                <w:szCs w:val="19"/>
              </w:rPr>
              <w:t>Financiamiento de la industria</w:t>
            </w:r>
            <w:r w:rsidRPr="0018560A">
              <w:rPr>
                <w:sz w:val="19"/>
                <w:szCs w:val="19"/>
              </w:rPr>
              <w:t xml:space="preserve"> 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3141A" w14:textId="77777777" w:rsidR="00551F52" w:rsidRPr="0018560A" w:rsidRDefault="00551F52" w:rsidP="00575FB7">
            <w:pPr>
              <w:spacing w:after="0" w:line="240" w:lineRule="auto"/>
              <w:rPr>
                <w:sz w:val="19"/>
                <w:szCs w:val="19"/>
              </w:rPr>
            </w:pPr>
            <w:r w:rsidRPr="0018560A">
              <w:rPr>
                <w:sz w:val="19"/>
                <w:szCs w:val="19"/>
              </w:rPr>
              <w:t>Financiamiento proveniente de la industria dedicado a la investigación entre el número de académicos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8613E" w14:textId="4E63FF97" w:rsidR="00551F52" w:rsidRPr="0018560A" w:rsidRDefault="00551F52" w:rsidP="00551F5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8560A">
              <w:rPr>
                <w:sz w:val="19"/>
                <w:szCs w:val="19"/>
              </w:rPr>
              <w:t>2.5%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6EF21" w14:textId="34E62FE6" w:rsidR="00551F52" w:rsidRPr="0018560A" w:rsidRDefault="00551F52" w:rsidP="00575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8560A">
              <w:rPr>
                <w:sz w:val="19"/>
                <w:szCs w:val="19"/>
              </w:rPr>
              <w:t>2.5%</w:t>
            </w:r>
          </w:p>
        </w:tc>
      </w:tr>
    </w:tbl>
    <w:p w14:paraId="0713C1EF" w14:textId="77777777" w:rsidR="00556FA9" w:rsidRPr="0018560A" w:rsidRDefault="00556FA9" w:rsidP="00556FA9">
      <w:pPr>
        <w:spacing w:after="0"/>
        <w:rPr>
          <w:sz w:val="24"/>
        </w:rPr>
      </w:pPr>
    </w:p>
    <w:p w14:paraId="01248E7F" w14:textId="1AEBD862" w:rsidR="00236AB1" w:rsidRPr="0018560A" w:rsidRDefault="00236AB1" w:rsidP="00D251CD">
      <w:pPr>
        <w:pStyle w:val="Prrafodelista"/>
        <w:spacing w:after="0" w:line="240" w:lineRule="auto"/>
        <w:jc w:val="both"/>
        <w:rPr>
          <w:sz w:val="24"/>
        </w:rPr>
      </w:pPr>
      <w:r w:rsidRPr="0018560A">
        <w:rPr>
          <w:sz w:val="24"/>
        </w:rPr>
        <w:t>Todos los puntajes del ranking se encuentran normalizados al 100% con respecto a las universidades con mejor desempeño en cada indicador.</w:t>
      </w:r>
    </w:p>
    <w:p w14:paraId="2073ABB2" w14:textId="77777777" w:rsidR="00236AB1" w:rsidRPr="0018560A" w:rsidRDefault="00236AB1" w:rsidP="00556FA9">
      <w:pPr>
        <w:spacing w:after="0"/>
        <w:rPr>
          <w:sz w:val="24"/>
        </w:rPr>
      </w:pPr>
    </w:p>
    <w:tbl>
      <w:tblPr>
        <w:tblW w:w="71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8"/>
        <w:gridCol w:w="2074"/>
        <w:gridCol w:w="2074"/>
      </w:tblGrid>
      <w:tr w:rsidR="009857C4" w:rsidRPr="0018560A" w14:paraId="6E9E4E15" w14:textId="77777777" w:rsidTr="003536C0">
        <w:trPr>
          <w:trHeight w:val="236"/>
          <w:jc w:val="center"/>
        </w:trPr>
        <w:tc>
          <w:tcPr>
            <w:tcW w:w="7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6C0C7" w14:textId="52B834F4" w:rsidR="009857C4" w:rsidRPr="0018560A" w:rsidRDefault="009857C4" w:rsidP="00353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50505"/>
                <w:sz w:val="20"/>
                <w:lang w:eastAsia="es-MX"/>
              </w:rPr>
            </w:pPr>
            <w:r w:rsidRPr="0018560A">
              <w:rPr>
                <w:rFonts w:ascii="Calibri" w:eastAsia="Times New Roman" w:hAnsi="Calibri" w:cs="Times New Roman"/>
                <w:b/>
                <w:bCs/>
                <w:color w:val="050505"/>
                <w:sz w:val="20"/>
                <w:lang w:eastAsia="es-MX"/>
              </w:rPr>
              <w:t xml:space="preserve">Tabla 1. </w:t>
            </w:r>
            <w:r w:rsidR="00556FA9" w:rsidRPr="0018560A">
              <w:rPr>
                <w:rFonts w:ascii="Calibri" w:eastAsia="Times New Roman" w:hAnsi="Calibri" w:cs="Times New Roman"/>
                <w:b/>
                <w:bCs/>
                <w:color w:val="050505"/>
                <w:sz w:val="20"/>
                <w:lang w:eastAsia="es-MX"/>
              </w:rPr>
              <w:t xml:space="preserve">Comparación de la variación en los ponderadores utilizados en el ranking </w:t>
            </w:r>
            <w:r w:rsidR="00CC478C" w:rsidRPr="0018560A">
              <w:rPr>
                <w:rFonts w:ascii="Calibri" w:eastAsia="Times New Roman" w:hAnsi="Calibri" w:cs="Times New Roman"/>
                <w:b/>
                <w:bCs/>
                <w:color w:val="050505"/>
                <w:sz w:val="20"/>
                <w:lang w:eastAsia="es-MX"/>
              </w:rPr>
              <w:t xml:space="preserve">THE </w:t>
            </w:r>
            <w:r w:rsidR="00556FA9" w:rsidRPr="0018560A">
              <w:rPr>
                <w:rFonts w:ascii="Calibri" w:eastAsia="Times New Roman" w:hAnsi="Calibri" w:cs="Times New Roman"/>
                <w:b/>
                <w:bCs/>
                <w:color w:val="050505"/>
                <w:sz w:val="20"/>
                <w:lang w:eastAsia="es-MX"/>
              </w:rPr>
              <w:t xml:space="preserve">mundial y el ranking </w:t>
            </w:r>
            <w:r w:rsidR="00CC478C" w:rsidRPr="0018560A">
              <w:rPr>
                <w:rFonts w:ascii="Calibri" w:eastAsia="Times New Roman" w:hAnsi="Calibri" w:cs="Times New Roman"/>
                <w:b/>
                <w:bCs/>
                <w:color w:val="050505"/>
                <w:sz w:val="20"/>
                <w:lang w:eastAsia="es-MX"/>
              </w:rPr>
              <w:t xml:space="preserve">THE </w:t>
            </w:r>
            <w:r w:rsidR="00556FA9" w:rsidRPr="0018560A">
              <w:rPr>
                <w:rFonts w:ascii="Calibri" w:eastAsia="Times New Roman" w:hAnsi="Calibri" w:cs="Times New Roman"/>
                <w:b/>
                <w:bCs/>
                <w:color w:val="050505"/>
                <w:sz w:val="20"/>
                <w:lang w:eastAsia="es-MX"/>
              </w:rPr>
              <w:t>Latinoamérica</w:t>
            </w:r>
            <w:r w:rsidR="00885344" w:rsidRPr="0018560A">
              <w:rPr>
                <w:rFonts w:ascii="Calibri" w:eastAsia="Times New Roman" w:hAnsi="Calibri" w:cs="Times New Roman"/>
                <w:b/>
                <w:bCs/>
                <w:color w:val="050505"/>
                <w:sz w:val="20"/>
                <w:lang w:eastAsia="es-MX"/>
              </w:rPr>
              <w:t>.</w:t>
            </w:r>
          </w:p>
        </w:tc>
      </w:tr>
      <w:tr w:rsidR="00556FA9" w:rsidRPr="0018560A" w14:paraId="12F796D8" w14:textId="77777777" w:rsidTr="003536C0">
        <w:trPr>
          <w:trHeight w:val="489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6019FC4" w14:textId="5FAF7FD7" w:rsidR="00556FA9" w:rsidRPr="0018560A" w:rsidRDefault="00556FA9" w:rsidP="00556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50505"/>
                <w:sz w:val="20"/>
                <w:lang w:eastAsia="es-MX"/>
              </w:rPr>
            </w:pPr>
            <w:r w:rsidRPr="0018560A">
              <w:rPr>
                <w:b/>
                <w:sz w:val="20"/>
              </w:rPr>
              <w:t>Indicador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2DFF658" w14:textId="77777777" w:rsidR="00A20978" w:rsidRPr="0018560A" w:rsidRDefault="00A20978" w:rsidP="00A20978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18560A">
              <w:rPr>
                <w:b/>
                <w:sz w:val="20"/>
              </w:rPr>
              <w:t>Ranking</w:t>
            </w:r>
          </w:p>
          <w:p w14:paraId="25296B63" w14:textId="77777777" w:rsidR="00556FA9" w:rsidRPr="0018560A" w:rsidRDefault="00A20978" w:rsidP="00A20978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18560A">
              <w:rPr>
                <w:b/>
                <w:sz w:val="20"/>
              </w:rPr>
              <w:t>L</w:t>
            </w:r>
            <w:r w:rsidR="00556FA9" w:rsidRPr="0018560A">
              <w:rPr>
                <w:b/>
                <w:sz w:val="20"/>
              </w:rPr>
              <w:t>atinoamérica</w:t>
            </w:r>
          </w:p>
          <w:p w14:paraId="075ACBF1" w14:textId="666F9FC3" w:rsidR="003536C0" w:rsidRPr="0018560A" w:rsidRDefault="003536C0" w:rsidP="00A20978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18560A">
              <w:rPr>
                <w:b/>
                <w:sz w:val="20"/>
              </w:rPr>
              <w:t>20</w:t>
            </w:r>
            <w:r w:rsidR="00D251CD" w:rsidRPr="0018560A">
              <w:rPr>
                <w:b/>
                <w:sz w:val="20"/>
              </w:rPr>
              <w:t>20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AE21483" w14:textId="77777777" w:rsidR="00A20978" w:rsidRPr="0018560A" w:rsidRDefault="00A20978" w:rsidP="00A20978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18560A">
              <w:rPr>
                <w:b/>
                <w:sz w:val="20"/>
              </w:rPr>
              <w:t xml:space="preserve">Ranking </w:t>
            </w:r>
          </w:p>
          <w:p w14:paraId="7FD451FF" w14:textId="77777777" w:rsidR="00556FA9" w:rsidRPr="0018560A" w:rsidRDefault="00556FA9" w:rsidP="00A20978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18560A">
              <w:rPr>
                <w:b/>
                <w:sz w:val="20"/>
              </w:rPr>
              <w:t>Mundial</w:t>
            </w:r>
          </w:p>
          <w:p w14:paraId="518FC14D" w14:textId="65DDD19F" w:rsidR="003536C0" w:rsidRPr="0018560A" w:rsidRDefault="003536C0" w:rsidP="00A209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50505"/>
                <w:sz w:val="20"/>
                <w:lang w:eastAsia="es-MX"/>
              </w:rPr>
            </w:pPr>
            <w:r w:rsidRPr="0018560A">
              <w:rPr>
                <w:b/>
                <w:sz w:val="20"/>
              </w:rPr>
              <w:t>20</w:t>
            </w:r>
            <w:r w:rsidR="00D251CD" w:rsidRPr="0018560A">
              <w:rPr>
                <w:b/>
                <w:sz w:val="20"/>
              </w:rPr>
              <w:t>20</w:t>
            </w:r>
            <w:r w:rsidRPr="0018560A">
              <w:rPr>
                <w:b/>
                <w:sz w:val="20"/>
              </w:rPr>
              <w:t>*</w:t>
            </w:r>
          </w:p>
        </w:tc>
      </w:tr>
      <w:tr w:rsidR="00556FA9" w:rsidRPr="0018560A" w14:paraId="34DCB68D" w14:textId="77777777" w:rsidTr="003536C0">
        <w:trPr>
          <w:trHeight w:val="225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F595" w14:textId="1603F4E2" w:rsidR="00556FA9" w:rsidRPr="0018560A" w:rsidRDefault="00556FA9" w:rsidP="00556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0505"/>
                <w:sz w:val="19"/>
                <w:szCs w:val="19"/>
                <w:lang w:eastAsia="es-MX"/>
              </w:rPr>
            </w:pPr>
            <w:r w:rsidRPr="0018560A">
              <w:rPr>
                <w:sz w:val="19"/>
                <w:szCs w:val="19"/>
              </w:rPr>
              <w:t>Citas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15A4" w14:textId="7A826679" w:rsidR="00556FA9" w:rsidRPr="0018560A" w:rsidRDefault="00556FA9" w:rsidP="00556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0505"/>
                <w:sz w:val="19"/>
                <w:szCs w:val="19"/>
                <w:lang w:eastAsia="es-MX"/>
              </w:rPr>
            </w:pPr>
            <w:r w:rsidRPr="0018560A">
              <w:rPr>
                <w:sz w:val="19"/>
                <w:szCs w:val="19"/>
              </w:rPr>
              <w:t>20%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1D7B" w14:textId="77A222D2" w:rsidR="00556FA9" w:rsidRPr="0018560A" w:rsidRDefault="00556FA9" w:rsidP="00556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0505"/>
                <w:sz w:val="19"/>
                <w:szCs w:val="19"/>
                <w:lang w:eastAsia="es-MX"/>
              </w:rPr>
            </w:pPr>
            <w:r w:rsidRPr="0018560A">
              <w:rPr>
                <w:sz w:val="19"/>
                <w:szCs w:val="19"/>
              </w:rPr>
              <w:t>30%</w:t>
            </w:r>
          </w:p>
        </w:tc>
      </w:tr>
      <w:tr w:rsidR="00556FA9" w:rsidRPr="0018560A" w14:paraId="1B5A6809" w14:textId="77777777" w:rsidTr="003536C0">
        <w:trPr>
          <w:trHeight w:val="225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CB2F" w14:textId="221EBDAA" w:rsidR="00556FA9" w:rsidRPr="0018560A" w:rsidRDefault="00556FA9" w:rsidP="00556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0505"/>
                <w:sz w:val="19"/>
                <w:szCs w:val="19"/>
                <w:lang w:eastAsia="es-MX"/>
              </w:rPr>
            </w:pPr>
            <w:r w:rsidRPr="0018560A">
              <w:rPr>
                <w:sz w:val="19"/>
                <w:szCs w:val="19"/>
              </w:rPr>
              <w:t>Docencia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9A06" w14:textId="105EE17A" w:rsidR="00556FA9" w:rsidRPr="0018560A" w:rsidRDefault="00556FA9" w:rsidP="00556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0505"/>
                <w:sz w:val="19"/>
                <w:szCs w:val="19"/>
                <w:lang w:eastAsia="es-MX"/>
              </w:rPr>
            </w:pPr>
            <w:r w:rsidRPr="0018560A">
              <w:rPr>
                <w:sz w:val="19"/>
                <w:szCs w:val="19"/>
              </w:rPr>
              <w:t>36%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AAC0" w14:textId="22FCBA12" w:rsidR="00556FA9" w:rsidRPr="0018560A" w:rsidRDefault="00556FA9" w:rsidP="00556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0505"/>
                <w:sz w:val="19"/>
                <w:szCs w:val="19"/>
                <w:lang w:eastAsia="es-MX"/>
              </w:rPr>
            </w:pPr>
            <w:r w:rsidRPr="0018560A">
              <w:rPr>
                <w:sz w:val="19"/>
                <w:szCs w:val="19"/>
              </w:rPr>
              <w:t>30%</w:t>
            </w:r>
          </w:p>
        </w:tc>
      </w:tr>
      <w:tr w:rsidR="00556FA9" w:rsidRPr="0018560A" w14:paraId="0EAC65FC" w14:textId="77777777" w:rsidTr="003536C0">
        <w:trPr>
          <w:trHeight w:val="225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4178" w14:textId="547B1995" w:rsidR="00556FA9" w:rsidRPr="0018560A" w:rsidRDefault="00556FA9" w:rsidP="00556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0505"/>
                <w:sz w:val="19"/>
                <w:szCs w:val="19"/>
                <w:lang w:eastAsia="es-MX"/>
              </w:rPr>
            </w:pPr>
            <w:r w:rsidRPr="0018560A">
              <w:rPr>
                <w:sz w:val="19"/>
                <w:szCs w:val="19"/>
              </w:rPr>
              <w:t>Investigación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5A87" w14:textId="11914931" w:rsidR="00556FA9" w:rsidRPr="0018560A" w:rsidRDefault="00556FA9" w:rsidP="00556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0505"/>
                <w:sz w:val="19"/>
                <w:szCs w:val="19"/>
                <w:lang w:eastAsia="es-MX"/>
              </w:rPr>
            </w:pPr>
            <w:r w:rsidRPr="0018560A">
              <w:rPr>
                <w:sz w:val="19"/>
                <w:szCs w:val="19"/>
              </w:rPr>
              <w:t>34%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E741" w14:textId="0DB18B09" w:rsidR="00556FA9" w:rsidRPr="0018560A" w:rsidRDefault="00556FA9" w:rsidP="00556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0505"/>
                <w:sz w:val="19"/>
                <w:szCs w:val="19"/>
                <w:lang w:eastAsia="es-MX"/>
              </w:rPr>
            </w:pPr>
            <w:r w:rsidRPr="0018560A">
              <w:rPr>
                <w:sz w:val="19"/>
                <w:szCs w:val="19"/>
              </w:rPr>
              <w:t>30%</w:t>
            </w:r>
          </w:p>
        </w:tc>
      </w:tr>
      <w:tr w:rsidR="00556FA9" w:rsidRPr="0018560A" w14:paraId="40FDCD93" w14:textId="77777777" w:rsidTr="003536C0">
        <w:trPr>
          <w:trHeight w:val="225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B5DA" w14:textId="6F2F8E84" w:rsidR="00556FA9" w:rsidRPr="0018560A" w:rsidRDefault="00556FA9" w:rsidP="00556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0505"/>
                <w:sz w:val="19"/>
                <w:szCs w:val="19"/>
                <w:lang w:eastAsia="es-MX"/>
              </w:rPr>
            </w:pPr>
            <w:r w:rsidRPr="0018560A">
              <w:rPr>
                <w:sz w:val="19"/>
                <w:szCs w:val="19"/>
              </w:rPr>
              <w:t>Perspectiva internacional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5CD1" w14:textId="0E7B4B47" w:rsidR="00556FA9" w:rsidRPr="0018560A" w:rsidRDefault="00556FA9" w:rsidP="00556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0505"/>
                <w:sz w:val="19"/>
                <w:szCs w:val="19"/>
                <w:lang w:eastAsia="es-MX"/>
              </w:rPr>
            </w:pPr>
            <w:r w:rsidRPr="0018560A">
              <w:rPr>
                <w:sz w:val="19"/>
                <w:szCs w:val="19"/>
              </w:rPr>
              <w:t>7.5%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71B3" w14:textId="2B0396DF" w:rsidR="00556FA9" w:rsidRPr="0018560A" w:rsidRDefault="00556FA9" w:rsidP="00556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0505"/>
                <w:sz w:val="19"/>
                <w:szCs w:val="19"/>
                <w:lang w:eastAsia="es-MX"/>
              </w:rPr>
            </w:pPr>
            <w:r w:rsidRPr="0018560A">
              <w:rPr>
                <w:sz w:val="19"/>
                <w:szCs w:val="19"/>
              </w:rPr>
              <w:t>7.5%</w:t>
            </w:r>
          </w:p>
        </w:tc>
      </w:tr>
      <w:tr w:rsidR="00556FA9" w:rsidRPr="0018560A" w14:paraId="367BBD31" w14:textId="77777777" w:rsidTr="003536C0">
        <w:trPr>
          <w:trHeight w:val="225"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986C" w14:textId="30D63E45" w:rsidR="00556FA9" w:rsidRPr="0018560A" w:rsidRDefault="00556FA9" w:rsidP="00556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0505"/>
                <w:sz w:val="19"/>
                <w:szCs w:val="19"/>
                <w:lang w:eastAsia="es-MX"/>
              </w:rPr>
            </w:pPr>
            <w:r w:rsidRPr="0018560A">
              <w:rPr>
                <w:sz w:val="19"/>
                <w:szCs w:val="19"/>
              </w:rPr>
              <w:t>Financiamiento de la industria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51EF" w14:textId="2A44C92D" w:rsidR="00556FA9" w:rsidRPr="0018560A" w:rsidRDefault="00556FA9" w:rsidP="00556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0505"/>
                <w:sz w:val="19"/>
                <w:szCs w:val="19"/>
                <w:lang w:eastAsia="es-MX"/>
              </w:rPr>
            </w:pPr>
            <w:r w:rsidRPr="0018560A">
              <w:rPr>
                <w:sz w:val="19"/>
                <w:szCs w:val="19"/>
              </w:rPr>
              <w:t>2.5%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0A7B" w14:textId="2BE69492" w:rsidR="00556FA9" w:rsidRPr="0018560A" w:rsidRDefault="00556FA9" w:rsidP="00556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0505"/>
                <w:sz w:val="19"/>
                <w:szCs w:val="19"/>
                <w:lang w:eastAsia="es-MX"/>
              </w:rPr>
            </w:pPr>
            <w:r w:rsidRPr="0018560A">
              <w:rPr>
                <w:sz w:val="19"/>
                <w:szCs w:val="19"/>
              </w:rPr>
              <w:t>2.5%</w:t>
            </w:r>
          </w:p>
        </w:tc>
      </w:tr>
      <w:tr w:rsidR="003536C0" w:rsidRPr="0018560A" w14:paraId="40C5EDE2" w14:textId="77777777" w:rsidTr="003536C0">
        <w:trPr>
          <w:trHeight w:val="225"/>
          <w:jc w:val="center"/>
        </w:trPr>
        <w:tc>
          <w:tcPr>
            <w:tcW w:w="7196" w:type="dxa"/>
            <w:gridSpan w:val="3"/>
            <w:tcBorders>
              <w:top w:val="single" w:sz="4" w:space="0" w:color="auto"/>
            </w:tcBorders>
          </w:tcPr>
          <w:p w14:paraId="2554C994" w14:textId="43EF04C5" w:rsidR="003536C0" w:rsidRPr="0018560A" w:rsidRDefault="005A7831" w:rsidP="005A7831">
            <w:pPr>
              <w:spacing w:after="0" w:line="240" w:lineRule="auto"/>
              <w:rPr>
                <w:sz w:val="16"/>
                <w:szCs w:val="20"/>
              </w:rPr>
            </w:pPr>
            <w:r w:rsidRPr="0018560A">
              <w:rPr>
                <w:b/>
                <w:sz w:val="16"/>
                <w:szCs w:val="20"/>
              </w:rPr>
              <w:t>Nota</w:t>
            </w:r>
            <w:r w:rsidRPr="0018560A">
              <w:rPr>
                <w:sz w:val="16"/>
                <w:szCs w:val="20"/>
              </w:rPr>
              <w:t>: El THE Ranking Mundial 20</w:t>
            </w:r>
            <w:r w:rsidR="00D251CD" w:rsidRPr="0018560A">
              <w:rPr>
                <w:sz w:val="16"/>
                <w:szCs w:val="20"/>
              </w:rPr>
              <w:t>20</w:t>
            </w:r>
            <w:r w:rsidRPr="0018560A">
              <w:rPr>
                <w:sz w:val="16"/>
                <w:szCs w:val="20"/>
              </w:rPr>
              <w:t xml:space="preserve"> corresponde a los resultados del año </w:t>
            </w:r>
            <w:r w:rsidR="003536C0" w:rsidRPr="0018560A">
              <w:rPr>
                <w:sz w:val="16"/>
                <w:szCs w:val="20"/>
              </w:rPr>
              <w:t>201</w:t>
            </w:r>
            <w:r w:rsidR="00D251CD" w:rsidRPr="0018560A">
              <w:rPr>
                <w:sz w:val="16"/>
                <w:szCs w:val="20"/>
              </w:rPr>
              <w:t>9</w:t>
            </w:r>
            <w:r w:rsidRPr="0018560A">
              <w:rPr>
                <w:sz w:val="16"/>
                <w:szCs w:val="20"/>
              </w:rPr>
              <w:t>.</w:t>
            </w:r>
          </w:p>
        </w:tc>
      </w:tr>
    </w:tbl>
    <w:p w14:paraId="1956AF3A" w14:textId="77777777" w:rsidR="003536C0" w:rsidRPr="0018560A" w:rsidRDefault="003536C0" w:rsidP="007D48C0">
      <w:pPr>
        <w:pStyle w:val="Prrafodelista"/>
        <w:spacing w:after="0" w:line="240" w:lineRule="auto"/>
        <w:jc w:val="both"/>
        <w:rPr>
          <w:b/>
          <w:sz w:val="24"/>
        </w:rPr>
      </w:pPr>
    </w:p>
    <w:p w14:paraId="5B424519" w14:textId="77777777" w:rsidR="007D48C0" w:rsidRPr="0018560A" w:rsidRDefault="007D48C0" w:rsidP="007D48C0">
      <w:pPr>
        <w:pStyle w:val="Prrafodelista"/>
        <w:spacing w:after="0" w:line="240" w:lineRule="auto"/>
        <w:jc w:val="both"/>
        <w:rPr>
          <w:b/>
          <w:sz w:val="24"/>
        </w:rPr>
      </w:pPr>
      <w:r w:rsidRPr="0018560A">
        <w:rPr>
          <w:b/>
          <w:sz w:val="24"/>
        </w:rPr>
        <w:t>Resultados</w:t>
      </w:r>
    </w:p>
    <w:p w14:paraId="252A5865" w14:textId="217D3786" w:rsidR="00803500" w:rsidRPr="0018560A" w:rsidRDefault="00471748" w:rsidP="0047174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18560A">
        <w:rPr>
          <w:sz w:val="24"/>
        </w:rPr>
        <w:t xml:space="preserve">El ranking </w:t>
      </w:r>
      <w:r w:rsidR="00797EBA" w:rsidRPr="0018560A">
        <w:rPr>
          <w:sz w:val="24"/>
        </w:rPr>
        <w:t xml:space="preserve">THE Latinoamérica </w:t>
      </w:r>
      <w:r w:rsidR="00D251CD" w:rsidRPr="0018560A">
        <w:rPr>
          <w:sz w:val="24"/>
        </w:rPr>
        <w:t>2020</w:t>
      </w:r>
      <w:r w:rsidR="00797EBA" w:rsidRPr="0018560A">
        <w:rPr>
          <w:sz w:val="24"/>
        </w:rPr>
        <w:t xml:space="preserve"> </w:t>
      </w:r>
      <w:r w:rsidRPr="0018560A">
        <w:rPr>
          <w:sz w:val="24"/>
        </w:rPr>
        <w:t xml:space="preserve">clasificó a </w:t>
      </w:r>
      <w:r w:rsidR="00D251CD" w:rsidRPr="0018560A">
        <w:rPr>
          <w:sz w:val="24"/>
        </w:rPr>
        <w:t>166</w:t>
      </w:r>
      <w:r w:rsidRPr="0018560A">
        <w:rPr>
          <w:sz w:val="24"/>
        </w:rPr>
        <w:t xml:space="preserve"> </w:t>
      </w:r>
      <w:r w:rsidR="00797EBA" w:rsidRPr="0018560A">
        <w:rPr>
          <w:sz w:val="24"/>
        </w:rPr>
        <w:t>universidades</w:t>
      </w:r>
      <w:r w:rsidRPr="0018560A">
        <w:rPr>
          <w:sz w:val="24"/>
        </w:rPr>
        <w:t xml:space="preserve"> </w:t>
      </w:r>
      <w:r w:rsidR="00797EBA" w:rsidRPr="0018560A">
        <w:rPr>
          <w:sz w:val="24"/>
        </w:rPr>
        <w:t xml:space="preserve">de </w:t>
      </w:r>
      <w:r w:rsidR="00DB46EE" w:rsidRPr="0018560A">
        <w:rPr>
          <w:sz w:val="24"/>
        </w:rPr>
        <w:t xml:space="preserve">trece </w:t>
      </w:r>
      <w:r w:rsidR="00797EBA" w:rsidRPr="0018560A">
        <w:rPr>
          <w:sz w:val="24"/>
        </w:rPr>
        <w:t>países</w:t>
      </w:r>
      <w:r w:rsidR="00385B7D" w:rsidRPr="0018560A">
        <w:rPr>
          <w:sz w:val="24"/>
        </w:rPr>
        <w:t xml:space="preserve">, a continuación se presentan los datos del número de universidades por país, así como el puntaje obtenido </w:t>
      </w:r>
      <w:r w:rsidR="00DB46EE" w:rsidRPr="0018560A">
        <w:rPr>
          <w:sz w:val="24"/>
        </w:rPr>
        <w:t xml:space="preserve">en los diferentes indicadores </w:t>
      </w:r>
      <w:r w:rsidR="00385B7D" w:rsidRPr="0018560A">
        <w:rPr>
          <w:sz w:val="24"/>
        </w:rPr>
        <w:t>por las universidades</w:t>
      </w:r>
      <w:r w:rsidR="00DB46EE" w:rsidRPr="0018560A">
        <w:rPr>
          <w:sz w:val="24"/>
        </w:rPr>
        <w:t xml:space="preserve"> en los primeros 100 lugares</w:t>
      </w:r>
      <w:r w:rsidR="00803500" w:rsidRPr="0018560A">
        <w:rPr>
          <w:sz w:val="24"/>
        </w:rPr>
        <w:t>.</w:t>
      </w:r>
    </w:p>
    <w:p w14:paraId="2ADB7A92" w14:textId="77777777" w:rsidR="00797EBA" w:rsidRPr="0018560A" w:rsidRDefault="00797EBA" w:rsidP="00797EBA">
      <w:pPr>
        <w:pStyle w:val="Prrafodelista"/>
        <w:spacing w:after="0" w:line="240" w:lineRule="auto"/>
        <w:jc w:val="both"/>
        <w:rPr>
          <w:sz w:val="24"/>
        </w:rPr>
      </w:pPr>
    </w:p>
    <w:tbl>
      <w:tblPr>
        <w:tblW w:w="984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5"/>
      </w:tblGrid>
      <w:tr w:rsidR="00797EBA" w:rsidRPr="0018560A" w14:paraId="6E98CA9A" w14:textId="77777777" w:rsidTr="0020786C">
        <w:trPr>
          <w:trHeight w:val="257"/>
          <w:jc w:val="center"/>
        </w:trPr>
        <w:tc>
          <w:tcPr>
            <w:tcW w:w="9849" w:type="dxa"/>
            <w:shd w:val="clear" w:color="auto" w:fill="auto"/>
            <w:noWrap/>
            <w:vAlign w:val="center"/>
          </w:tcPr>
          <w:p w14:paraId="201C092D" w14:textId="6C988288" w:rsidR="00797EBA" w:rsidRPr="0018560A" w:rsidRDefault="00797EBA" w:rsidP="006C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50505"/>
                <w:sz w:val="20"/>
                <w:szCs w:val="18"/>
                <w:lang w:eastAsia="es-MX"/>
              </w:rPr>
            </w:pPr>
            <w:r w:rsidRPr="0018560A">
              <w:rPr>
                <w:rFonts w:ascii="Calibri" w:eastAsia="Times New Roman" w:hAnsi="Calibri" w:cs="Times New Roman"/>
                <w:b/>
                <w:color w:val="050505"/>
                <w:sz w:val="20"/>
                <w:szCs w:val="18"/>
                <w:lang w:eastAsia="es-MX"/>
              </w:rPr>
              <w:t>Gráfico 1. Total de universidades por país en el</w:t>
            </w:r>
            <w:r w:rsidRPr="0018560A">
              <w:rPr>
                <w:sz w:val="20"/>
              </w:rPr>
              <w:t xml:space="preserve"> </w:t>
            </w:r>
            <w:r w:rsidRPr="0018560A">
              <w:rPr>
                <w:rFonts w:ascii="Calibri" w:eastAsia="Times New Roman" w:hAnsi="Calibri" w:cs="Times New Roman"/>
                <w:b/>
                <w:color w:val="050505"/>
                <w:sz w:val="20"/>
                <w:szCs w:val="18"/>
                <w:lang w:eastAsia="es-MX"/>
              </w:rPr>
              <w:t>ranking THE Latinoamérica 20</w:t>
            </w:r>
            <w:r w:rsidR="00DB46EE" w:rsidRPr="0018560A">
              <w:rPr>
                <w:rFonts w:ascii="Calibri" w:eastAsia="Times New Roman" w:hAnsi="Calibri" w:cs="Times New Roman"/>
                <w:b/>
                <w:color w:val="050505"/>
                <w:sz w:val="20"/>
                <w:szCs w:val="18"/>
                <w:lang w:eastAsia="es-MX"/>
              </w:rPr>
              <w:t>20</w:t>
            </w:r>
            <w:r w:rsidRPr="0018560A">
              <w:rPr>
                <w:rFonts w:ascii="Calibri" w:eastAsia="Times New Roman" w:hAnsi="Calibri" w:cs="Times New Roman"/>
                <w:b/>
                <w:color w:val="050505"/>
                <w:sz w:val="20"/>
                <w:szCs w:val="18"/>
                <w:lang w:eastAsia="es-MX"/>
              </w:rPr>
              <w:t>.</w:t>
            </w:r>
          </w:p>
        </w:tc>
      </w:tr>
      <w:tr w:rsidR="00797EBA" w:rsidRPr="0018560A" w14:paraId="29C012D4" w14:textId="77777777" w:rsidTr="00DB46EE">
        <w:trPr>
          <w:trHeight w:val="257"/>
          <w:jc w:val="center"/>
        </w:trPr>
        <w:tc>
          <w:tcPr>
            <w:tcW w:w="9849" w:type="dxa"/>
            <w:shd w:val="clear" w:color="auto" w:fill="auto"/>
            <w:noWrap/>
            <w:vAlign w:val="center"/>
          </w:tcPr>
          <w:p w14:paraId="76A16C2E" w14:textId="188E60C0" w:rsidR="00797EBA" w:rsidRPr="0018560A" w:rsidRDefault="00DB46EE" w:rsidP="006C7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50505"/>
                <w:sz w:val="16"/>
                <w:szCs w:val="18"/>
                <w:lang w:eastAsia="es-MX"/>
              </w:rPr>
            </w:pPr>
            <w:r w:rsidRPr="0018560A">
              <w:rPr>
                <w:noProof/>
              </w:rPr>
              <w:drawing>
                <wp:inline distT="0" distB="0" distL="0" distR="0" wp14:anchorId="29227686" wp14:editId="5EF8F953">
                  <wp:extent cx="7280694" cy="2501900"/>
                  <wp:effectExtent l="0" t="0" r="0" b="0"/>
                  <wp:docPr id="1" name="Gráfico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3D1C71C-48BB-4BED-A560-F38A02289FC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14:paraId="1EE9B241" w14:textId="77777777" w:rsidR="00797EBA" w:rsidRPr="0018560A" w:rsidRDefault="00797EBA" w:rsidP="00797EBA">
      <w:pPr>
        <w:pStyle w:val="Prrafodelista"/>
        <w:spacing w:after="0" w:line="240" w:lineRule="auto"/>
        <w:jc w:val="both"/>
        <w:rPr>
          <w:sz w:val="24"/>
        </w:rPr>
      </w:pPr>
    </w:p>
    <w:tbl>
      <w:tblPr>
        <w:tblW w:w="1196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1"/>
        <w:gridCol w:w="3735"/>
        <w:gridCol w:w="992"/>
        <w:gridCol w:w="1005"/>
        <w:gridCol w:w="870"/>
        <w:gridCol w:w="1221"/>
        <w:gridCol w:w="706"/>
        <w:gridCol w:w="1252"/>
        <w:gridCol w:w="1339"/>
        <w:gridCol w:w="44"/>
      </w:tblGrid>
      <w:tr w:rsidR="00803500" w:rsidRPr="0018560A" w14:paraId="0D1CCE85" w14:textId="77777777" w:rsidTr="00DB46EE">
        <w:trPr>
          <w:trHeight w:val="282"/>
          <w:tblHeader/>
          <w:jc w:val="center"/>
        </w:trPr>
        <w:tc>
          <w:tcPr>
            <w:tcW w:w="11965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2A9181" w14:textId="3259A8A1" w:rsidR="00803500" w:rsidRPr="0018560A" w:rsidRDefault="00803500" w:rsidP="0020786C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18560A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 xml:space="preserve">Tabla 2. Posición de las universidades </w:t>
            </w:r>
            <w:r w:rsidR="00DB46EE" w:rsidRPr="0018560A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 xml:space="preserve">en los primeros 100 lugares </w:t>
            </w:r>
            <w:r w:rsidRPr="0018560A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en el ranking THE Latinoamérica 20</w:t>
            </w:r>
            <w:r w:rsidR="00DB46EE" w:rsidRPr="0018560A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20</w:t>
            </w:r>
            <w:r w:rsidRPr="0018560A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.</w:t>
            </w:r>
          </w:p>
        </w:tc>
      </w:tr>
      <w:tr w:rsidR="00CC2FF8" w:rsidRPr="0018560A" w14:paraId="50E462DC" w14:textId="77777777" w:rsidTr="00DB46EE">
        <w:trPr>
          <w:gridAfter w:val="1"/>
          <w:wAfter w:w="44" w:type="dxa"/>
          <w:trHeight w:val="282"/>
          <w:tblHeader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252B70D3" w14:textId="77777777" w:rsidR="00803500" w:rsidRPr="0018560A" w:rsidRDefault="00803500" w:rsidP="005400E2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18560A">
              <w:rPr>
                <w:b/>
                <w:sz w:val="18"/>
                <w:szCs w:val="20"/>
              </w:rPr>
              <w:t>Posición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E942473" w14:textId="77777777" w:rsidR="00803500" w:rsidRPr="0018560A" w:rsidRDefault="00803500" w:rsidP="005400E2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18560A">
              <w:rPr>
                <w:b/>
                <w:sz w:val="18"/>
                <w:szCs w:val="20"/>
              </w:rPr>
              <w:t>Nombre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447026D" w14:textId="77777777" w:rsidR="00803500" w:rsidRPr="0018560A" w:rsidRDefault="00803500" w:rsidP="005400E2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18560A">
              <w:rPr>
                <w:b/>
                <w:sz w:val="18"/>
                <w:szCs w:val="20"/>
              </w:rPr>
              <w:t>País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33507B6" w14:textId="77777777" w:rsidR="00803500" w:rsidRPr="0018560A" w:rsidRDefault="00803500" w:rsidP="005400E2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18560A">
              <w:rPr>
                <w:b/>
                <w:sz w:val="18"/>
                <w:szCs w:val="20"/>
              </w:rPr>
              <w:t>Puntaje</w:t>
            </w:r>
            <w:r w:rsidRPr="0018560A">
              <w:rPr>
                <w:b/>
                <w:sz w:val="18"/>
                <w:szCs w:val="20"/>
              </w:rPr>
              <w:br/>
              <w:t>General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4758B1C" w14:textId="77777777" w:rsidR="00803500" w:rsidRPr="0018560A" w:rsidRDefault="00803500" w:rsidP="005400E2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18560A">
              <w:rPr>
                <w:b/>
                <w:sz w:val="18"/>
                <w:szCs w:val="20"/>
              </w:rPr>
              <w:t>Docencia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C66A1A3" w14:textId="77777777" w:rsidR="00803500" w:rsidRPr="0018560A" w:rsidRDefault="00803500" w:rsidP="005400E2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18560A">
              <w:rPr>
                <w:b/>
                <w:sz w:val="18"/>
                <w:szCs w:val="20"/>
              </w:rPr>
              <w:t>Investigación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853DCC7" w14:textId="77777777" w:rsidR="00803500" w:rsidRPr="0018560A" w:rsidRDefault="00803500" w:rsidP="005400E2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18560A">
              <w:rPr>
                <w:b/>
                <w:sz w:val="18"/>
                <w:szCs w:val="20"/>
              </w:rPr>
              <w:t>Citas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449B414" w14:textId="77777777" w:rsidR="00803500" w:rsidRPr="0018560A" w:rsidRDefault="00803500" w:rsidP="005400E2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18560A">
              <w:rPr>
                <w:b/>
                <w:sz w:val="18"/>
                <w:szCs w:val="20"/>
              </w:rPr>
              <w:t>Perspectiva internacional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A8E51C9" w14:textId="77777777" w:rsidR="00803500" w:rsidRPr="0018560A" w:rsidRDefault="00803500" w:rsidP="005400E2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18560A">
              <w:rPr>
                <w:b/>
                <w:sz w:val="18"/>
                <w:szCs w:val="20"/>
              </w:rPr>
              <w:t>Financiamiento de la industria</w:t>
            </w:r>
          </w:p>
        </w:tc>
      </w:tr>
      <w:tr w:rsidR="00DB46EE" w:rsidRPr="0018560A" w14:paraId="759AFDD3" w14:textId="77777777" w:rsidTr="00DB46EE">
        <w:trPr>
          <w:gridAfter w:val="1"/>
          <w:wAfter w:w="44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17FC4" w14:textId="32141919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F66FC" w14:textId="48139FD6" w:rsidR="00DB46EE" w:rsidRPr="0018560A" w:rsidRDefault="00DB46EE" w:rsidP="00DB46E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Pontificia Universidad Católica de Chile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E90CA" w14:textId="33E7A0B8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5548C" w14:textId="580D93BA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89.7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95D6B" w14:textId="1BE91B18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1B48E" w14:textId="58C116FF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99.9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86787" w14:textId="029C2615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90.1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88BDF" w14:textId="3B6DA741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91.6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ABE14" w14:textId="78B64839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</w:tr>
      <w:tr w:rsidR="00DB46EE" w:rsidRPr="0018560A" w14:paraId="36C0172E" w14:textId="77777777" w:rsidTr="00DB46EE">
        <w:trPr>
          <w:gridAfter w:val="1"/>
          <w:wAfter w:w="44" w:type="dxa"/>
          <w:trHeight w:val="282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6086B88" w14:textId="03FD9ADD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C121F31" w14:textId="332AAFFB" w:rsidR="00DB46EE" w:rsidRPr="0018560A" w:rsidRDefault="00DB46EE" w:rsidP="00DB46E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Universidad de Sao Paulo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E436C05" w14:textId="07AE03A8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B93F81E" w14:textId="39CF04D8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87.6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6A2A449" w14:textId="55F9B0E1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91.8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8857B6E" w14:textId="67037C7B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3DD0EFE" w14:textId="0BCB653C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72.9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294EC8F" w14:textId="14F76D84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56.4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643EBF6" w14:textId="733115B3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</w:p>
        </w:tc>
      </w:tr>
      <w:tr w:rsidR="00DB46EE" w:rsidRPr="0018560A" w14:paraId="18DCECFB" w14:textId="77777777" w:rsidTr="00DB46EE">
        <w:trPr>
          <w:gridAfter w:val="1"/>
          <w:wAfter w:w="44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61F40" w14:textId="3D1A6F6F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97E11" w14:textId="3A31D575" w:rsidR="00DB46EE" w:rsidRPr="0018560A" w:rsidRDefault="00DB46EE" w:rsidP="00DB46E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Universidad de Campinas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62545" w14:textId="24D6C511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0C9C4" w14:textId="5E52F5AA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86.5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94E3A" w14:textId="2FA76874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92.2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AE1BB" w14:textId="445F00FC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2BAE4" w14:textId="0BB58B08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8B59D" w14:textId="4EA37052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53.9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C1A63" w14:textId="6F18DF64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74.4</w:t>
            </w:r>
          </w:p>
        </w:tc>
      </w:tr>
      <w:tr w:rsidR="00DB46EE" w:rsidRPr="0018560A" w14:paraId="565494FF" w14:textId="77777777" w:rsidTr="00DB46EE">
        <w:trPr>
          <w:gridAfter w:val="1"/>
          <w:wAfter w:w="44" w:type="dxa"/>
          <w:trHeight w:val="302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E7C28AE" w14:textId="283EE4DC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C3190B3" w14:textId="0FDE8432" w:rsidR="00DB46EE" w:rsidRPr="0018560A" w:rsidRDefault="00DB46EE" w:rsidP="00DB46E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Instituto Tecnológico y de Estudios Superiores de Monterrey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488F5AD" w14:textId="66823573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545AEBD" w14:textId="2C495AF7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83.1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D4D47AD" w14:textId="15337593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79.2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8C38879" w14:textId="72323296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91.5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574E84" w14:textId="0ACB8873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75.7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06BFF83" w14:textId="3D3E633E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87.8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A360B1A" w14:textId="1D721598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99</w:t>
            </w:r>
          </w:p>
        </w:tc>
      </w:tr>
      <w:tr w:rsidR="00DB46EE" w:rsidRPr="0018560A" w14:paraId="00D80F66" w14:textId="77777777" w:rsidTr="00DB46EE">
        <w:trPr>
          <w:gridAfter w:val="1"/>
          <w:wAfter w:w="44" w:type="dxa"/>
          <w:trHeight w:val="343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4EF74" w14:textId="3CB33A6A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2EF6F" w14:textId="42D4D850" w:rsidR="00DB46EE" w:rsidRPr="0018560A" w:rsidRDefault="00DB46EE" w:rsidP="00DB46E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Universidad Federal de Minas Gerais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85B4D" w14:textId="7A7B4CCD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37AFB" w14:textId="673E4935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82.3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1B924" w14:textId="5B8B7674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91.8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85846" w14:textId="104C382E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85.9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F1FC3" w14:textId="5713EFBC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79.9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26DBB" w14:textId="32E0F3E3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52.1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87C5F" w14:textId="7AF91737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54.9</w:t>
            </w:r>
          </w:p>
        </w:tc>
      </w:tr>
      <w:tr w:rsidR="00DB46EE" w:rsidRPr="0018560A" w14:paraId="4684A228" w14:textId="77777777" w:rsidTr="00DB46EE">
        <w:trPr>
          <w:gridAfter w:val="1"/>
          <w:wAfter w:w="44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BD36915" w14:textId="40FC8B52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8735133" w14:textId="3379A9D3" w:rsidR="00DB46EE" w:rsidRPr="0018560A" w:rsidRDefault="00DB46EE" w:rsidP="00DB46E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Universidad Federal de Sao Paulo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AFEFF98" w14:textId="5D74BFBE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3A063FB" w14:textId="62ECCFC9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82.3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B284E1A" w14:textId="31EC4436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44924F2" w14:textId="50019E90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87.5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51B2829" w14:textId="692CD712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76.2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DE09B57" w14:textId="7843C8CB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41.1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CB4288E" w14:textId="5B7B0C3B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39.4</w:t>
            </w:r>
          </w:p>
        </w:tc>
      </w:tr>
      <w:tr w:rsidR="00DB46EE" w:rsidRPr="0018560A" w14:paraId="5F2285F2" w14:textId="77777777" w:rsidTr="00DB46EE">
        <w:trPr>
          <w:gridAfter w:val="1"/>
          <w:wAfter w:w="44" w:type="dxa"/>
          <w:trHeight w:val="28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DB8D0" w14:textId="1A911046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7ED0F" w14:textId="4A2A02EE" w:rsidR="00DB46EE" w:rsidRPr="0018560A" w:rsidRDefault="00DB46EE" w:rsidP="00DB46E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Pontificia Universidad Católica de Río de Janeiro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E4F0F" w14:textId="48BF3276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BE0E5" w14:textId="69FFB613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82.2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F80FD" w14:textId="11F8F59C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83.9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454E9" w14:textId="16F31B12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95.9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A30CE" w14:textId="07623A43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56.7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F3797" w14:textId="5E61E312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72.1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44CC8" w14:textId="6C51155C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</w:tr>
      <w:tr w:rsidR="00DB46EE" w:rsidRPr="0018560A" w14:paraId="62D4FCD9" w14:textId="77777777" w:rsidTr="00DB46EE">
        <w:trPr>
          <w:gridAfter w:val="1"/>
          <w:wAfter w:w="44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A798754" w14:textId="7DAD52DE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349895E" w14:textId="7D5116F1" w:rsidR="00DB46EE" w:rsidRPr="0018560A" w:rsidRDefault="00DB46EE" w:rsidP="00DB46E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Universidad de Chile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727AB8C" w14:textId="2AEA04FA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7ECEFE1" w14:textId="6ECDB42C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7BB524C" w14:textId="6485F584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850F2FF" w14:textId="0228BAC6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92.2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486DBC2" w14:textId="6F91EE08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73.8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4A96104" w14:textId="4C659A46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79.8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FBB17E" w14:textId="70DC5973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52.1</w:t>
            </w:r>
          </w:p>
        </w:tc>
      </w:tr>
      <w:tr w:rsidR="00DB46EE" w:rsidRPr="0018560A" w14:paraId="6AEB4444" w14:textId="77777777" w:rsidTr="00DB46EE">
        <w:trPr>
          <w:gridAfter w:val="1"/>
          <w:wAfter w:w="44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4F503" w14:textId="506091CE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84850" w14:textId="23C65D96" w:rsidR="00DB46EE" w:rsidRPr="0018560A" w:rsidRDefault="00DB46EE" w:rsidP="00DB46E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Universidad Federal de Santa Catarina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ADED6" w14:textId="0C00FD7D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36CF2" w14:textId="1D096E84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80.9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7320B" w14:textId="0DE18A15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89.5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79755" w14:textId="207B1016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83.5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5485C" w14:textId="2C24E845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82.4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5B8E7" w14:textId="1EEF7576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45.4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35AB3" w14:textId="6379F3E6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64.6</w:t>
            </w:r>
          </w:p>
        </w:tc>
      </w:tr>
      <w:tr w:rsidR="00DB46EE" w:rsidRPr="0018560A" w14:paraId="64354661" w14:textId="77777777" w:rsidTr="00DB46EE">
        <w:trPr>
          <w:gridAfter w:val="1"/>
          <w:wAfter w:w="44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EA6CA3B" w14:textId="588EBC0F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FA91812" w14:textId="76D16ECD" w:rsidR="00DB46EE" w:rsidRPr="0018560A" w:rsidRDefault="00DB46EE" w:rsidP="00DB46E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Universidad Estatal Paulista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50D2DD3" w14:textId="5B94A921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5A3D5D6" w14:textId="71293E29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80.3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94F58F2" w14:textId="5642AFAB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4140C76" w14:textId="575A07DD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98.6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02EEED2" w14:textId="33EC93D6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40.9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38CD3F7" w14:textId="15F03776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48.1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CAC974D" w14:textId="3B8C5E9E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55.1</w:t>
            </w:r>
          </w:p>
        </w:tc>
      </w:tr>
      <w:tr w:rsidR="00DB46EE" w:rsidRPr="0018560A" w14:paraId="09FAF59F" w14:textId="77777777" w:rsidTr="00DB46EE">
        <w:trPr>
          <w:gridAfter w:val="1"/>
          <w:wAfter w:w="44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9D62C" w14:textId="1316A872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A3525" w14:textId="6748D71B" w:rsidR="00DB46EE" w:rsidRPr="0018560A" w:rsidRDefault="00DB46EE" w:rsidP="00DB46E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Universidad de los Andes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59A4B" w14:textId="707121C3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Colombia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CFE85" w14:textId="3F2938D1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80.2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D14E7" w14:textId="2B7570E2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79.1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79A91" w14:textId="53786877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87.2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16C70" w14:textId="4D4C7951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74.8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9F4A2" w14:textId="09D6FB56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79.6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AAC90" w14:textId="1774BCBB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51.5</w:t>
            </w:r>
          </w:p>
        </w:tc>
      </w:tr>
      <w:tr w:rsidR="00DB46EE" w:rsidRPr="0018560A" w14:paraId="0CC7E59F" w14:textId="77777777" w:rsidTr="00DB46EE">
        <w:trPr>
          <w:gridAfter w:val="1"/>
          <w:wAfter w:w="44" w:type="dxa"/>
          <w:trHeight w:val="289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BAD780D" w14:textId="74790508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8E379C4" w14:textId="61C2FF76" w:rsidR="00DB46EE" w:rsidRPr="0018560A" w:rsidRDefault="00DB46EE" w:rsidP="00DB46E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Universidad Federal de Río de Janeiro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9C33589" w14:textId="10CF3FF1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0E9A0BD" w14:textId="79D4AD81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78.5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DC82F95" w14:textId="6F112D77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90.4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3D60E17" w14:textId="010A14F6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89.4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5E77394" w14:textId="7AD2D60A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49.8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B49CBD5" w14:textId="056A3214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39.6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91D86C4" w14:textId="560FCC42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98.8</w:t>
            </w:r>
          </w:p>
        </w:tc>
      </w:tr>
      <w:tr w:rsidR="00DB46EE" w:rsidRPr="0018560A" w14:paraId="2B359B43" w14:textId="77777777" w:rsidTr="00DB46EE">
        <w:trPr>
          <w:gridAfter w:val="1"/>
          <w:wAfter w:w="44" w:type="dxa"/>
          <w:trHeight w:val="222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0C51F" w14:textId="371BD326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73796" w14:textId="4180241C" w:rsidR="00DB46EE" w:rsidRPr="0018560A" w:rsidRDefault="00DB46EE" w:rsidP="00DB46E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Universidad Federal de Río Grande del Sur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C631C" w14:textId="6BF60EB3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31F68" w14:textId="599EE2A2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78.4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8CAE5" w14:textId="3F695990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83.4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CA59C" w14:textId="479DB4B1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A1329" w14:textId="0829B9CE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83.4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DDC4C" w14:textId="43C9BC99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33.2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8FF44" w14:textId="2D550C3B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62.3</w:t>
            </w:r>
          </w:p>
        </w:tc>
      </w:tr>
      <w:tr w:rsidR="00DB46EE" w:rsidRPr="0018560A" w14:paraId="2FF60619" w14:textId="77777777" w:rsidTr="00DB46EE">
        <w:trPr>
          <w:gridAfter w:val="1"/>
          <w:wAfter w:w="44" w:type="dxa"/>
          <w:trHeight w:val="224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2922A3A" w14:textId="32C2F453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C6ABCD5" w14:textId="7C23D32A" w:rsidR="00DB46EE" w:rsidRPr="0018560A" w:rsidRDefault="00DB46EE" w:rsidP="00DB46E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Universidad de Brasilia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5DB4419" w14:textId="0568E93F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7D02B5A" w14:textId="24C8DA73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76.1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81C0558" w14:textId="487128F8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87.8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605DF28" w14:textId="383D9EF7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81.1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A4EC15F" w14:textId="2F0840A6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67.8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A5D2A0F" w14:textId="6AA4EEC1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52.6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3236567" w14:textId="546842C5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61.9</w:t>
            </w:r>
          </w:p>
        </w:tc>
      </w:tr>
      <w:tr w:rsidR="00DB46EE" w:rsidRPr="0018560A" w14:paraId="29BD78ED" w14:textId="77777777" w:rsidTr="00DB46EE">
        <w:trPr>
          <w:gridAfter w:val="1"/>
          <w:wAfter w:w="44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4B34B" w14:textId="3ED6658B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EFF4B" w14:textId="42026781" w:rsidR="00DB46EE" w:rsidRPr="0018560A" w:rsidRDefault="00DB46EE" w:rsidP="00DB46E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Universidad Federal de Sao Carlos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498D1" w14:textId="714989D1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6915" w14:textId="2D38FB7B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73.4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73EB1" w14:textId="7E146E87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84.6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CF414" w14:textId="70E130DE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89.7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C6CC5" w14:textId="0A1CB05C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5A2AC" w14:textId="09A668B5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33.9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E89E8" w14:textId="500B8C78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63.7</w:t>
            </w:r>
          </w:p>
        </w:tc>
      </w:tr>
      <w:tr w:rsidR="00DB46EE" w:rsidRPr="0018560A" w14:paraId="1AE5255E" w14:textId="77777777" w:rsidTr="00DB46EE">
        <w:trPr>
          <w:gridAfter w:val="1"/>
          <w:wAfter w:w="44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4D4E873" w14:textId="6618B195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66123" w14:textId="5C6180BC" w:rsidR="00DB46EE" w:rsidRPr="0018560A" w:rsidRDefault="00DB46EE" w:rsidP="00DB46E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Universidad Nacional de Colombia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F2961FE" w14:textId="2394A3CF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Colombia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1A124CA" w14:textId="185D0B2D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72.6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E0D3938" w14:textId="4482820F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72.2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C58D908" w14:textId="5DC44294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84.4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78AF0E2" w14:textId="4D3B0C65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65.7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847D3EE" w14:textId="6D57565B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49.5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69A5CC0" w14:textId="4A98CED4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37.4</w:t>
            </w:r>
          </w:p>
        </w:tc>
      </w:tr>
      <w:tr w:rsidR="00DB46EE" w:rsidRPr="0018560A" w14:paraId="66F7D1CD" w14:textId="77777777" w:rsidTr="00DB46EE">
        <w:trPr>
          <w:gridAfter w:val="1"/>
          <w:wAfter w:w="44" w:type="dxa"/>
          <w:trHeight w:val="286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7451D" w14:textId="634378E6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34BB1" w14:textId="2E820040" w:rsidR="00DB46EE" w:rsidRPr="0018560A" w:rsidRDefault="00DB46EE" w:rsidP="00DB46E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Universidad Nacional Autónoma de México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9D31" w14:textId="4C5051EB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A3D1E" w14:textId="406386D4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71.9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752FB" w14:textId="4538406B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71.9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75207" w14:textId="1A0C14B3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90.6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2D7A6" w14:textId="5C82E9F9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41.7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7AD94" w14:textId="2556D238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80.6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B0266" w14:textId="0ECB833E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96.9</w:t>
            </w:r>
          </w:p>
        </w:tc>
      </w:tr>
      <w:tr w:rsidR="00DB46EE" w:rsidRPr="0018560A" w14:paraId="1042CEDB" w14:textId="77777777" w:rsidTr="00DB46EE">
        <w:trPr>
          <w:gridAfter w:val="1"/>
          <w:wAfter w:w="44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C38A201" w14:textId="30768D48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3ABD5DC" w14:textId="4F16DFFE" w:rsidR="00DB46EE" w:rsidRPr="0018560A" w:rsidRDefault="00DB46EE" w:rsidP="00DB46E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Universidad de las Indias Occidentales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2381610" w14:textId="3B9BEF23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Jamaica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CB3460C" w14:textId="6831DFB7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71.4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492F2DB" w14:textId="5C604CB1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57.6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47B93C0" w14:textId="756AFAA3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75.7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3DFFE93" w14:textId="241E4557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93.6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3360E5E" w14:textId="3856D37A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70.5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BD1F223" w14:textId="75FBC3FC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44.2</w:t>
            </w:r>
          </w:p>
        </w:tc>
      </w:tr>
      <w:tr w:rsidR="00DB46EE" w:rsidRPr="0018560A" w14:paraId="3ACC51A8" w14:textId="77777777" w:rsidTr="00DB46EE">
        <w:trPr>
          <w:gridAfter w:val="1"/>
          <w:wAfter w:w="44" w:type="dxa"/>
          <w:trHeight w:val="334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66C7D" w14:textId="569AA47D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CFBD0" w14:textId="05A538B0" w:rsidR="00DB46EE" w:rsidRPr="0018560A" w:rsidRDefault="00DB46EE" w:rsidP="00DB46E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Universidad Federal de Viçosa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50C8A" w14:textId="2E7C7348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EE9E4" w14:textId="775F6599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71.1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FAEEA" w14:textId="21C9939F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82.9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60DBD" w14:textId="4D310A1C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88.1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9F77C" w14:textId="6D5DBBB8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35.2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81235" w14:textId="3FF78318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27.1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F6400" w14:textId="156D164C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76.5</w:t>
            </w:r>
          </w:p>
        </w:tc>
      </w:tr>
      <w:tr w:rsidR="00DB46EE" w:rsidRPr="0018560A" w14:paraId="646D5DF4" w14:textId="77777777" w:rsidTr="00DB46EE">
        <w:trPr>
          <w:gridAfter w:val="1"/>
          <w:wAfter w:w="44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B6564F6" w14:textId="14FD2EA3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BDEFD6C" w14:textId="4FF2F290" w:rsidR="00DB46EE" w:rsidRPr="0018560A" w:rsidRDefault="00DB46EE" w:rsidP="00DB46E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Universidad Federal de Río Grande del Sur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4ACD9BA" w14:textId="365065DD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6295E9A" w14:textId="4560AA2C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69.2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C1F3654" w14:textId="286D407D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76.1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473FC12" w14:textId="024FC179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70.1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09A2A4A" w14:textId="48BDEC10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70.5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5551401" w14:textId="391608FE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39.6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ED29E7" w14:textId="1D63C753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71.5</w:t>
            </w:r>
          </w:p>
        </w:tc>
      </w:tr>
      <w:tr w:rsidR="00DB46EE" w:rsidRPr="0018560A" w14:paraId="5FEEEFD1" w14:textId="77777777" w:rsidTr="00DB46EE">
        <w:trPr>
          <w:gridAfter w:val="1"/>
          <w:wAfter w:w="44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A4E14" w14:textId="17E286D5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23972" w14:textId="685B5E63" w:rsidR="00DB46EE" w:rsidRPr="0018560A" w:rsidRDefault="00DB46EE" w:rsidP="00DB46E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Universidad Autónoma Metropolitana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29EA1" w14:textId="1440E0F9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C8CFC" w14:textId="18035E3E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68.3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97B2E" w14:textId="54432353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62.3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79988" w14:textId="2EAF06D6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76.7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9E021" w14:textId="0BA617DD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83725" w14:textId="7DEE1DC6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8422A" w14:textId="32F92061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41.4</w:t>
            </w:r>
          </w:p>
        </w:tc>
      </w:tr>
      <w:tr w:rsidR="00DB46EE" w:rsidRPr="0018560A" w14:paraId="7CA2BE0F" w14:textId="77777777" w:rsidTr="00DB46EE">
        <w:trPr>
          <w:gridAfter w:val="1"/>
          <w:wAfter w:w="44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C73055B" w14:textId="1A5BEF00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3A16B7F" w14:textId="53EC8A99" w:rsidR="00DB46EE" w:rsidRPr="0018560A" w:rsidRDefault="00DB46EE" w:rsidP="00DB46E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Universidad Federal de Paraná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2A5AF4B" w14:textId="348DE0E1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942A704" w14:textId="41F8F4A6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67.5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D0E04F8" w14:textId="06CE6724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87.8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DE160A2" w14:textId="37577398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79.3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A44E5B8" w14:textId="30FA6BCE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32.9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02D8687" w14:textId="120692A8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27.2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D8EDC35" w14:textId="21350230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37.7</w:t>
            </w:r>
          </w:p>
        </w:tc>
      </w:tr>
      <w:tr w:rsidR="00DB46EE" w:rsidRPr="0018560A" w14:paraId="1999E75C" w14:textId="77777777" w:rsidTr="00DB46EE">
        <w:trPr>
          <w:gridAfter w:val="1"/>
          <w:wAfter w:w="44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2395E" w14:textId="09A1A609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F7E9F" w14:textId="196B5C65" w:rsidR="00DB46EE" w:rsidRPr="0018560A" w:rsidRDefault="00DB46EE" w:rsidP="00DB46E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Pontificia Universidad Católica de Valparaíso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991CD" w14:textId="46C46037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B18A6" w14:textId="76ABE96E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D7478" w14:textId="3C271DCB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64.6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9E31A" w14:textId="43AEBFE6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80.1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A4F89" w14:textId="2204BB84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48.6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A149D" w14:textId="2A9A6C14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65.7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57659" w14:textId="01310CCB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78.6</w:t>
            </w:r>
          </w:p>
        </w:tc>
      </w:tr>
      <w:tr w:rsidR="00DB46EE" w:rsidRPr="0018560A" w14:paraId="591B4271" w14:textId="77777777" w:rsidTr="00DB46EE">
        <w:trPr>
          <w:gridAfter w:val="1"/>
          <w:wAfter w:w="44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04D82A6" w14:textId="51C46CD6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899E60E" w14:textId="77902435" w:rsidR="00DB46EE" w:rsidRPr="0018560A" w:rsidRDefault="00DB46EE" w:rsidP="00DB46E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Universidad Federal de Lavras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31B996D" w14:textId="6FCA0215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D9CBA2" w14:textId="33BED125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66.4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265C1F3" w14:textId="3A6A5979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CE2E51" w14:textId="1CF7596A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84.9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4D3A541" w14:textId="582E04E8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31.8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6779891" w14:textId="787F2A78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27.6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524A002" w14:textId="418D36E7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90.6</w:t>
            </w:r>
          </w:p>
        </w:tc>
      </w:tr>
      <w:tr w:rsidR="00DB46EE" w:rsidRPr="0018560A" w14:paraId="6DDEBFF8" w14:textId="77777777" w:rsidTr="00DB46EE">
        <w:trPr>
          <w:gridAfter w:val="1"/>
          <w:wAfter w:w="44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0E177" w14:textId="618018C1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641BC" w14:textId="0A427FFB" w:rsidR="00DB46EE" w:rsidRPr="0018560A" w:rsidRDefault="00DB46EE" w:rsidP="00DB46E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Universidad del Estado de Río de Janeiro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4A948" w14:textId="343467D2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EFCC9" w14:textId="597FC080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66.2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46564" w14:textId="1508C6D8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85.8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273E9" w14:textId="0CC105DE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58F87" w14:textId="640ACE5E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37.8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01EBC" w14:textId="0D9BD93F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26.8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7F354" w14:textId="2EEA0B59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</w:tr>
      <w:tr w:rsidR="00DB46EE" w:rsidRPr="0018560A" w14:paraId="3F81AAD2" w14:textId="77777777" w:rsidTr="00DB46EE">
        <w:trPr>
          <w:gridAfter w:val="1"/>
          <w:wAfter w:w="44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5778103" w14:textId="63C2176B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49D0391" w14:textId="280945A8" w:rsidR="00DB46EE" w:rsidRPr="0018560A" w:rsidRDefault="00DB46EE" w:rsidP="00DB46E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Universidad Peruana Cayetano Heredia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69EA359" w14:textId="06C1F316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Perú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EED66B8" w14:textId="5997372E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65.2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48A956E" w14:textId="192CD5A7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57.7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3938F15" w14:textId="680D1765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59.3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EE4BE51" w14:textId="59477294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99.1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8661147" w14:textId="25037F65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54.3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EB1A131" w14:textId="123B0130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37.4</w:t>
            </w:r>
          </w:p>
        </w:tc>
      </w:tr>
      <w:tr w:rsidR="00DB46EE" w:rsidRPr="0018560A" w14:paraId="30F2F6CA" w14:textId="77777777" w:rsidTr="00DB46EE">
        <w:trPr>
          <w:gridAfter w:val="1"/>
          <w:wAfter w:w="44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301D8" w14:textId="7CA94A74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AA736" w14:textId="059A30F1" w:rsidR="00DB46EE" w:rsidRPr="0018560A" w:rsidRDefault="00DB46EE" w:rsidP="00DB46E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Universidad de Santiago de Chile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DCA9C" w14:textId="07543724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B696" w14:textId="44D40C49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65.1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37242" w14:textId="15E82CCE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61.5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318AF" w14:textId="070B9DFA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84.5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6A8B9" w14:textId="63B829B4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38.8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38F0F" w14:textId="2B24CCD6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69.7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401B9" w14:textId="3DD2FD8B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43.9</w:t>
            </w:r>
          </w:p>
        </w:tc>
      </w:tr>
      <w:tr w:rsidR="00DB46EE" w:rsidRPr="0018560A" w14:paraId="38601B4F" w14:textId="77777777" w:rsidTr="00DB46EE">
        <w:trPr>
          <w:gridAfter w:val="1"/>
          <w:wAfter w:w="44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3F28264" w14:textId="62558221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9811C75" w14:textId="056E1484" w:rsidR="00DB46EE" w:rsidRPr="0018560A" w:rsidRDefault="00DB46EE" w:rsidP="00DB46E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Universidad Federal de Bahía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92D7E29" w14:textId="6B15CE56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14DB393" w14:textId="3E99B6E6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64.9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CEEEF96" w14:textId="2A0A608F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75.9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56A1785" w14:textId="6B2720F8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79.6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21534D7" w14:textId="5728ADD2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45.5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298E8AE" w14:textId="4EA14880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29.3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F234D79" w14:textId="1C672FF8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35.5</w:t>
            </w:r>
          </w:p>
        </w:tc>
      </w:tr>
      <w:tr w:rsidR="00DB46EE" w:rsidRPr="0018560A" w14:paraId="1285984C" w14:textId="77777777" w:rsidTr="00DB46EE">
        <w:trPr>
          <w:gridAfter w:val="1"/>
          <w:wAfter w:w="44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48562" w14:textId="3DA7EBED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DD8B7" w14:textId="6E12AABA" w:rsidR="00DB46EE" w:rsidRPr="0018560A" w:rsidRDefault="00DB46EE" w:rsidP="00DB46E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Pontificia Universidad Javeriana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FD5B2" w14:textId="5D2C9449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Colombia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5F930" w14:textId="124191F5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57304" w14:textId="78892AE2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45.8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A2C5B" w14:textId="413F19DC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68.5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478F9" w14:textId="2CCFED35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C118" w14:textId="3FCBCD64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56.9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9B15A" w14:textId="08934594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</w:tr>
      <w:tr w:rsidR="00DB46EE" w:rsidRPr="0018560A" w14:paraId="5FF0421B" w14:textId="77777777" w:rsidTr="00DB46EE">
        <w:trPr>
          <w:gridAfter w:val="1"/>
          <w:wAfter w:w="44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A3063D8" w14:textId="14E106D9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D730CD8" w14:textId="17D082A2" w:rsidR="00DB46EE" w:rsidRPr="0018560A" w:rsidRDefault="00DB46EE" w:rsidP="00DB46E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Universidad Federal Fluminense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1C076DC" w14:textId="3530457D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F9CBF33" w14:textId="17E68E93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63.5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B5FC2DF" w14:textId="02F85FCB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3C3B975" w14:textId="0D7F9FAD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75.4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AE8C2D" w14:textId="741D7AC7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34.8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1448FEA" w14:textId="29FC075A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37.1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E51B742" w14:textId="44B2C044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37.2</w:t>
            </w:r>
          </w:p>
        </w:tc>
      </w:tr>
      <w:tr w:rsidR="00DB46EE" w:rsidRPr="0018560A" w14:paraId="4A6D4D0F" w14:textId="77777777" w:rsidTr="00DB46EE">
        <w:trPr>
          <w:gridAfter w:val="1"/>
          <w:wAfter w:w="44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4F707" w14:textId="1886CFDD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58CA0" w14:textId="06E11EFD" w:rsidR="00DB46EE" w:rsidRPr="0018560A" w:rsidRDefault="00DB46EE" w:rsidP="00DB46E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Pontificia Universidad Católica del Perú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0C21A" w14:textId="056E9140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Perú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3091B" w14:textId="7DC706B5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63.3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12A59" w14:textId="57595260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63.8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2747F" w14:textId="18BA1A33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67.4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BEFA6" w14:textId="368BCA87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79.7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58008" w14:textId="2BE57922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D8CBF" w14:textId="1D64C9E5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39.7</w:t>
            </w:r>
          </w:p>
        </w:tc>
      </w:tr>
      <w:tr w:rsidR="00DB46EE" w:rsidRPr="0018560A" w14:paraId="0AF467F6" w14:textId="77777777" w:rsidTr="00DB46EE">
        <w:trPr>
          <w:gridAfter w:val="1"/>
          <w:wAfter w:w="44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E3211D6" w14:textId="3EA2270A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1E33355" w14:textId="6DC08418" w:rsidR="00DB46EE" w:rsidRPr="0018560A" w:rsidRDefault="00DB46EE" w:rsidP="00DB46E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Universidad de Costa Rica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4350FA2" w14:textId="0D988847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Costa Rica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2A585D4" w14:textId="2FB0D380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62.9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30BF6E5" w14:textId="2DAEA8D2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54.9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D0BAA13" w14:textId="208F5988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52.9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388708C" w14:textId="366A76B2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99.6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45275F0" w14:textId="2D585EA9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60.4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A83522E" w14:textId="323444A0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35.5</w:t>
            </w:r>
          </w:p>
        </w:tc>
      </w:tr>
      <w:tr w:rsidR="00DB46EE" w:rsidRPr="0018560A" w14:paraId="3B04E5FF" w14:textId="77777777" w:rsidTr="00DB46EE">
        <w:trPr>
          <w:gridAfter w:val="1"/>
          <w:wAfter w:w="44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4F326" w14:textId="1A396FB1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0EE25" w14:textId="287E8A4E" w:rsidR="00DB46EE" w:rsidRPr="0018560A" w:rsidRDefault="00DB46EE" w:rsidP="00DB46E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Universidad Federal de Pernambuco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CC627" w14:textId="198CA43C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A8F4C" w14:textId="438559BA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62.8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83B3D" w14:textId="6DD01CCB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85.5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56AD4" w14:textId="63ED8AFC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69.5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00E6D" w14:textId="2AF9CD79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34.1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6230B" w14:textId="4C4C7253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23.2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B46B8" w14:textId="2BCAAC0D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41.5</w:t>
            </w:r>
          </w:p>
        </w:tc>
      </w:tr>
      <w:tr w:rsidR="00DB46EE" w:rsidRPr="0018560A" w14:paraId="051E327F" w14:textId="77777777" w:rsidTr="00DB46EE">
        <w:trPr>
          <w:gridAfter w:val="1"/>
          <w:wAfter w:w="44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5F849DE" w14:textId="193736A8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136A882" w14:textId="76388CE4" w:rsidR="00DB46EE" w:rsidRPr="0018560A" w:rsidRDefault="00DB46EE" w:rsidP="00DB46E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Universidad Federal del ABC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8EB5B6C" w14:textId="7281FA11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81EE9B1" w14:textId="7F634619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62.6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4F812A0" w14:textId="1E852AE4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56.5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BEF7079" w14:textId="75CB1F67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79.8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BA9E75" w14:textId="0C80A390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56.6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15DD9CD" w14:textId="3E0F8994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53.5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8796B83" w14:textId="751DCA6E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</w:tr>
      <w:tr w:rsidR="00DB46EE" w:rsidRPr="0018560A" w14:paraId="0C21017F" w14:textId="77777777" w:rsidTr="00DB46EE">
        <w:trPr>
          <w:gridAfter w:val="1"/>
          <w:wAfter w:w="44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3E490" w14:textId="12EBCBBC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44B84" w14:textId="7AF3A2D1" w:rsidR="00DB46EE" w:rsidRPr="0018560A" w:rsidRDefault="00DB46EE" w:rsidP="00DB46E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Universidad Federal del Ceará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1F3AC" w14:textId="6FBA1C9E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DFCD5" w14:textId="51E8BA6E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62.1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927DC" w14:textId="6844F07D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73.1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AEA68" w14:textId="37CAE625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71.8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F5633" w14:textId="7DEBE125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40.9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AA1C4" w14:textId="5D294220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31.1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CC1BB" w14:textId="12DA9EDE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46.8</w:t>
            </w:r>
          </w:p>
        </w:tc>
      </w:tr>
      <w:tr w:rsidR="00DB46EE" w:rsidRPr="0018560A" w14:paraId="71EEA8CD" w14:textId="77777777" w:rsidTr="00DB46EE">
        <w:trPr>
          <w:gridAfter w:val="1"/>
          <w:wAfter w:w="44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9432174" w14:textId="680D6AEF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F674172" w14:textId="65CC4D2E" w:rsidR="00DB46EE" w:rsidRPr="0018560A" w:rsidRDefault="00DB46EE" w:rsidP="00DB46E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Universidad Austral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746983E" w14:textId="69B9CF4D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Argentina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A4B5697" w14:textId="1852A4E7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61.6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745D76A" w14:textId="358CE2EC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51.5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D65E164" w14:textId="78EA49A1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57.7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88471AD" w14:textId="4F1793C8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95.5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C09C41A" w14:textId="568D47E1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DB4F383" w14:textId="050B75FB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49.4</w:t>
            </w:r>
          </w:p>
        </w:tc>
      </w:tr>
      <w:tr w:rsidR="00DB46EE" w:rsidRPr="0018560A" w14:paraId="269092E6" w14:textId="77777777" w:rsidTr="00DB46EE">
        <w:trPr>
          <w:gridAfter w:val="1"/>
          <w:wAfter w:w="44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EB3DC" w14:textId="23B9DF99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6F4A2" w14:textId="2CC3BA03" w:rsidR="00DB46EE" w:rsidRPr="0018560A" w:rsidRDefault="00DB46EE" w:rsidP="00DB46E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Universidad Nacional de San Martín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3D27B" w14:textId="6BC3DF3A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Argentina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E7441" w14:textId="5457A19D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EA499" w14:textId="40DFF374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59.9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D6A41" w14:textId="6A8B86CC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71.1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2365F" w14:textId="05BF4244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CD6F8" w14:textId="155DCB60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68.4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FB6B2" w14:textId="4A4FDCD8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37.4</w:t>
            </w:r>
          </w:p>
        </w:tc>
      </w:tr>
      <w:tr w:rsidR="00DB46EE" w:rsidRPr="0018560A" w14:paraId="5CA74275" w14:textId="77777777" w:rsidTr="00DB46EE">
        <w:trPr>
          <w:gridAfter w:val="1"/>
          <w:wAfter w:w="44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36038EE" w14:textId="74D8226F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D74BEDA" w14:textId="12E1794C" w:rsidR="00DB46EE" w:rsidRPr="0018560A" w:rsidRDefault="00DB46EE" w:rsidP="00DB46E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Universidad del Valle de Rio de Sinos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2CA9A78" w14:textId="03680AB7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194CF61" w14:textId="496FB3F2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60.4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4E47149" w14:textId="5D571DDC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66.9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ADAEE70" w14:textId="72215DAE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56.5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BFA0E43" w14:textId="0513D779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56.1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301F66F" w14:textId="653DE8CA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27.8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D57CED9" w14:textId="13187131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85</w:t>
            </w:r>
          </w:p>
        </w:tc>
      </w:tr>
      <w:tr w:rsidR="00DB46EE" w:rsidRPr="0018560A" w14:paraId="1D7BFF59" w14:textId="77777777" w:rsidTr="00DB46EE">
        <w:trPr>
          <w:gridAfter w:val="1"/>
          <w:wAfter w:w="44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D6470" w14:textId="2BBB162E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2DFAC" w14:textId="434EB116" w:rsidR="00DB46EE" w:rsidRPr="0018560A" w:rsidRDefault="00DB46EE" w:rsidP="00DB46E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Universidad Federal de Río Grande del Norte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BB22A" w14:textId="3CEC72AF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E9F4B" w14:textId="55F8674F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59.5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1D643" w14:textId="35A02355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77.4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5B643" w14:textId="5B78415A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56.5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DEDCC" w14:textId="2F7012DB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44.8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8938F" w14:textId="79902A61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34.6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1B6BB" w14:textId="2AB6CEBD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47.5</w:t>
            </w:r>
          </w:p>
        </w:tc>
      </w:tr>
      <w:tr w:rsidR="00DB46EE" w:rsidRPr="0018560A" w14:paraId="1527A02E" w14:textId="77777777" w:rsidTr="00DB46EE">
        <w:trPr>
          <w:gridAfter w:val="1"/>
          <w:wAfter w:w="44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8FFC3E3" w14:textId="4225FA1B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70AAB0A" w14:textId="45F8C8A8" w:rsidR="00DB46EE" w:rsidRPr="0018560A" w:rsidRDefault="00DB46EE" w:rsidP="00DB46E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Universidad Federal de Pelotas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F5074B9" w14:textId="7436AF9E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C9AD218" w14:textId="70FC3163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58.7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A7ACA58" w14:textId="15FF9FE0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51.2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3B173D4" w14:textId="0AA50010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65.6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9B54808" w14:textId="77001550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74.2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A9947B4" w14:textId="593EA468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21.9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5609456" w14:textId="53361DD8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35.5</w:t>
            </w:r>
          </w:p>
        </w:tc>
      </w:tr>
      <w:tr w:rsidR="00DB46EE" w:rsidRPr="0018560A" w14:paraId="0B63AE5C" w14:textId="77777777" w:rsidTr="00DB46EE">
        <w:trPr>
          <w:gridAfter w:val="1"/>
          <w:wAfter w:w="44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8BEC8" w14:textId="5E23CF2B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CFBB" w14:textId="1ECF8D73" w:rsidR="00DB46EE" w:rsidRPr="0018560A" w:rsidRDefault="00DB46EE" w:rsidP="00DB46E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Universidad Nacional de Córdoba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D00F1" w14:textId="1B722CAD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Argentina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9E662" w14:textId="0628AFA9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57.7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8065B" w14:textId="61E78C75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69.1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8B936" w14:textId="0B0448D6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69.3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612AD" w14:textId="3E6AF589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48.2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74A52" w14:textId="285A60AA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41.3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AEC9A" w14:textId="2E3B0FB5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37.1</w:t>
            </w:r>
          </w:p>
        </w:tc>
      </w:tr>
      <w:tr w:rsidR="00DB46EE" w:rsidRPr="0018560A" w14:paraId="66886F8B" w14:textId="77777777" w:rsidTr="00DB46EE">
        <w:trPr>
          <w:gridAfter w:val="1"/>
          <w:wAfter w:w="44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A24ADCE" w14:textId="2AD66434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C2C7C05" w14:textId="7DCEE35F" w:rsidR="00DB46EE" w:rsidRPr="0018560A" w:rsidRDefault="00DB46EE" w:rsidP="00DB46E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Universidad Federal de Goiás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19EB0E6" w14:textId="04F5B478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FF51C4F" w14:textId="611903EF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57.1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94BB161" w14:textId="17B8C556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68.8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7E0B64B" w14:textId="26774218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65.3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2BE5635" w14:textId="482F61FE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35.6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AFDE593" w14:textId="5CCF2DDB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25.6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95D2CB1" w14:textId="131F0992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53.1</w:t>
            </w:r>
          </w:p>
        </w:tc>
      </w:tr>
      <w:tr w:rsidR="00DB46EE" w:rsidRPr="0018560A" w14:paraId="745A4E31" w14:textId="77777777" w:rsidTr="00DB46EE">
        <w:trPr>
          <w:gridAfter w:val="1"/>
          <w:wAfter w:w="44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C2142" w14:textId="28BEE5CE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49AD3" w14:textId="3E82D96A" w:rsidR="00DB46EE" w:rsidRPr="0018560A" w:rsidRDefault="00DB46EE" w:rsidP="00DB46E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Universidad de los Andes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44CD2" w14:textId="3CDB9F95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3E8A8" w14:textId="5085FC6E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56.3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16319" w14:textId="3F31F7FB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46.7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3AFC5" w14:textId="7B0320DC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57.7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ACB72" w14:textId="42109F78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57.2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B94B5" w14:textId="12C288B3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69.4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49163" w14:textId="4C030727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</w:tr>
      <w:tr w:rsidR="00DB46EE" w:rsidRPr="0018560A" w14:paraId="69DAEE9B" w14:textId="77777777" w:rsidTr="00DB46EE">
        <w:trPr>
          <w:gridAfter w:val="1"/>
          <w:wAfter w:w="44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776ACBB" w14:textId="2B3651FD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ECD5063" w14:textId="5DF42330" w:rsidR="00DB46EE" w:rsidRPr="0018560A" w:rsidRDefault="00DB46EE" w:rsidP="00DB46E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Universidad de la Habana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591A043" w14:textId="79F6BED4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Cuba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EBDE9F5" w14:textId="0A03B56B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56.1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6C517A6" w14:textId="4B537AA6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76.3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2290542" w14:textId="5C9515A8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63.4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ABB9988" w14:textId="5E6CC8B0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9FDC740" w14:textId="0E5BEF0B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72.1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7D1E215" w14:textId="77EE2A12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</w:tr>
      <w:tr w:rsidR="00DB46EE" w:rsidRPr="0018560A" w14:paraId="1132C58C" w14:textId="77777777" w:rsidTr="00DB46EE">
        <w:trPr>
          <w:gridAfter w:val="1"/>
          <w:wAfter w:w="44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0AC3E" w14:textId="06D0F3C5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C8AA3" w14:textId="19249087" w:rsidR="00DB46EE" w:rsidRPr="0018560A" w:rsidRDefault="00DB46EE" w:rsidP="00DB46E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Universidad de Antioquia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F46F6" w14:textId="2AC95B38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Colombia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22A9B" w14:textId="09BD3476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55.5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92A9D" w14:textId="3A92406D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53.6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4AC9D" w14:textId="17BE59DC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EEC3C" w14:textId="7C8A129A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41.9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99489" w14:textId="57F89B4D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40.9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42456" w14:textId="776AAE76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61.9</w:t>
            </w:r>
          </w:p>
        </w:tc>
      </w:tr>
      <w:tr w:rsidR="00DB46EE" w:rsidRPr="0018560A" w14:paraId="32FC4104" w14:textId="77777777" w:rsidTr="00DB46EE">
        <w:trPr>
          <w:gridAfter w:val="1"/>
          <w:wAfter w:w="44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3D13837" w14:textId="52B3EEBC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C668433" w14:textId="5BDA8487" w:rsidR="00DB46EE" w:rsidRPr="0018560A" w:rsidRDefault="00DB46EE" w:rsidP="00DB46E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Universidad de La Frontera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3EA79C9" w14:textId="691B0DE6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54EE52B" w14:textId="4DF12F1C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55.3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EBA7198" w14:textId="38A916FF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34.1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1A4BF4A" w14:textId="49E3F599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64.3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84B6974" w14:textId="4951DAEE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70.9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0194C60" w14:textId="6448A8F6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58.2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593D26C" w14:textId="5286D0AA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37.4</w:t>
            </w:r>
          </w:p>
        </w:tc>
      </w:tr>
      <w:tr w:rsidR="00DB46EE" w:rsidRPr="0018560A" w14:paraId="49ED9C26" w14:textId="77777777" w:rsidTr="00DB46EE">
        <w:trPr>
          <w:gridAfter w:val="1"/>
          <w:wAfter w:w="44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710BF" w14:textId="18FFE7CC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A1E25" w14:textId="2C6C2F03" w:rsidR="00DB46EE" w:rsidRPr="0018560A" w:rsidRDefault="00DB46EE" w:rsidP="00DB46E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Universidad de Concepción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3321B" w14:textId="4D545EE1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60648" w14:textId="38C8C0F2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BD524" w14:textId="089ECA47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43.9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CAFE1" w14:textId="4EC2A869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58.3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4107F" w14:textId="1CC39AD7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59.3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9B619" w14:textId="1717E3A7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68.8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BAE61" w14:textId="0A854454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93.1</w:t>
            </w:r>
          </w:p>
        </w:tc>
      </w:tr>
      <w:tr w:rsidR="00DB46EE" w:rsidRPr="0018560A" w14:paraId="6CEF5C1C" w14:textId="77777777" w:rsidTr="00DB46EE">
        <w:trPr>
          <w:gridAfter w:val="1"/>
          <w:wAfter w:w="44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B8C40A3" w14:textId="359B0902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E987719" w14:textId="17B557F0" w:rsidR="00DB46EE" w:rsidRPr="0018560A" w:rsidRDefault="00DB46EE" w:rsidP="00DB46E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Pontificia Universidad Católica de Paraná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A1DB14F" w14:textId="22FB4D3C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027D228" w14:textId="1DCEAF5F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2B613B0" w14:textId="1D2A884F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E1E0189" w14:textId="03BC0C67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59.8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02D99E6" w14:textId="60348CC1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57.8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075CEB7" w14:textId="5B08B0F0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30.8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2882B3B" w14:textId="7778C572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45.2</w:t>
            </w:r>
          </w:p>
        </w:tc>
      </w:tr>
      <w:tr w:rsidR="00DB46EE" w:rsidRPr="0018560A" w14:paraId="58E9C316" w14:textId="77777777" w:rsidTr="00DB46EE">
        <w:trPr>
          <w:gridAfter w:val="1"/>
          <w:wAfter w:w="44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D8ABE" w14:textId="6F3B9395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07C81" w14:textId="5B99ADFE" w:rsidR="00DB46EE" w:rsidRPr="0018560A" w:rsidRDefault="00DB46EE" w:rsidP="00DB46E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Universidad Austral de Chile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546C4" w14:textId="31B4D4A6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8A83E" w14:textId="014EA2F3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54.9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B209A" w14:textId="40CDF20F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45.4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E71C4" w14:textId="37CC029E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56.5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F1A10" w14:textId="288D2C2F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57.4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79197" w14:textId="4AE4D72C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74.2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8F3B2" w14:textId="481F937E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73.9</w:t>
            </w:r>
          </w:p>
        </w:tc>
      </w:tr>
      <w:tr w:rsidR="00DB46EE" w:rsidRPr="0018560A" w14:paraId="3BEF141E" w14:textId="77777777" w:rsidTr="00DB46EE">
        <w:trPr>
          <w:gridAfter w:val="1"/>
          <w:wAfter w:w="44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AEE1184" w14:textId="7E6A20D0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A22A55C" w14:textId="4879B5D0" w:rsidR="00DB46EE" w:rsidRPr="0018560A" w:rsidRDefault="00DB46EE" w:rsidP="00DB46E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Universidad Estatal de Londrina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E2E7AEF" w14:textId="0040B5EC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82F0BBA" w14:textId="4D8FCB8A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54.3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FE19D6E" w14:textId="20805ECE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69.3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D619461" w14:textId="77C1B563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63.1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385F3D3" w14:textId="5D588BC7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35.7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4E7D465" w14:textId="28F73207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22.1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CCC1283" w14:textId="2E46FD20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35.5</w:t>
            </w:r>
          </w:p>
        </w:tc>
      </w:tr>
      <w:tr w:rsidR="00DB46EE" w:rsidRPr="0018560A" w14:paraId="54B0F110" w14:textId="77777777" w:rsidTr="00DB46EE">
        <w:trPr>
          <w:gridAfter w:val="1"/>
          <w:wAfter w:w="44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3855C" w14:textId="74699282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FF8AE" w14:textId="112675EC" w:rsidR="00DB46EE" w:rsidRPr="0018560A" w:rsidRDefault="00DB46EE" w:rsidP="00DB46E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Universidad Federal de Santa María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41861" w14:textId="0B869968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8341B" w14:textId="45B7E6E0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3B4BD" w14:textId="3B20ECC7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63.8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9BB0F" w14:textId="79285A1E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62.3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A06CA" w14:textId="1C162A36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35.2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35323" w14:textId="195E1018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23.5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96B29" w14:textId="489C1E38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38.1</w:t>
            </w:r>
          </w:p>
        </w:tc>
      </w:tr>
      <w:tr w:rsidR="00DB46EE" w:rsidRPr="0018560A" w14:paraId="2BF620B6" w14:textId="77777777" w:rsidTr="00DB46EE">
        <w:trPr>
          <w:gridAfter w:val="1"/>
          <w:wAfter w:w="44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31CE5AE" w14:textId="28401859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6A40926" w14:textId="3DF2C52E" w:rsidR="00DB46EE" w:rsidRPr="0018560A" w:rsidRDefault="00DB46EE" w:rsidP="00DB46E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Universidad Torcuato Di Tella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DFFAE79" w14:textId="25834E0E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Argentina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4D55696" w14:textId="3956287B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52.3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767916F" w14:textId="395BD5C5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B431A19" w14:textId="1324AD4D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47.1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84D3BEC" w14:textId="0119286F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62.7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600BCE7" w14:textId="3D30EC69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90.8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55BC08A" w14:textId="18EA59EE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35.5</w:t>
            </w:r>
          </w:p>
        </w:tc>
      </w:tr>
      <w:tr w:rsidR="00DB46EE" w:rsidRPr="0018560A" w14:paraId="28B5FBC0" w14:textId="77777777" w:rsidTr="00DB46EE">
        <w:trPr>
          <w:gridAfter w:val="1"/>
          <w:wAfter w:w="44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1B0E6" w14:textId="7188BFF9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C25AD" w14:textId="26399C5C" w:rsidR="00DB46EE" w:rsidRPr="0018560A" w:rsidRDefault="00DB46EE" w:rsidP="00DB46E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Universidad de Puerto Rico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E0136" w14:textId="0B30344A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Puerto Rico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16AA1" w14:textId="5352BD91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52.2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47F8C" w14:textId="283F56D8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41.3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E0EA0" w14:textId="20F356EA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41.1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3F820" w14:textId="325A1C8F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88.3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2C1F6" w14:textId="460673B7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7C824" w14:textId="0091FE30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37.3</w:t>
            </w:r>
          </w:p>
        </w:tc>
      </w:tr>
      <w:tr w:rsidR="00DB46EE" w:rsidRPr="0018560A" w14:paraId="0796867C" w14:textId="77777777" w:rsidTr="00DB46EE">
        <w:trPr>
          <w:gridAfter w:val="1"/>
          <w:wAfter w:w="44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887B32A" w14:textId="7BD12E95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8F137DD" w14:textId="22F4FE59" w:rsidR="00DB46EE" w:rsidRPr="0018560A" w:rsidRDefault="00DB46EE" w:rsidP="00DB46E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Universidad de Valparaíso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8F8D874" w14:textId="2BCE50DC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D949257" w14:textId="2500C810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51.9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7BECFEC" w14:textId="2A07D3DF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50.2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E3B730B" w14:textId="0957E57C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52.1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9B92C75" w14:textId="0C0B86DD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50.1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FEB7EEF" w14:textId="31418455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69.5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8718F63" w14:textId="397E85A0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</w:tr>
      <w:tr w:rsidR="00DB46EE" w:rsidRPr="0018560A" w14:paraId="00742F03" w14:textId="77777777" w:rsidTr="00DB46EE">
        <w:trPr>
          <w:gridAfter w:val="1"/>
          <w:wAfter w:w="44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1FB65" w14:textId="45D90F4F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61BF2" w14:textId="332D2EC7" w:rsidR="00DB46EE" w:rsidRPr="0018560A" w:rsidRDefault="00DB46EE" w:rsidP="00DB46E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Universidad Federal de Uberlandia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AECFB" w14:textId="67686367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21966" w14:textId="2ABA61D4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51.8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52B16" w14:textId="4B47BBB6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63.9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293FA" w14:textId="19F909B7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47.1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3C560" w14:textId="01F667BC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7A866" w14:textId="64F637E4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4378E" w14:textId="54CB0031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61.3</w:t>
            </w:r>
          </w:p>
        </w:tc>
      </w:tr>
      <w:tr w:rsidR="00DB46EE" w:rsidRPr="0018560A" w14:paraId="07B4B5B2" w14:textId="77777777" w:rsidTr="00DB46EE">
        <w:trPr>
          <w:gridAfter w:val="1"/>
          <w:wAfter w:w="44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43C3333" w14:textId="0AD34AE5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84EC58" w14:textId="66ECE6AA" w:rsidR="00DB46EE" w:rsidRPr="0018560A" w:rsidRDefault="00DB46EE" w:rsidP="00DB46E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Universidad San Francisco de Quito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A6BAF83" w14:textId="2959FFCB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Ecuador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039105C" w14:textId="7CB6E822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51.2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8356852" w14:textId="0FF454F1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36.1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3EFF5E5" w14:textId="2B6B6D4E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42.5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7B91F71" w14:textId="534D1550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76.9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3F8164E" w14:textId="4F377EF2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94.6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F7C8987" w14:textId="1F0DDE6F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37.3</w:t>
            </w:r>
          </w:p>
        </w:tc>
      </w:tr>
      <w:tr w:rsidR="00DB46EE" w:rsidRPr="0018560A" w14:paraId="1537AA76" w14:textId="77777777" w:rsidTr="00DB46EE">
        <w:trPr>
          <w:gridAfter w:val="1"/>
          <w:wAfter w:w="44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B233D" w14:textId="721B1DF7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3B021" w14:textId="15597E2D" w:rsidR="00DB46EE" w:rsidRPr="0018560A" w:rsidRDefault="00DB46EE" w:rsidP="00DB46E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Universidad de Los Andes, Venezuela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8BB14" w14:textId="254A3820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Venezuela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DC6FC" w14:textId="2B57EACF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50.5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7676C" w14:textId="66D7D01A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764B6" w14:textId="00576B89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53.5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F8916" w14:textId="34C52470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46.3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AEB49" w14:textId="0A13A2FA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56.1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0FE46" w14:textId="2E5FFADB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35.5</w:t>
            </w:r>
          </w:p>
        </w:tc>
      </w:tr>
      <w:tr w:rsidR="00DB46EE" w:rsidRPr="0018560A" w14:paraId="02007C5F" w14:textId="77777777" w:rsidTr="00DB46EE">
        <w:trPr>
          <w:gridAfter w:val="1"/>
          <w:wAfter w:w="44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3931AFB" w14:textId="33277994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D7EC5CF" w14:textId="0C6FEA53" w:rsidR="00DB46EE" w:rsidRPr="0018560A" w:rsidRDefault="00DB46EE" w:rsidP="00DB46E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Instituto Politécnico Nacional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37759A2" w14:textId="3C7D3789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4B687FA" w14:textId="2AC86441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49.8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98B396C" w14:textId="64BAD127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57.7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D268F2B" w14:textId="6DF6A034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65.3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B4F4189" w14:textId="296CDF55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35.7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A91E13C" w14:textId="50C07DD8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24.9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97AAB0A" w14:textId="03A8A9A1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57.6</w:t>
            </w:r>
          </w:p>
        </w:tc>
      </w:tr>
      <w:tr w:rsidR="00DB46EE" w:rsidRPr="0018560A" w14:paraId="28E5BA6B" w14:textId="77777777" w:rsidTr="00DB46EE">
        <w:trPr>
          <w:gridAfter w:val="1"/>
          <w:wAfter w:w="44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004E7" w14:textId="78803703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8FB31" w14:textId="69CB70C3" w:rsidR="00DB46EE" w:rsidRPr="0018560A" w:rsidRDefault="00DB46EE" w:rsidP="00DB46E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Universidad Diego Portales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97F82" w14:textId="3CB1E0A7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D8FF7" w14:textId="0F042B28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48.8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8EC98" w14:textId="2DF851C2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9526B" w14:textId="2A654A1B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42.5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BAC7B" w14:textId="0AD8C45B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4F42D" w14:textId="38F182AB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70.9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8482D" w14:textId="242EA906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35.5</w:t>
            </w:r>
          </w:p>
        </w:tc>
      </w:tr>
      <w:tr w:rsidR="00DB46EE" w:rsidRPr="0018560A" w14:paraId="5A5AE90D" w14:textId="77777777" w:rsidTr="00DB46EE">
        <w:trPr>
          <w:gridAfter w:val="1"/>
          <w:wAfter w:w="44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02D6D12" w14:textId="2D1708EC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9BE08FB" w14:textId="67BE12FC" w:rsidR="00DB46EE" w:rsidRPr="0018560A" w:rsidRDefault="00DB46EE" w:rsidP="00DB46E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Universidad Adolfo Ibáñez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A6B5CED" w14:textId="01EB31CE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3D8BE7A" w14:textId="36E260A9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47.6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D1001A5" w14:textId="25A30F69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29.6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A1C010A" w14:textId="7B92FBB8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33.4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F60BE44" w14:textId="50CFB41C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65.7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D70042E" w14:textId="4B3D7029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87.5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D5D2B81" w14:textId="0F04B482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42.3</w:t>
            </w:r>
          </w:p>
        </w:tc>
      </w:tr>
      <w:tr w:rsidR="00DB46EE" w:rsidRPr="0018560A" w14:paraId="6658C6D3" w14:textId="77777777" w:rsidTr="00DB46EE">
        <w:trPr>
          <w:gridAfter w:val="1"/>
          <w:wAfter w:w="44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B74DB" w14:textId="428D8A03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EED4C" w14:textId="4AF46410" w:rsidR="00DB46EE" w:rsidRPr="0018560A" w:rsidRDefault="00DB46EE" w:rsidP="00DB46E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Universidad Autónoma de Chile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23A47" w14:textId="1CAFA4E3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27C13" w14:textId="19556199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47.5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ECD47" w14:textId="7B8DE8D8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20.5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5F79C" w14:textId="0E2AA480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39.9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8D4D9" w14:textId="14F58A0F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A2CA5" w14:textId="2ABE26D6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FAF66" w14:textId="5BE49ADC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35.5</w:t>
            </w:r>
          </w:p>
        </w:tc>
      </w:tr>
      <w:tr w:rsidR="00DB46EE" w:rsidRPr="0018560A" w14:paraId="7DDC645D" w14:textId="77777777" w:rsidTr="00DB46EE">
        <w:trPr>
          <w:gridAfter w:val="1"/>
          <w:wAfter w:w="44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6D086B5" w14:textId="6C15CFD2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62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8CCC9D6" w14:textId="1BD2ACB1" w:rsidR="00DB46EE" w:rsidRPr="0018560A" w:rsidRDefault="00DB46EE" w:rsidP="00DB46E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Universidad Federal de Sergipe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367E8CA" w14:textId="7C37D073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45A6340" w14:textId="0444B6EE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47.2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A9E6E3B" w14:textId="5B2A7258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38.5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AF7C16D" w14:textId="0671886B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36.6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DC42CF7" w14:textId="4C8B1A4E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96.7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9FDECAD" w14:textId="0F7D0D56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24.6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D6D86E2" w14:textId="4B755E67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35.5</w:t>
            </w:r>
          </w:p>
        </w:tc>
      </w:tr>
      <w:tr w:rsidR="00DB46EE" w:rsidRPr="0018560A" w14:paraId="600B765A" w14:textId="77777777" w:rsidTr="00DB46EE">
        <w:trPr>
          <w:gridAfter w:val="1"/>
          <w:wAfter w:w="44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342F1" w14:textId="70B37E2A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BD478" w14:textId="30FC0EEA" w:rsidR="00DB46EE" w:rsidRPr="0018560A" w:rsidRDefault="00DB46EE" w:rsidP="00DB46E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Universidad Técnica Federico Santa María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2CCEC" w14:textId="50D4F203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C3E98" w14:textId="1455301D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46.7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A2449" w14:textId="232385E7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EE0E7" w14:textId="24D4BFB1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42.2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6FCB2" w14:textId="10CABBCD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74.3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91F65" w14:textId="4C935A6C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89.2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61A4A" w14:textId="4C00CEDB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68.7</w:t>
            </w:r>
          </w:p>
        </w:tc>
      </w:tr>
      <w:tr w:rsidR="00DB46EE" w:rsidRPr="0018560A" w14:paraId="67F64F1B" w14:textId="77777777" w:rsidTr="00DB46EE">
        <w:trPr>
          <w:gridAfter w:val="1"/>
          <w:wAfter w:w="44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2C842FF" w14:textId="560C776E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7BF047B" w14:textId="374EA8ED" w:rsidR="00DB46EE" w:rsidRPr="0018560A" w:rsidRDefault="00DB46EE" w:rsidP="00DB46E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Universidad Federal de Pará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61BC658" w14:textId="5FB37080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294C168" w14:textId="01EFC7A1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45.6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FCCAFC3" w14:textId="66CA18E5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A7FA4C7" w14:textId="7229E5E1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54.6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DE15770" w14:textId="4C64CDAB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32.5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8E421F5" w14:textId="5232E65F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26.8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2F76550" w14:textId="05BCAEC5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41.9</w:t>
            </w:r>
          </w:p>
        </w:tc>
      </w:tr>
      <w:tr w:rsidR="00DB46EE" w:rsidRPr="0018560A" w14:paraId="1166B0B6" w14:textId="77777777" w:rsidTr="00DB46EE">
        <w:trPr>
          <w:gridAfter w:val="1"/>
          <w:wAfter w:w="44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59C9E" w14:textId="32897064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65A20" w14:textId="5DA98857" w:rsidR="00DB46EE" w:rsidRPr="0018560A" w:rsidRDefault="00DB46EE" w:rsidP="00DB46E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Universidad Estatal de Ponta Grossa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C59DD" w14:textId="4BE04D8B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03DC3" w14:textId="770BA276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45.5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E50D0" w14:textId="14648853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58.3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EEF69" w14:textId="6FCE8A94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36.9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383A9" w14:textId="61A732F8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52.7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EAF2F" w14:textId="665B40D0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23.9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347CF" w14:textId="55D25AE8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35.5</w:t>
            </w:r>
          </w:p>
        </w:tc>
      </w:tr>
      <w:tr w:rsidR="00DB46EE" w:rsidRPr="0018560A" w14:paraId="2FF0787C" w14:textId="77777777" w:rsidTr="00DB46EE">
        <w:trPr>
          <w:gridAfter w:val="1"/>
          <w:wAfter w:w="44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B95E7CC" w14:textId="01F64CFA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0EA40FF" w14:textId="60F3CC5D" w:rsidR="00DB46EE" w:rsidRPr="0018560A" w:rsidRDefault="00DB46EE" w:rsidP="00DB46E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Universidad Nacional de Cuyo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5CC3FD8" w14:textId="03F3F8D0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Argentina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7BA06B4" w14:textId="419CF2B1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69FFAF0" w14:textId="3D1753CE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50.8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26A90F8" w14:textId="42F6E811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40.1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D485462" w14:textId="1531B30A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54.8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ADA08B8" w14:textId="2EAE3876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48.9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98D61DF" w14:textId="6CB8D8B0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35.6</w:t>
            </w:r>
          </w:p>
        </w:tc>
      </w:tr>
      <w:tr w:rsidR="00DB46EE" w:rsidRPr="0018560A" w14:paraId="1CE8057C" w14:textId="77777777" w:rsidTr="00DB46EE">
        <w:trPr>
          <w:gridAfter w:val="1"/>
          <w:wAfter w:w="44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B0A09" w14:textId="0A5DBF44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CBEB4" w14:textId="497F59C3" w:rsidR="00DB46EE" w:rsidRPr="0018560A" w:rsidRDefault="00DB46EE" w:rsidP="00DB46E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Universidad Autónoma del Estado de México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CEB83" w14:textId="35A36150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3DE8C" w14:textId="57D8FAE0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44.5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D9886" w14:textId="3A1D41C9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53.3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1033A" w14:textId="0F7190C4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59.3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5AAE7" w14:textId="12CB7364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20.3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A29CD" w14:textId="2216820C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26.9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254B1" w14:textId="5487BB1C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50.4</w:t>
            </w:r>
          </w:p>
        </w:tc>
      </w:tr>
      <w:tr w:rsidR="00DB46EE" w:rsidRPr="0018560A" w14:paraId="22C03FCA" w14:textId="77777777" w:rsidTr="00DB46EE">
        <w:trPr>
          <w:gridAfter w:val="1"/>
          <w:wAfter w:w="44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C273134" w14:textId="7621F636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97527C" w14:textId="0FEF7C0B" w:rsidR="00DB46EE" w:rsidRPr="0018560A" w:rsidRDefault="00DB46EE" w:rsidP="00DB46E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Universidad Nacional del Litoral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6443A8A" w14:textId="71766060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Argentina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2866B4C" w14:textId="655C2D6C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44.5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9CEE7B2" w14:textId="1C476D77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44.7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19B9480" w14:textId="7B3F30EA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54.7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89CAE38" w14:textId="4244742C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42.8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DD46B44" w14:textId="57299CDE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26.5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923F022" w14:textId="7273C52A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</w:tr>
      <w:tr w:rsidR="00DB46EE" w:rsidRPr="0018560A" w14:paraId="54D900BA" w14:textId="77777777" w:rsidTr="00DB46EE">
        <w:trPr>
          <w:gridAfter w:val="1"/>
          <w:wAfter w:w="44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BF064" w14:textId="5E5FD843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1F529" w14:textId="1DF873DC" w:rsidR="00DB46EE" w:rsidRPr="0018560A" w:rsidRDefault="00DB46EE" w:rsidP="00DB46E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Universidad ICESI (Colombia)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6EEA7" w14:textId="5F817984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Colombia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E3E74" w14:textId="051F9872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43.9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D46A" w14:textId="2827F893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32.2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7AC1D" w14:textId="2077EADB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22.3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2CAEC" w14:textId="3379AA07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97.7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F9946" w14:textId="5D7C998B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49.7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7EE98" w14:textId="101B62E2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37.2</w:t>
            </w:r>
          </w:p>
        </w:tc>
      </w:tr>
      <w:tr w:rsidR="00DB46EE" w:rsidRPr="0018560A" w14:paraId="4D418B4F" w14:textId="77777777" w:rsidTr="00DB46EE">
        <w:trPr>
          <w:gridAfter w:val="1"/>
          <w:wAfter w:w="44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3FDD2AA" w14:textId="05AD3579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B87773B" w14:textId="60E90D5D" w:rsidR="00DB46EE" w:rsidRPr="0018560A" w:rsidRDefault="00DB46EE" w:rsidP="00DB46E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Universidad Federal de Juiz de Fora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6F60A77" w14:textId="67B2A1A4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7FC76FB" w14:textId="4AF01041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43.8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B6D6FDA" w14:textId="76AC7B3B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068AA8F" w14:textId="52007CAB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48.4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A63D171" w14:textId="77BB9E3C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52.8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266BD4E" w14:textId="73B25622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A795F15" w14:textId="1B9F5DC0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42.1</w:t>
            </w:r>
          </w:p>
        </w:tc>
      </w:tr>
      <w:tr w:rsidR="00DB46EE" w:rsidRPr="0018560A" w14:paraId="0C479CA7" w14:textId="77777777" w:rsidTr="00DB46EE">
        <w:trPr>
          <w:gridAfter w:val="1"/>
          <w:wAfter w:w="44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A3801" w14:textId="4BDC4AEB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36430" w14:textId="5D32EDBD" w:rsidR="00DB46EE" w:rsidRPr="0018560A" w:rsidRDefault="00DB46EE" w:rsidP="00DB46E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Universidad del Desarrollo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77FDF" w14:textId="05D759BC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16035" w14:textId="319A2E41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43.6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4B510" w14:textId="02ED4CDB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19.5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2D831" w14:textId="64AA2DD8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20.8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C9E2C" w14:textId="6FADB1D4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CFE09" w14:textId="758BF43E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69.5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A8972" w14:textId="1525F3D3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43.7</w:t>
            </w:r>
          </w:p>
        </w:tc>
      </w:tr>
      <w:tr w:rsidR="00DB46EE" w:rsidRPr="0018560A" w14:paraId="0BE251C4" w14:textId="77777777" w:rsidTr="00DB46EE">
        <w:trPr>
          <w:gridAfter w:val="1"/>
          <w:wAfter w:w="44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2517C06" w14:textId="6C079E85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B0FD0D9" w14:textId="7B594F58" w:rsidR="00DB46EE" w:rsidRPr="0018560A" w:rsidRDefault="00DB46EE" w:rsidP="00DB46E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Universidad Simón Bolívar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8CC1526" w14:textId="2C45ED10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Venezuela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8541BDC" w14:textId="11A44FAA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43.5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DBDA496" w14:textId="6790DFDB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47.8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F5FC3EB" w14:textId="3BE8D01E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33.5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7EBD567" w14:textId="6D84D687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38.5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D66B1C1" w14:textId="1C26EBC3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48.6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7BDEAB7" w14:textId="1C2F4EEA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99.1</w:t>
            </w:r>
          </w:p>
        </w:tc>
      </w:tr>
      <w:tr w:rsidR="00DB46EE" w:rsidRPr="0018560A" w14:paraId="2974DC27" w14:textId="77777777" w:rsidTr="00DB46EE">
        <w:trPr>
          <w:gridAfter w:val="1"/>
          <w:wAfter w:w="44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7732B" w14:textId="5DF32DE3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9FD7C" w14:textId="55345739" w:rsidR="00DB46EE" w:rsidRPr="0018560A" w:rsidRDefault="00DB46EE" w:rsidP="00DB46E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Universidad Nacional Agraria La Molina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E2EBF" w14:textId="540305EA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Perú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45824" w14:textId="1306C48B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42.9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60F35" w14:textId="05AEB682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41.1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22B96" w14:textId="1A9C3A93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49.4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EF055" w14:textId="767FC65B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32.8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6DAB9" w14:textId="1EE990AA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82.2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1CFFD" w14:textId="015F8A20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35.5</w:t>
            </w:r>
          </w:p>
        </w:tc>
      </w:tr>
      <w:tr w:rsidR="00DB46EE" w:rsidRPr="0018560A" w14:paraId="66F53A1F" w14:textId="77777777" w:rsidTr="00DB46EE">
        <w:trPr>
          <w:gridAfter w:val="1"/>
          <w:wAfter w:w="44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32E8356" w14:textId="4942A239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A713271" w14:textId="1C56522E" w:rsidR="00DB46EE" w:rsidRPr="0018560A" w:rsidRDefault="00DB46EE" w:rsidP="00DB46E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Universidad Tecnológica Federal de Paraná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3A8D55F" w14:textId="369B7C1D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F0E7076" w14:textId="05F5305E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42.4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7FD1544" w14:textId="2A4D32BC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55.2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325A69A" w14:textId="6EA00CB1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47.4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750DB4" w14:textId="0D13DD90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39B8F3A" w14:textId="4E278925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26.2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1D296EF" w14:textId="5DC5343F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47.1</w:t>
            </w:r>
          </w:p>
        </w:tc>
      </w:tr>
      <w:tr w:rsidR="00DB46EE" w:rsidRPr="0018560A" w14:paraId="2C0EF97A" w14:textId="77777777" w:rsidTr="00DB46EE">
        <w:trPr>
          <w:gridAfter w:val="1"/>
          <w:wAfter w:w="44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3954B" w14:textId="71722CA0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35CE0" w14:textId="4426EADD" w:rsidR="00DB46EE" w:rsidRPr="0018560A" w:rsidRDefault="00DB46EE" w:rsidP="00DB46E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Universidad Nacional de Quilmes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D62A" w14:textId="240CFA20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Argentina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AEC77" w14:textId="20E46F4D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42.1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E5796" w14:textId="768E8FFF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43.1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304D7" w14:textId="56371E39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49.6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D5C95" w14:textId="1B8F62D3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37.9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5ADF9" w14:textId="66CF04A1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44.7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00E3D" w14:textId="2EF1755F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36.6</w:t>
            </w:r>
          </w:p>
        </w:tc>
      </w:tr>
      <w:tr w:rsidR="00DB46EE" w:rsidRPr="0018560A" w14:paraId="6D3899B5" w14:textId="77777777" w:rsidTr="00DB46EE">
        <w:trPr>
          <w:gridAfter w:val="1"/>
          <w:wAfter w:w="44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5858374" w14:textId="00309209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E10D393" w14:textId="625F128C" w:rsidR="00DB46EE" w:rsidRPr="0018560A" w:rsidRDefault="00DB46EE" w:rsidP="00DB46E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Universidad Federal de Ouro Preto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691B7D2" w14:textId="7457764D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F45D238" w14:textId="5A625059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49EB3DE" w14:textId="08B14139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45.6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7671980" w14:textId="131FE7D9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36.4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94A12C6" w14:textId="4A0E35E4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43.2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9BF1684" w14:textId="1E363F4D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2CF7E9A" w14:textId="22272DCA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49.1</w:t>
            </w:r>
          </w:p>
        </w:tc>
      </w:tr>
      <w:tr w:rsidR="00DB46EE" w:rsidRPr="0018560A" w14:paraId="7D20DD7A" w14:textId="77777777" w:rsidTr="00DB46EE">
        <w:trPr>
          <w:gridAfter w:val="1"/>
          <w:wAfter w:w="44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DA4B3" w14:textId="5414566E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43FD2" w14:textId="2B448EB5" w:rsidR="00DB46EE" w:rsidRPr="0018560A" w:rsidRDefault="00DB46EE" w:rsidP="00DB46E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Benemérita Universidad Autónoma de Puebla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11821" w14:textId="002379F1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796B5" w14:textId="6C09D143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41.4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D8D18" w14:textId="4FADF8D1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50.7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ACEED" w14:textId="602F4D5B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12194" w14:textId="11B77753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31.3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20F8C" w14:textId="466967C5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26.5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B2D2D" w14:textId="54BEC862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36.1</w:t>
            </w:r>
          </w:p>
        </w:tc>
      </w:tr>
      <w:tr w:rsidR="00DB46EE" w:rsidRPr="0018560A" w14:paraId="1157A9CA" w14:textId="77777777" w:rsidTr="00DB46EE">
        <w:trPr>
          <w:gridAfter w:val="1"/>
          <w:wAfter w:w="44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0DD921F" w14:textId="361A2CF2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F3B9263" w14:textId="6EF7233C" w:rsidR="00DB46EE" w:rsidRPr="0018560A" w:rsidRDefault="00DB46EE" w:rsidP="00DB46E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Instituto Tecnológico de Buenos Aires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B6BEC28" w14:textId="66B3FA28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Argentina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64F8EAC" w14:textId="2190AEA5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41.3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5215C04" w14:textId="4688A8D0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38.3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BD3BEC6" w14:textId="03C1083C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54A8A0C" w14:textId="1F65A304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53.6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79EB936" w14:textId="192B934B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79.8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F343810" w14:textId="37BE589F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35.7</w:t>
            </w:r>
          </w:p>
        </w:tc>
      </w:tr>
      <w:tr w:rsidR="00DB46EE" w:rsidRPr="0018560A" w14:paraId="4DDE791B" w14:textId="77777777" w:rsidTr="00DB46EE">
        <w:trPr>
          <w:gridAfter w:val="1"/>
          <w:wAfter w:w="44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9541E" w14:textId="1C5AA454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CE368" w14:textId="5C5EF8D0" w:rsidR="00DB46EE" w:rsidRPr="0018560A" w:rsidRDefault="00DB46EE" w:rsidP="00DB46E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Universidad del Norte, Colombia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CE4D2" w14:textId="427C3CA6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Colombia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3368A" w14:textId="332F7429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41.3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0157D" w14:textId="3E882A27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52F96" w14:textId="08C5EB2B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39.3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F326F" w14:textId="2BDB91A9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E94DC" w14:textId="216FCD59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81.3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168CE" w14:textId="592597B6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41.2</w:t>
            </w:r>
          </w:p>
        </w:tc>
      </w:tr>
      <w:tr w:rsidR="00DB46EE" w:rsidRPr="0018560A" w14:paraId="1B802B2D" w14:textId="77777777" w:rsidTr="00DB46EE">
        <w:trPr>
          <w:gridAfter w:val="1"/>
          <w:wAfter w:w="44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AD8EB94" w14:textId="123A0CCB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ED286C0" w14:textId="58097BE5" w:rsidR="00DB46EE" w:rsidRPr="0018560A" w:rsidRDefault="00DB46EE" w:rsidP="00DB46E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Universidad de La Sabana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D884281" w14:textId="7EE2EA36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Colombia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F6BFEAB" w14:textId="62401AA4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D15BB9E" w14:textId="504AFDB0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48.2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5CB598A" w14:textId="67F3294B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39.6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536E55D" w14:textId="768412B6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16.4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609FFA5" w14:textId="43CEC29C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61.4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8A13522" w14:textId="6E0CA320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36.9</w:t>
            </w:r>
          </w:p>
        </w:tc>
      </w:tr>
      <w:tr w:rsidR="00DB46EE" w:rsidRPr="0018560A" w14:paraId="685EC0D9" w14:textId="77777777" w:rsidTr="00DB46EE">
        <w:trPr>
          <w:gridAfter w:val="1"/>
          <w:wAfter w:w="44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51E50" w14:textId="75DAF543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8A90C" w14:textId="6C00083E" w:rsidR="00DB46EE" w:rsidRPr="0018560A" w:rsidRDefault="00DB46EE" w:rsidP="00DB46E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Universidad Estatal de Maringá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9FDDD" w14:textId="58492AEF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CCC37" w14:textId="0A00E8C5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39.8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35E60" w14:textId="5FEE8E27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52.9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8794" w14:textId="5DD05E09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34.4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61899" w14:textId="1DB46061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28.6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A8BA2" w14:textId="2BE22C4D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BAED4" w14:textId="1ECA4F41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36.7</w:t>
            </w:r>
          </w:p>
        </w:tc>
      </w:tr>
      <w:tr w:rsidR="00DB46EE" w:rsidRPr="0018560A" w14:paraId="4DC80642" w14:textId="77777777" w:rsidTr="00DB46EE">
        <w:trPr>
          <w:gridAfter w:val="1"/>
          <w:wAfter w:w="44" w:type="dxa"/>
          <w:trHeight w:val="289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8EEF000" w14:textId="524F3CD1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179FBD4" w14:textId="44DCED5A" w:rsidR="00DB46EE" w:rsidRPr="0018560A" w:rsidRDefault="00DB46EE" w:rsidP="00DB46E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Universidad Federal de Itajubà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FBEC6F5" w14:textId="6A8A5DD9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4E3A821" w14:textId="593F4AF6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39.7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CB5CF08" w14:textId="6C2BA63E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38.7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5D445F7" w14:textId="6195816C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30.2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B8CE953" w14:textId="3F92F176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48.5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7DFF1C3" w14:textId="034624EC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38.1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54AB328" w14:textId="3503182C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45.8</w:t>
            </w:r>
          </w:p>
        </w:tc>
      </w:tr>
      <w:tr w:rsidR="00DB46EE" w:rsidRPr="0018560A" w14:paraId="50EC1983" w14:textId="77777777" w:rsidTr="00DB46EE">
        <w:trPr>
          <w:gridAfter w:val="1"/>
          <w:wAfter w:w="44" w:type="dxa"/>
          <w:trHeight w:val="222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4EE37" w14:textId="52C330CB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37E76" w14:textId="2533C04D" w:rsidR="00DB46EE" w:rsidRPr="0018560A" w:rsidRDefault="00DB46EE" w:rsidP="00DB46E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Universidad de Talca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73D7A" w14:textId="4D651AAC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E252D" w14:textId="3ABD0403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39.7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4D722" w14:textId="004FC488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19.9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E1E81" w14:textId="0F3335EE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28.2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4E4BF" w14:textId="3AA8987F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64.1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861D6" w14:textId="70EF0859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70.7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E0F41" w14:textId="1D2023F0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50.4</w:t>
            </w:r>
          </w:p>
        </w:tc>
      </w:tr>
      <w:tr w:rsidR="00DB46EE" w:rsidRPr="0018560A" w14:paraId="039092A7" w14:textId="77777777" w:rsidTr="00DB46EE">
        <w:trPr>
          <w:gridAfter w:val="1"/>
          <w:wAfter w:w="44" w:type="dxa"/>
          <w:trHeight w:val="224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C9B9BD2" w14:textId="750F6D59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8B589FA" w14:textId="6BE2F441" w:rsidR="00DB46EE" w:rsidRPr="0018560A" w:rsidRDefault="00DB46EE" w:rsidP="00DB46E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Universidad Presbiteriana Mackenzie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77B089E" w14:textId="7CC14471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6069C92" w14:textId="1D6B935F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39.6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6B15A98" w14:textId="430161C7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50.4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CED2C9E" w14:textId="2710E6F6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45.5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1D59A78" w14:textId="4E7932C6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18.4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A93A4BE" w14:textId="1A9DB3BE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30.7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D23DAE0" w14:textId="2F054363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40.2</w:t>
            </w:r>
          </w:p>
        </w:tc>
      </w:tr>
      <w:tr w:rsidR="00DB46EE" w:rsidRPr="0018560A" w14:paraId="312FCCE6" w14:textId="77777777" w:rsidTr="00DB46EE">
        <w:trPr>
          <w:gridAfter w:val="1"/>
          <w:wAfter w:w="44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6CAE3" w14:textId="77F6EBC0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2457A" w14:textId="56BF2D32" w:rsidR="00DB46EE" w:rsidRPr="0018560A" w:rsidRDefault="00DB46EE" w:rsidP="00DB46E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Universidad Católica del Norte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01916" w14:textId="7F35A828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F2A92" w14:textId="4881144C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39.5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10B1D" w14:textId="1AF47490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43CEA" w14:textId="2F2880B2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36.2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1ADA1" w14:textId="3FDDF1F9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60.7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EE46A" w14:textId="4098B7F8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79.6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D71B3" w14:textId="3DD68F1E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38.6</w:t>
            </w:r>
          </w:p>
        </w:tc>
      </w:tr>
      <w:tr w:rsidR="00DB46EE" w:rsidRPr="0018560A" w14:paraId="2BB3595D" w14:textId="77777777" w:rsidTr="00DB46EE">
        <w:trPr>
          <w:gridAfter w:val="1"/>
          <w:wAfter w:w="44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1D46A8D" w14:textId="6B3D4C8F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D085248" w14:textId="29AF01E9" w:rsidR="00DB46EE" w:rsidRPr="0018560A" w:rsidRDefault="00DB46EE" w:rsidP="00DB46E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Universidad de Antofagasta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3494A54" w14:textId="39E91A24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DB55EDF" w14:textId="3E9CB065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39.4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2054923" w14:textId="1C27D9F3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17.5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FD37911" w14:textId="3FE10F27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15.6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ED8413F" w14:textId="380F16C5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95.1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94BBD9E" w14:textId="35E967F9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65.2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9B624ED" w14:textId="56467E38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35.5</w:t>
            </w:r>
          </w:p>
        </w:tc>
      </w:tr>
      <w:tr w:rsidR="00DB46EE" w:rsidRPr="0018560A" w14:paraId="1B19CC43" w14:textId="77777777" w:rsidTr="00DB46EE">
        <w:trPr>
          <w:gridAfter w:val="1"/>
          <w:wAfter w:w="44" w:type="dxa"/>
          <w:trHeight w:val="286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80048" w14:textId="6964FE1D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F862D" w14:textId="62757B38" w:rsidR="00DB46EE" w:rsidRPr="0018560A" w:rsidRDefault="00DB46EE" w:rsidP="00DB46E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Universidad Federal de Paraíba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B32C8" w14:textId="500507A2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7F29B" w14:textId="6C02A817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39.3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2F6E1" w14:textId="3CF77D2E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50.8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5F605" w14:textId="7D8A2D3E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36.3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C0752" w14:textId="38F69411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26.7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17EAD" w14:textId="669B236B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24.5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57AED" w14:textId="68AAB881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</w:tr>
      <w:tr w:rsidR="00DB46EE" w:rsidRPr="0018560A" w14:paraId="447EB098" w14:textId="77777777" w:rsidTr="00DB46EE">
        <w:trPr>
          <w:gridAfter w:val="1"/>
          <w:wAfter w:w="44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7BDEAF9" w14:textId="787517A2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BEC3AFB" w14:textId="3F189BD6" w:rsidR="00DB46EE" w:rsidRPr="0018560A" w:rsidRDefault="00DB46EE" w:rsidP="00DB46E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Universidad Federal de Ciencias de la Salud de Porto Alegre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09F97F0" w14:textId="2E1F2F7E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594831D" w14:textId="7D6DCAF0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38.9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D76E0D4" w14:textId="780F550A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37.3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9BF112" w14:textId="7F3E6A93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33.2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D7C0107" w14:textId="188B72AE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35.3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94039F1" w14:textId="38BB38A1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FFBA892" w14:textId="017853E8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35.5</w:t>
            </w:r>
          </w:p>
        </w:tc>
      </w:tr>
      <w:tr w:rsidR="00DB46EE" w:rsidRPr="0018560A" w14:paraId="7A9046D3" w14:textId="77777777" w:rsidTr="00DB46EE">
        <w:trPr>
          <w:gridAfter w:val="1"/>
          <w:wAfter w:w="44" w:type="dxa"/>
          <w:trHeight w:val="334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9A2F7" w14:textId="00378F7A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DBF36" w14:textId="6E87E488" w:rsidR="00DB46EE" w:rsidRPr="0018560A" w:rsidRDefault="00DB46EE" w:rsidP="00DB46E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Universidad Estatal de Santa Cruz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D6085" w14:textId="6E5716FF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CA95B" w14:textId="1E1A240F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38.9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9D622" w14:textId="6BE60AD2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37.9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8BA89" w14:textId="7339FD0B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47.5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8C7B4" w14:textId="12AD786C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28.2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20521" w14:textId="23F19097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34.2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B9A6E" w14:textId="0544C408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35.5</w:t>
            </w:r>
          </w:p>
        </w:tc>
      </w:tr>
      <w:tr w:rsidR="00DB46EE" w:rsidRPr="0018560A" w14:paraId="6DFFB493" w14:textId="77777777" w:rsidTr="00DB46EE">
        <w:trPr>
          <w:gridAfter w:val="1"/>
          <w:wAfter w:w="44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BF9F6D4" w14:textId="3A210BD9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F7EE555" w14:textId="20D04C5D" w:rsidR="00DB46EE" w:rsidRPr="0018560A" w:rsidRDefault="00DB46EE" w:rsidP="00DB46E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Universidad de Guadalajara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23097D8" w14:textId="720E5F07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D3DE227" w14:textId="2C60882E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38.8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A19E435" w14:textId="0E551146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42.6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E54B0C7" w14:textId="7084659F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42.2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20E8EF2" w14:textId="223B71A2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24.4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38EACC9" w14:textId="5D832AD8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28.3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38770D0" w14:textId="0C0F75E4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35.5</w:t>
            </w:r>
          </w:p>
        </w:tc>
      </w:tr>
      <w:tr w:rsidR="00DB46EE" w:rsidRPr="0018560A" w14:paraId="420F83F6" w14:textId="77777777" w:rsidTr="00DB46EE">
        <w:trPr>
          <w:gridAfter w:val="1"/>
          <w:wAfter w:w="44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F6384" w14:textId="482A6200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97906" w14:textId="1CFE805B" w:rsidR="00DB46EE" w:rsidRPr="0018560A" w:rsidRDefault="00DB46EE" w:rsidP="00DB46E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Universidad Industrial de Santander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4AC40" w14:textId="6A8EDB2D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Colombia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1019E" w14:textId="057B4F6D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38.6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7F9AA" w14:textId="66A2C8A9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1E4EC" w14:textId="0DF8E0DA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28.6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7F65E" w14:textId="1FD6BC6D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70.4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35CAC" w14:textId="0C07620A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43.8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71B4F" w14:textId="1248D534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35.6</w:t>
            </w:r>
          </w:p>
        </w:tc>
      </w:tr>
      <w:tr w:rsidR="00DB46EE" w:rsidRPr="0018560A" w14:paraId="1A74F32C" w14:textId="77777777" w:rsidTr="00DB46EE">
        <w:trPr>
          <w:gridAfter w:val="1"/>
          <w:wAfter w:w="44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8463B2C" w14:textId="0F27EEE1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958F9C6" w14:textId="0A03F00E" w:rsidR="00DB46EE" w:rsidRPr="0018560A" w:rsidRDefault="00DB46EE" w:rsidP="00DB46E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Universidad Estatal de Santa Catarina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5730543" w14:textId="541CF30B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89D9721" w14:textId="75A4E268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38.4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BBCB3E" w14:textId="518EA1D2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39.5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F70E5E9" w14:textId="67E2E0CF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31.6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930F410" w14:textId="05D75825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48.2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60FCA2E" w14:textId="315D28FB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19.9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6CBFB4F" w14:textId="5DF9FF19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37.9</w:t>
            </w:r>
          </w:p>
        </w:tc>
      </w:tr>
      <w:tr w:rsidR="00DB46EE" w:rsidRPr="0018560A" w14:paraId="2540100D" w14:textId="77777777" w:rsidTr="00DB46EE">
        <w:trPr>
          <w:gridAfter w:val="1"/>
          <w:wAfter w:w="44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1A0ED" w14:textId="5ABC3AB9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75194" w14:textId="0225A07B" w:rsidR="00DB46EE" w:rsidRPr="0018560A" w:rsidRDefault="00DB46EE" w:rsidP="00DB46E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Universidad Andrés Bello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17E6C" w14:textId="788A36EB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BBF0A" w14:textId="6969C3F7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38.1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CB940" w14:textId="198FCF8C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BA531" w14:textId="3D19E827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32.2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D1394" w14:textId="25EC0626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68.7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4F940" w14:textId="6AB49B72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63.3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AAF9E" w14:textId="2DBC54BC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35.8</w:t>
            </w:r>
          </w:p>
        </w:tc>
      </w:tr>
      <w:tr w:rsidR="00DB46EE" w:rsidRPr="0018560A" w14:paraId="66085AC2" w14:textId="77777777" w:rsidTr="00DB46EE">
        <w:trPr>
          <w:gridAfter w:val="1"/>
          <w:wAfter w:w="44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5B4796C" w14:textId="2D0B6E7D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7A2EEA4" w14:textId="2A9A821C" w:rsidR="00DB46EE" w:rsidRPr="0018560A" w:rsidRDefault="00DB46EE" w:rsidP="00DB46E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Universidad Autónoma de Yucatán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0A9CB37" w14:textId="047E37B4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CE5DB50" w14:textId="792BAB76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91B8033" w14:textId="1B5DBB1D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36.5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F121359" w14:textId="75E01B14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41.7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37D099C" w14:textId="317BBC69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35.6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EE67C10" w14:textId="72F7E295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31.4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325C36" w14:textId="2ABC5130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65.6</w:t>
            </w:r>
          </w:p>
        </w:tc>
      </w:tr>
      <w:tr w:rsidR="00DB46EE" w:rsidRPr="0018560A" w14:paraId="44072A9B" w14:textId="77777777" w:rsidTr="00DB46EE">
        <w:trPr>
          <w:gridAfter w:val="1"/>
          <w:wAfter w:w="44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EA7D4" w14:textId="15835703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96AAD" w14:textId="6AADC6E2" w:rsidR="00DB46EE" w:rsidRPr="0018560A" w:rsidRDefault="00DB46EE" w:rsidP="00DB46E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Universidad de la Costa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2F95" w14:textId="27B3C02B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Colombia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464EF" w14:textId="35DFF2F6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37.8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0FDB1" w14:textId="6B7889D4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1331C" w14:textId="0A4C6847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2A1C6" w14:textId="304932C0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4F248" w14:textId="032CCA1E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67.2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FADB1" w14:textId="6852969F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37.9</w:t>
            </w:r>
          </w:p>
        </w:tc>
      </w:tr>
      <w:tr w:rsidR="00DB46EE" w:rsidRPr="0018560A" w14:paraId="134D736A" w14:textId="77777777" w:rsidTr="00DB46EE">
        <w:trPr>
          <w:gridAfter w:val="1"/>
          <w:wAfter w:w="44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1FA44D6" w14:textId="436934AB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92FBF59" w14:textId="36166BF9" w:rsidR="00DB46EE" w:rsidRPr="0018560A" w:rsidRDefault="00DB46EE" w:rsidP="00DB46E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Universidad Federal de Alagoas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7CCB1F8" w14:textId="1538FFDC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2D43B81" w14:textId="46BC4A94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37.8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2FB977C" w14:textId="4085D753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34.8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8EF3ECC" w14:textId="69A25089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47.1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D48EE48" w14:textId="12F87941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33.7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1E9EF4A" w14:textId="61507227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24.6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8DA706" w14:textId="66381D34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35.5</w:t>
            </w:r>
          </w:p>
        </w:tc>
      </w:tr>
      <w:tr w:rsidR="00DB46EE" w:rsidRPr="0018560A" w14:paraId="086BBF73" w14:textId="77777777" w:rsidTr="00DB46EE">
        <w:trPr>
          <w:gridAfter w:val="1"/>
          <w:wAfter w:w="44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16202" w14:textId="11C54855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9988E" w14:textId="5874A2B2" w:rsidR="00DB46EE" w:rsidRPr="0018560A" w:rsidRDefault="00DB46EE" w:rsidP="00DB46E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Universidad del Rosario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E5169" w14:textId="0D925AE3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Colombia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5EA1B" w14:textId="42B5703C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37.5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2FA28" w14:textId="459F895C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32.7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39D08" w14:textId="146566EA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21.8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C2733" w14:textId="1129E658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45.6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8D3ED" w14:textId="0F766E73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65.7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70370" w14:textId="4D77F942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</w:tr>
      <w:tr w:rsidR="00DB46EE" w:rsidRPr="0018560A" w14:paraId="5CEE171E" w14:textId="77777777" w:rsidTr="00DB46EE">
        <w:trPr>
          <w:gridAfter w:val="1"/>
          <w:wAfter w:w="44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89C5780" w14:textId="0EA23DC2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0D5903C" w14:textId="0127FAB8" w:rsidR="00DB46EE" w:rsidRPr="0018560A" w:rsidRDefault="00DB46EE" w:rsidP="00DB46E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Universidad Católica de la Santísima Concepción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C0B1341" w14:textId="75CA2401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FEE8D0F" w14:textId="66D43F49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36.8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DA680BE" w14:textId="778CC1BC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7A5E272" w14:textId="6DF150EA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30.6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1ED1F22" w14:textId="5DBA1884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66.5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0D02E98" w14:textId="474B755E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52.5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D9875DA" w14:textId="34E262D4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36.4</w:t>
            </w:r>
          </w:p>
        </w:tc>
      </w:tr>
      <w:tr w:rsidR="00DB46EE" w:rsidRPr="0018560A" w14:paraId="7702218E" w14:textId="77777777" w:rsidTr="00DB46EE">
        <w:trPr>
          <w:gridAfter w:val="1"/>
          <w:wAfter w:w="44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9BB88" w14:textId="6BF62406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C1DE1" w14:textId="5CD0DF2E" w:rsidR="00DB46EE" w:rsidRPr="0018560A" w:rsidRDefault="00DB46EE" w:rsidP="00DB46E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Universidad de las Américas Puebla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339E5" w14:textId="540EE238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Ecuador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0FB74" w14:textId="5A095782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36.7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B753F" w14:textId="336EF5E9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29.6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DBF23" w14:textId="42DCC3C3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A85F8" w14:textId="2A4EDAB2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70.1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25647" w14:textId="2E28A3C0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78.2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4E42A" w14:textId="681EC25B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35.9</w:t>
            </w:r>
          </w:p>
        </w:tc>
      </w:tr>
      <w:tr w:rsidR="00DB46EE" w:rsidRPr="0018560A" w14:paraId="3E45A2AE" w14:textId="77777777" w:rsidTr="00DB46EE">
        <w:trPr>
          <w:gridAfter w:val="1"/>
          <w:wAfter w:w="44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7CE3FFF" w14:textId="7F131371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E79D368" w14:textId="19DDD5F5" w:rsidR="00DB46EE" w:rsidRPr="0018560A" w:rsidRDefault="00DB46EE" w:rsidP="00DB46E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Universidad Autónoma de Querétaro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2B01859" w14:textId="6E65CDE0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México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8A2C076" w14:textId="5297FB37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36.6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6BE3632" w14:textId="2B8D5C1A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23.4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A32195F" w14:textId="6913133B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37.6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F0418FE" w14:textId="1BD5AAB5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38.5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B3FAD0D" w14:textId="6F02A749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44.1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DEB154" w14:textId="53D88AF0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54.3</w:t>
            </w:r>
          </w:p>
        </w:tc>
      </w:tr>
      <w:tr w:rsidR="00DB46EE" w:rsidRPr="0018560A" w14:paraId="119B8FFA" w14:textId="77777777" w:rsidTr="00DB46EE">
        <w:trPr>
          <w:gridAfter w:val="1"/>
          <w:wAfter w:w="44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ECBC6" w14:textId="3556F6EC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C273F" w14:textId="644B9E7D" w:rsidR="00DB46EE" w:rsidRPr="0018560A" w:rsidRDefault="00DB46EE" w:rsidP="00DB46E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Pontificia Universidad Católica de Minas Gerais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A7E31" w14:textId="440C0AAF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Brasil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803A1" w14:textId="1D02BD48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36.6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00B8E" w14:textId="0D24479B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42.5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83F26" w14:textId="43DBAD9F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B523F" w14:textId="5DA07BF6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20.5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F12A0" w14:textId="70C065FB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22.9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A78DE" w14:textId="20153151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36.4</w:t>
            </w:r>
          </w:p>
        </w:tc>
      </w:tr>
      <w:tr w:rsidR="00DB46EE" w:rsidRPr="0018560A" w14:paraId="2C3F58DB" w14:textId="77777777" w:rsidTr="00DB46EE">
        <w:trPr>
          <w:gridAfter w:val="1"/>
          <w:wAfter w:w="44" w:type="dxa"/>
          <w:trHeight w:val="1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7EF2D8F" w14:textId="6811AFE3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DB38238" w14:textId="099591E7" w:rsidR="00DB46EE" w:rsidRPr="0018560A" w:rsidRDefault="00DB46EE" w:rsidP="00DB46E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Universidad de Tarapacá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A976BD1" w14:textId="4A0AF6C0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E102A16" w14:textId="21A9078F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36.6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D2B5CE4" w14:textId="6C93AA53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3977AEF" w14:textId="77FA26E3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32.8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553F013" w14:textId="52B2D2AB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43.8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02DED29" w14:textId="3148BBDE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72.3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CEFF2B8" w14:textId="4E5C1401" w:rsidR="00DB46EE" w:rsidRPr="0018560A" w:rsidRDefault="00DB46EE" w:rsidP="00DB46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41.8</w:t>
            </w:r>
          </w:p>
        </w:tc>
      </w:tr>
      <w:tr w:rsidR="00803500" w:rsidRPr="0018560A" w14:paraId="5E63EB04" w14:textId="77777777" w:rsidTr="00DB46EE">
        <w:trPr>
          <w:trHeight w:val="55"/>
          <w:jc w:val="center"/>
        </w:trPr>
        <w:tc>
          <w:tcPr>
            <w:tcW w:w="11965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61929C3" w14:textId="2665120C" w:rsidR="00803500" w:rsidRPr="0018560A" w:rsidRDefault="00BF0E0F" w:rsidP="0020786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4"/>
                <w:szCs w:val="16"/>
                <w:lang w:eastAsia="es-MX"/>
              </w:rPr>
            </w:pPr>
            <w:r w:rsidRPr="0018560A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es-MX"/>
              </w:rPr>
              <w:t xml:space="preserve">*Ordenando </w:t>
            </w:r>
            <w:r w:rsidRPr="0018560A">
              <w:rPr>
                <w:rFonts w:ascii="Calibri" w:eastAsia="Times New Roman" w:hAnsi="Calibri" w:cs="Times New Roman"/>
                <w:bCs/>
                <w:color w:val="000000"/>
                <w:sz w:val="14"/>
                <w:szCs w:val="16"/>
                <w:lang w:eastAsia="es-MX"/>
              </w:rPr>
              <w:t xml:space="preserve">conforme a la posición obtenida en </w:t>
            </w:r>
            <w:r w:rsidR="00DB46EE" w:rsidRPr="0018560A">
              <w:rPr>
                <w:rFonts w:ascii="Calibri" w:eastAsia="Times New Roman" w:hAnsi="Calibri" w:cs="Times New Roman"/>
                <w:bCs/>
                <w:color w:val="000000"/>
                <w:sz w:val="14"/>
                <w:szCs w:val="16"/>
                <w:lang w:eastAsia="es-MX"/>
              </w:rPr>
              <w:t xml:space="preserve">2020, y el nombre de la </w:t>
            </w:r>
            <w:r w:rsidR="00D42E62" w:rsidRPr="0018560A">
              <w:rPr>
                <w:rFonts w:ascii="Calibri" w:eastAsia="Times New Roman" w:hAnsi="Calibri" w:cs="Times New Roman"/>
                <w:bCs/>
                <w:color w:val="000000"/>
                <w:sz w:val="14"/>
                <w:szCs w:val="16"/>
                <w:lang w:eastAsia="es-MX"/>
              </w:rPr>
              <w:t>universidad.</w:t>
            </w:r>
          </w:p>
        </w:tc>
      </w:tr>
    </w:tbl>
    <w:p w14:paraId="0B1C0167" w14:textId="77777777" w:rsidR="00803500" w:rsidRPr="0018560A" w:rsidRDefault="00803500" w:rsidP="0011183D">
      <w:pPr>
        <w:pStyle w:val="Prrafodelista"/>
        <w:spacing w:after="0" w:line="240" w:lineRule="auto"/>
        <w:jc w:val="both"/>
        <w:rPr>
          <w:sz w:val="24"/>
        </w:rPr>
      </w:pPr>
    </w:p>
    <w:p w14:paraId="6AAC1318" w14:textId="44EB58DB" w:rsidR="00D42E62" w:rsidRPr="0018560A" w:rsidRDefault="00D42E62" w:rsidP="00812A0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18560A">
        <w:rPr>
          <w:sz w:val="24"/>
        </w:rPr>
        <w:t xml:space="preserve">En el ranking THE Latinoamérica fueron evaluadas </w:t>
      </w:r>
      <w:r w:rsidR="0015162E" w:rsidRPr="0018560A">
        <w:rPr>
          <w:sz w:val="24"/>
        </w:rPr>
        <w:t xml:space="preserve">22 </w:t>
      </w:r>
      <w:r w:rsidR="0011183D" w:rsidRPr="0018560A">
        <w:rPr>
          <w:sz w:val="24"/>
        </w:rPr>
        <w:t>universidades</w:t>
      </w:r>
      <w:r w:rsidRPr="0018560A">
        <w:rPr>
          <w:sz w:val="24"/>
        </w:rPr>
        <w:t xml:space="preserve"> mexicanas</w:t>
      </w:r>
      <w:r w:rsidR="0091164B" w:rsidRPr="0018560A">
        <w:rPr>
          <w:sz w:val="24"/>
        </w:rPr>
        <w:t xml:space="preserve">, de las cuales </w:t>
      </w:r>
      <w:r w:rsidRPr="0018560A">
        <w:rPr>
          <w:sz w:val="24"/>
        </w:rPr>
        <w:t xml:space="preserve">9 fueron clasificadas </w:t>
      </w:r>
      <w:r w:rsidR="00A55850" w:rsidRPr="0018560A">
        <w:rPr>
          <w:sz w:val="24"/>
        </w:rPr>
        <w:t xml:space="preserve">en el TOP </w:t>
      </w:r>
      <w:r w:rsidRPr="0018560A">
        <w:rPr>
          <w:sz w:val="24"/>
        </w:rPr>
        <w:t xml:space="preserve">100, y las 13 </w:t>
      </w:r>
      <w:r w:rsidR="00BD13AB" w:rsidRPr="0018560A">
        <w:rPr>
          <w:sz w:val="24"/>
        </w:rPr>
        <w:t xml:space="preserve">universidades </w:t>
      </w:r>
      <w:r w:rsidRPr="0018560A">
        <w:rPr>
          <w:sz w:val="24"/>
        </w:rPr>
        <w:t xml:space="preserve">restantes </w:t>
      </w:r>
      <w:r w:rsidR="0091164B" w:rsidRPr="0018560A">
        <w:rPr>
          <w:sz w:val="24"/>
        </w:rPr>
        <w:t xml:space="preserve">fueron </w:t>
      </w:r>
      <w:r w:rsidR="00A55850" w:rsidRPr="0018560A">
        <w:rPr>
          <w:sz w:val="24"/>
        </w:rPr>
        <w:t xml:space="preserve">posicionadas </w:t>
      </w:r>
      <w:r w:rsidRPr="0018560A">
        <w:rPr>
          <w:sz w:val="24"/>
        </w:rPr>
        <w:t>entre los rangos 101-125 y 126+.</w:t>
      </w:r>
    </w:p>
    <w:p w14:paraId="5EAFD4FE" w14:textId="77777777" w:rsidR="00D42E62" w:rsidRPr="0018560A" w:rsidRDefault="00D42E62" w:rsidP="00D42E62">
      <w:pPr>
        <w:pStyle w:val="Prrafodelista"/>
        <w:spacing w:after="0" w:line="240" w:lineRule="auto"/>
        <w:jc w:val="both"/>
        <w:rPr>
          <w:sz w:val="24"/>
        </w:rPr>
      </w:pPr>
    </w:p>
    <w:p w14:paraId="02AE1E12" w14:textId="3315A072" w:rsidR="00812A0B" w:rsidRPr="0018560A" w:rsidRDefault="00D42E62" w:rsidP="00812A0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18560A">
        <w:rPr>
          <w:sz w:val="24"/>
        </w:rPr>
        <w:lastRenderedPageBreak/>
        <w:t xml:space="preserve">Respecto a las 9 universidades mexicanas en el TOP 100, </w:t>
      </w:r>
      <w:r w:rsidR="00BD13AB" w:rsidRPr="0018560A">
        <w:rPr>
          <w:sz w:val="24"/>
        </w:rPr>
        <w:t xml:space="preserve">8 instituciones de educación superior pertenecen al sector público, y únicamente </w:t>
      </w:r>
      <w:r w:rsidR="00233096" w:rsidRPr="0018560A">
        <w:rPr>
          <w:sz w:val="24"/>
        </w:rPr>
        <w:t>una</w:t>
      </w:r>
      <w:r w:rsidR="00BD13AB" w:rsidRPr="0018560A">
        <w:rPr>
          <w:sz w:val="24"/>
        </w:rPr>
        <w:t xml:space="preserve"> universidad pertenece al sector privado</w:t>
      </w:r>
      <w:r w:rsidR="00812A0B" w:rsidRPr="0018560A">
        <w:rPr>
          <w:sz w:val="24"/>
        </w:rPr>
        <w:t>.</w:t>
      </w:r>
    </w:p>
    <w:p w14:paraId="192B305F" w14:textId="77777777" w:rsidR="0011183D" w:rsidRPr="0018560A" w:rsidRDefault="0011183D" w:rsidP="0011183D">
      <w:pPr>
        <w:pStyle w:val="Prrafodelista"/>
        <w:spacing w:after="0" w:line="240" w:lineRule="auto"/>
        <w:jc w:val="both"/>
        <w:rPr>
          <w:sz w:val="24"/>
        </w:rPr>
      </w:pPr>
    </w:p>
    <w:p w14:paraId="49BEA800" w14:textId="3A280205" w:rsidR="00DA2EA6" w:rsidRPr="0018560A" w:rsidRDefault="00DA2EA6" w:rsidP="00DA2EA6">
      <w:pPr>
        <w:pStyle w:val="Prrafodelista"/>
        <w:jc w:val="both"/>
        <w:rPr>
          <w:b/>
          <w:sz w:val="24"/>
        </w:rPr>
      </w:pPr>
      <w:r w:rsidRPr="0018560A">
        <w:rPr>
          <w:b/>
          <w:sz w:val="24"/>
        </w:rPr>
        <w:t>Comportamiento de la UNAM en el periodo 201</w:t>
      </w:r>
      <w:r w:rsidR="00EA55DA" w:rsidRPr="0018560A">
        <w:rPr>
          <w:b/>
          <w:sz w:val="24"/>
        </w:rPr>
        <w:t>6</w:t>
      </w:r>
      <w:r w:rsidRPr="0018560A">
        <w:rPr>
          <w:b/>
          <w:sz w:val="24"/>
        </w:rPr>
        <w:t xml:space="preserve"> - 20</w:t>
      </w:r>
      <w:r w:rsidR="00D42E62" w:rsidRPr="0018560A">
        <w:rPr>
          <w:b/>
          <w:sz w:val="24"/>
        </w:rPr>
        <w:t>20</w:t>
      </w:r>
      <w:r w:rsidRPr="0018560A">
        <w:rPr>
          <w:b/>
          <w:sz w:val="24"/>
        </w:rPr>
        <w:t>.</w:t>
      </w:r>
    </w:p>
    <w:p w14:paraId="67D3FFBC" w14:textId="23E5B24F" w:rsidR="00DA2EA6" w:rsidRPr="0018560A" w:rsidRDefault="00A55850" w:rsidP="00A7152E">
      <w:pPr>
        <w:pStyle w:val="Prrafodelista"/>
        <w:numPr>
          <w:ilvl w:val="0"/>
          <w:numId w:val="1"/>
        </w:numPr>
        <w:jc w:val="both"/>
        <w:rPr>
          <w:sz w:val="24"/>
        </w:rPr>
      </w:pPr>
      <w:r w:rsidRPr="0018560A">
        <w:rPr>
          <w:sz w:val="24"/>
        </w:rPr>
        <w:t xml:space="preserve">La UNAM decayó </w:t>
      </w:r>
      <w:r w:rsidRPr="0018560A">
        <w:rPr>
          <w:sz w:val="24"/>
        </w:rPr>
        <w:t>3</w:t>
      </w:r>
      <w:r w:rsidRPr="0018560A">
        <w:rPr>
          <w:sz w:val="24"/>
        </w:rPr>
        <w:t xml:space="preserve"> </w:t>
      </w:r>
      <w:r w:rsidRPr="0018560A">
        <w:rPr>
          <w:sz w:val="24"/>
        </w:rPr>
        <w:t xml:space="preserve">posiciones </w:t>
      </w:r>
      <w:r w:rsidRPr="0018560A">
        <w:rPr>
          <w:sz w:val="24"/>
        </w:rPr>
        <w:t xml:space="preserve">al pasar del lugar </w:t>
      </w:r>
      <w:r w:rsidRPr="0018560A">
        <w:rPr>
          <w:sz w:val="24"/>
        </w:rPr>
        <w:t xml:space="preserve">14 </w:t>
      </w:r>
      <w:r w:rsidRPr="0018560A">
        <w:rPr>
          <w:sz w:val="24"/>
        </w:rPr>
        <w:t>en 2019</w:t>
      </w:r>
      <w:r w:rsidRPr="0018560A">
        <w:rPr>
          <w:sz w:val="24"/>
        </w:rPr>
        <w:t xml:space="preserve"> </w:t>
      </w:r>
      <w:r w:rsidRPr="0018560A">
        <w:rPr>
          <w:sz w:val="24"/>
        </w:rPr>
        <w:t xml:space="preserve">al </w:t>
      </w:r>
      <w:r w:rsidRPr="0018560A">
        <w:rPr>
          <w:sz w:val="24"/>
        </w:rPr>
        <w:t xml:space="preserve">17 </w:t>
      </w:r>
      <w:r w:rsidRPr="0018560A">
        <w:rPr>
          <w:sz w:val="24"/>
        </w:rPr>
        <w:t xml:space="preserve">en </w:t>
      </w:r>
      <w:r w:rsidRPr="0018560A">
        <w:rPr>
          <w:sz w:val="24"/>
        </w:rPr>
        <w:t>el ranking actual</w:t>
      </w:r>
      <w:r w:rsidR="00DA2EA6" w:rsidRPr="0018560A">
        <w:rPr>
          <w:sz w:val="24"/>
        </w:rPr>
        <w:t>.</w:t>
      </w:r>
    </w:p>
    <w:p w14:paraId="3C4A7F7F" w14:textId="2A977542" w:rsidR="005C08CC" w:rsidRPr="0018560A" w:rsidRDefault="00DA2EA6" w:rsidP="00EC1D87">
      <w:pPr>
        <w:pStyle w:val="Prrafodelista"/>
        <w:numPr>
          <w:ilvl w:val="0"/>
          <w:numId w:val="1"/>
        </w:numPr>
        <w:jc w:val="both"/>
        <w:rPr>
          <w:sz w:val="24"/>
        </w:rPr>
      </w:pPr>
      <w:r w:rsidRPr="0018560A">
        <w:rPr>
          <w:sz w:val="24"/>
        </w:rPr>
        <w:t xml:space="preserve">Se tuvo </w:t>
      </w:r>
      <w:r w:rsidR="005C08CC" w:rsidRPr="0018560A">
        <w:rPr>
          <w:sz w:val="24"/>
        </w:rPr>
        <w:t xml:space="preserve">decremento de 3.6 en el puntaje general, 1 </w:t>
      </w:r>
      <w:r w:rsidR="00FA1987" w:rsidRPr="0018560A">
        <w:rPr>
          <w:sz w:val="24"/>
        </w:rPr>
        <w:t xml:space="preserve">punto </w:t>
      </w:r>
      <w:r w:rsidR="005C08CC" w:rsidRPr="0018560A">
        <w:rPr>
          <w:sz w:val="24"/>
        </w:rPr>
        <w:t xml:space="preserve">en </w:t>
      </w:r>
      <w:r w:rsidR="00FA1987" w:rsidRPr="0018560A">
        <w:rPr>
          <w:sz w:val="24"/>
        </w:rPr>
        <w:t>f</w:t>
      </w:r>
      <w:r w:rsidR="005C08CC" w:rsidRPr="0018560A">
        <w:rPr>
          <w:sz w:val="24"/>
        </w:rPr>
        <w:t>inanciamiento de la industria</w:t>
      </w:r>
      <w:r w:rsidR="00FA1987" w:rsidRPr="0018560A">
        <w:rPr>
          <w:sz w:val="24"/>
        </w:rPr>
        <w:t xml:space="preserve">, </w:t>
      </w:r>
      <w:r w:rsidR="005C08CC" w:rsidRPr="0018560A">
        <w:rPr>
          <w:sz w:val="24"/>
        </w:rPr>
        <w:t>1.1 en el rubro de Investigación</w:t>
      </w:r>
      <w:r w:rsidR="00FA1987" w:rsidRPr="0018560A">
        <w:rPr>
          <w:sz w:val="24"/>
        </w:rPr>
        <w:t xml:space="preserve">, </w:t>
      </w:r>
      <w:r w:rsidR="005C08CC" w:rsidRPr="0018560A">
        <w:rPr>
          <w:sz w:val="24"/>
        </w:rPr>
        <w:t>4.4 en el indicador de Docencia</w:t>
      </w:r>
      <w:r w:rsidR="00FA1987" w:rsidRPr="0018560A">
        <w:rPr>
          <w:sz w:val="24"/>
        </w:rPr>
        <w:t xml:space="preserve">, y </w:t>
      </w:r>
      <w:r w:rsidR="005C08CC" w:rsidRPr="0018560A">
        <w:rPr>
          <w:sz w:val="24"/>
        </w:rPr>
        <w:t>8.6 puntos en Citas</w:t>
      </w:r>
      <w:r w:rsidR="00FA1987" w:rsidRPr="0018560A">
        <w:rPr>
          <w:sz w:val="24"/>
        </w:rPr>
        <w:t>.</w:t>
      </w:r>
    </w:p>
    <w:p w14:paraId="3D12F270" w14:textId="368FF304" w:rsidR="008B6083" w:rsidRPr="0018560A" w:rsidRDefault="00DA2EA6" w:rsidP="005A53F7">
      <w:pPr>
        <w:pStyle w:val="Prrafodelista"/>
        <w:numPr>
          <w:ilvl w:val="0"/>
          <w:numId w:val="1"/>
        </w:numPr>
        <w:jc w:val="both"/>
        <w:rPr>
          <w:sz w:val="24"/>
        </w:rPr>
      </w:pPr>
      <w:r w:rsidRPr="0018560A">
        <w:rPr>
          <w:sz w:val="24"/>
        </w:rPr>
        <w:t>S</w:t>
      </w:r>
      <w:r w:rsidR="009A7399" w:rsidRPr="0018560A">
        <w:rPr>
          <w:sz w:val="24"/>
        </w:rPr>
        <w:t xml:space="preserve">in embargo, </w:t>
      </w:r>
      <w:r w:rsidRPr="0018560A">
        <w:rPr>
          <w:sz w:val="24"/>
        </w:rPr>
        <w:t xml:space="preserve">se presentó un </w:t>
      </w:r>
      <w:r w:rsidR="00FA1987" w:rsidRPr="0018560A">
        <w:rPr>
          <w:sz w:val="24"/>
        </w:rPr>
        <w:t xml:space="preserve">incremento </w:t>
      </w:r>
      <w:r w:rsidRPr="0018560A">
        <w:rPr>
          <w:sz w:val="24"/>
        </w:rPr>
        <w:t xml:space="preserve">de </w:t>
      </w:r>
      <w:r w:rsidR="00FA1987" w:rsidRPr="0018560A">
        <w:rPr>
          <w:sz w:val="24"/>
        </w:rPr>
        <w:t>1.7 puntos en el indicador de perspectiva internacional</w:t>
      </w:r>
      <w:r w:rsidRPr="0018560A">
        <w:rPr>
          <w:sz w:val="24"/>
        </w:rPr>
        <w:t>.</w:t>
      </w:r>
    </w:p>
    <w:tbl>
      <w:tblPr>
        <w:tblW w:w="859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9"/>
        <w:gridCol w:w="1039"/>
        <w:gridCol w:w="1039"/>
        <w:gridCol w:w="1039"/>
        <w:gridCol w:w="1039"/>
        <w:gridCol w:w="1039"/>
        <w:gridCol w:w="1039"/>
        <w:gridCol w:w="1320"/>
      </w:tblGrid>
      <w:tr w:rsidR="005A53F7" w:rsidRPr="0018560A" w14:paraId="4F29BE74" w14:textId="77777777" w:rsidTr="00D42E62">
        <w:trPr>
          <w:trHeight w:val="266"/>
          <w:jc w:val="center"/>
        </w:trPr>
        <w:tc>
          <w:tcPr>
            <w:tcW w:w="8593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1E22CB" w14:textId="77777777" w:rsidR="005A53F7" w:rsidRPr="0018560A" w:rsidRDefault="005A53F7" w:rsidP="00D42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Tabla 3. Variación de la UNAM en los indicadores del ranking THE Latinoamérica, 2016 - 2020.</w:t>
            </w:r>
          </w:p>
        </w:tc>
      </w:tr>
      <w:tr w:rsidR="005A53F7" w:rsidRPr="0018560A" w14:paraId="4F8A9AC9" w14:textId="77777777" w:rsidTr="00D42E62">
        <w:trPr>
          <w:trHeight w:val="83"/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F7C59F6" w14:textId="77777777" w:rsidR="005A53F7" w:rsidRPr="0018560A" w:rsidRDefault="005A53F7" w:rsidP="005A5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b/>
                <w:bCs/>
                <w:color w:val="000000"/>
                <w:sz w:val="16"/>
              </w:rPr>
              <w:t>Año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093E279" w14:textId="77777777" w:rsidR="005A53F7" w:rsidRPr="0018560A" w:rsidRDefault="005A53F7" w:rsidP="005A5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b/>
                <w:bCs/>
                <w:color w:val="000000"/>
                <w:sz w:val="16"/>
              </w:rPr>
              <w:t>Posición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46406F6" w14:textId="77777777" w:rsidR="005A53F7" w:rsidRPr="0018560A" w:rsidRDefault="005A53F7" w:rsidP="005A5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Puntaje general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C6BDE62" w14:textId="7601190E" w:rsidR="005A53F7" w:rsidRPr="0018560A" w:rsidRDefault="005A53F7" w:rsidP="005A5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Docencia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13F5FB2" w14:textId="232B2885" w:rsidR="005A53F7" w:rsidRPr="0018560A" w:rsidRDefault="005A53F7" w:rsidP="005A5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Investigación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7470084" w14:textId="23F66D23" w:rsidR="005A53F7" w:rsidRPr="0018560A" w:rsidRDefault="005A53F7" w:rsidP="005A5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Citas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9EB7B0E" w14:textId="48301D68" w:rsidR="005A53F7" w:rsidRPr="0018560A" w:rsidRDefault="005A53F7" w:rsidP="005A5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Perspectiva internacional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9DC9D47" w14:textId="78E4ED3A" w:rsidR="005A53F7" w:rsidRPr="0018560A" w:rsidRDefault="005A53F7" w:rsidP="005A5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Financiamiento de la industria </w:t>
            </w:r>
          </w:p>
        </w:tc>
      </w:tr>
      <w:tr w:rsidR="005A53F7" w:rsidRPr="0018560A" w14:paraId="23AAF172" w14:textId="77777777" w:rsidTr="00D42E62">
        <w:trPr>
          <w:trHeight w:val="81"/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103BD" w14:textId="77777777" w:rsidR="005A53F7" w:rsidRPr="0018560A" w:rsidRDefault="005A53F7" w:rsidP="005A5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920A9" w14:textId="77777777" w:rsidR="005A53F7" w:rsidRPr="0018560A" w:rsidRDefault="005A53F7" w:rsidP="005A5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6B34F" w14:textId="77777777" w:rsidR="005A53F7" w:rsidRPr="0018560A" w:rsidRDefault="005A53F7" w:rsidP="005A5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68.1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9B538" w14:textId="3EAEB048" w:rsidR="005A53F7" w:rsidRPr="0018560A" w:rsidRDefault="005A53F7" w:rsidP="005A5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73.5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9DED0" w14:textId="4EAD8695" w:rsidR="005A53F7" w:rsidRPr="0018560A" w:rsidRDefault="005A53F7" w:rsidP="005A5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79.6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5B79D" w14:textId="2412CBF0" w:rsidR="005A53F7" w:rsidRPr="0018560A" w:rsidRDefault="005A53F7" w:rsidP="005A5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51.3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1EB29" w14:textId="57EAEA2A" w:rsidR="005A53F7" w:rsidRPr="0018560A" w:rsidRDefault="005A53F7" w:rsidP="005A5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757AA" w14:textId="6A2639FA" w:rsidR="005A53F7" w:rsidRPr="0018560A" w:rsidRDefault="005A53F7" w:rsidP="005A5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74.6</w:t>
            </w:r>
          </w:p>
        </w:tc>
      </w:tr>
      <w:tr w:rsidR="005A53F7" w:rsidRPr="0018560A" w14:paraId="2B9417E2" w14:textId="77777777" w:rsidTr="00D42E62">
        <w:trPr>
          <w:trHeight w:val="81"/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FD7056" w14:textId="77777777" w:rsidR="005A53F7" w:rsidRPr="0018560A" w:rsidRDefault="005A53F7" w:rsidP="005A5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CB8FD9" w14:textId="77777777" w:rsidR="005A53F7" w:rsidRPr="0018560A" w:rsidRDefault="005A53F7" w:rsidP="005A5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5A545E" w14:textId="77777777" w:rsidR="005A53F7" w:rsidRPr="0018560A" w:rsidRDefault="005A53F7" w:rsidP="005A5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73.3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63807F" w14:textId="7210E675" w:rsidR="005A53F7" w:rsidRPr="0018560A" w:rsidRDefault="005A53F7" w:rsidP="005A5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76.6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458CFD" w14:textId="0D65F8AA" w:rsidR="005A53F7" w:rsidRPr="0018560A" w:rsidRDefault="005A53F7" w:rsidP="005A5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85.1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3E7B56" w14:textId="00266DDD" w:rsidR="005A53F7" w:rsidRPr="0018560A" w:rsidRDefault="005A53F7" w:rsidP="005A5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59.7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0E5945" w14:textId="578B1B2A" w:rsidR="005A53F7" w:rsidRPr="0018560A" w:rsidRDefault="005A53F7" w:rsidP="005A5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73.4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83B3C2" w14:textId="0E9DF0F4" w:rsidR="005A53F7" w:rsidRPr="0018560A" w:rsidRDefault="005A53F7" w:rsidP="005A5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87.1</w:t>
            </w:r>
          </w:p>
        </w:tc>
      </w:tr>
      <w:tr w:rsidR="005A53F7" w:rsidRPr="0018560A" w14:paraId="1E21C362" w14:textId="77777777" w:rsidTr="00D42E62">
        <w:trPr>
          <w:trHeight w:val="234"/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4FCFC" w14:textId="77777777" w:rsidR="005A53F7" w:rsidRPr="0018560A" w:rsidRDefault="005A53F7" w:rsidP="005A5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A3F1E" w14:textId="77777777" w:rsidR="005A53F7" w:rsidRPr="0018560A" w:rsidRDefault="005A53F7" w:rsidP="005A5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42734" w14:textId="77777777" w:rsidR="005A53F7" w:rsidRPr="0018560A" w:rsidRDefault="005A53F7" w:rsidP="005A5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73.5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0F6C5" w14:textId="1C014370" w:rsidR="005A53F7" w:rsidRPr="0018560A" w:rsidRDefault="005A53F7" w:rsidP="005A5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74.1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7A73A" w14:textId="7784E392" w:rsidR="005A53F7" w:rsidRPr="0018560A" w:rsidRDefault="005A53F7" w:rsidP="005A5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87.7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736BC" w14:textId="5D516930" w:rsidR="005A53F7" w:rsidRPr="0018560A" w:rsidRDefault="005A53F7" w:rsidP="005A5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60.6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B9BE5" w14:textId="5C317A2F" w:rsidR="005A53F7" w:rsidRPr="0018560A" w:rsidRDefault="005A53F7" w:rsidP="005A5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74.2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8729D" w14:textId="71294A18" w:rsidR="005A53F7" w:rsidRPr="0018560A" w:rsidRDefault="005A53F7" w:rsidP="005A5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95.4</w:t>
            </w:r>
          </w:p>
        </w:tc>
      </w:tr>
      <w:tr w:rsidR="005A53F7" w:rsidRPr="0018560A" w14:paraId="32D78483" w14:textId="77777777" w:rsidTr="00D42E62">
        <w:trPr>
          <w:trHeight w:val="81"/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5151FC" w14:textId="77777777" w:rsidR="005A53F7" w:rsidRPr="0018560A" w:rsidRDefault="005A53F7" w:rsidP="005A5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2019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C2D9AF" w14:textId="77777777" w:rsidR="005A53F7" w:rsidRPr="0018560A" w:rsidRDefault="005A53F7" w:rsidP="005A5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25DDB3" w14:textId="77777777" w:rsidR="005A53F7" w:rsidRPr="0018560A" w:rsidRDefault="005A53F7" w:rsidP="005A5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75.5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B6EEAD" w14:textId="401B479C" w:rsidR="005A53F7" w:rsidRPr="0018560A" w:rsidRDefault="005A53F7" w:rsidP="005A5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76.3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EF23BD" w14:textId="7196F0FA" w:rsidR="005A53F7" w:rsidRPr="0018560A" w:rsidRDefault="005A53F7" w:rsidP="005A5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91.7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3AC8AC" w14:textId="173D2F3B" w:rsidR="005A53F7" w:rsidRPr="0018560A" w:rsidRDefault="005A53F7" w:rsidP="005A5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50.3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316579" w14:textId="580C5F92" w:rsidR="005A53F7" w:rsidRPr="0018560A" w:rsidRDefault="005A53F7" w:rsidP="005A5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78.9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0E9785" w14:textId="6DBB50C2" w:rsidR="005A53F7" w:rsidRPr="0018560A" w:rsidRDefault="005A53F7" w:rsidP="005A5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97.9</w:t>
            </w:r>
          </w:p>
        </w:tc>
      </w:tr>
      <w:tr w:rsidR="005A53F7" w:rsidRPr="0018560A" w14:paraId="08D710C5" w14:textId="77777777" w:rsidTr="00D42E62">
        <w:trPr>
          <w:trHeight w:val="234"/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35C1A" w14:textId="77777777" w:rsidR="005A53F7" w:rsidRPr="0018560A" w:rsidRDefault="005A53F7" w:rsidP="005A53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8560A">
              <w:rPr>
                <w:rFonts w:ascii="Calibri" w:hAnsi="Calibri" w:cs="Calibri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10200" w14:textId="77777777" w:rsidR="005A53F7" w:rsidRPr="0018560A" w:rsidRDefault="005A53F7" w:rsidP="005A53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68873" w14:textId="77777777" w:rsidR="005A53F7" w:rsidRPr="0018560A" w:rsidRDefault="005A53F7" w:rsidP="005A53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71.9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D8470" w14:textId="46A7A7B2" w:rsidR="005A53F7" w:rsidRPr="0018560A" w:rsidRDefault="005A53F7" w:rsidP="005A53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71.9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E7C4E" w14:textId="28D941B0" w:rsidR="005A53F7" w:rsidRPr="0018560A" w:rsidRDefault="005A53F7" w:rsidP="005A53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90.6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377FA" w14:textId="2149B5AA" w:rsidR="005A53F7" w:rsidRPr="0018560A" w:rsidRDefault="005A53F7" w:rsidP="005A53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41.7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EA224" w14:textId="461611D2" w:rsidR="005A53F7" w:rsidRPr="0018560A" w:rsidRDefault="005A53F7" w:rsidP="005A53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80.6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EFD44" w14:textId="57B67C21" w:rsidR="005A53F7" w:rsidRPr="0018560A" w:rsidRDefault="005A53F7" w:rsidP="005A53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96.9</w:t>
            </w:r>
          </w:p>
        </w:tc>
      </w:tr>
    </w:tbl>
    <w:p w14:paraId="7D2ADAF0" w14:textId="6800F8DE" w:rsidR="005A53F7" w:rsidRPr="0018560A" w:rsidRDefault="005A53F7" w:rsidP="001E4EA3">
      <w:pPr>
        <w:pStyle w:val="Prrafodelista"/>
        <w:spacing w:after="0"/>
        <w:jc w:val="both"/>
        <w:rPr>
          <w:b/>
          <w:sz w:val="24"/>
        </w:rPr>
      </w:pPr>
    </w:p>
    <w:p w14:paraId="5FF96414" w14:textId="7EBD1EC9" w:rsidR="00D043D3" w:rsidRPr="0018560A" w:rsidRDefault="00D043D3" w:rsidP="00D043D3">
      <w:pPr>
        <w:pStyle w:val="Prrafodelista"/>
        <w:jc w:val="both"/>
        <w:rPr>
          <w:b/>
          <w:sz w:val="24"/>
        </w:rPr>
      </w:pPr>
      <w:r w:rsidRPr="0018560A">
        <w:rPr>
          <w:b/>
          <w:sz w:val="24"/>
        </w:rPr>
        <w:t>Comparación de la UNAM y el ITESM en el ranking THE Latinoamérica 20</w:t>
      </w:r>
      <w:r w:rsidR="005C08CC" w:rsidRPr="0018560A">
        <w:rPr>
          <w:b/>
          <w:sz w:val="24"/>
        </w:rPr>
        <w:t>20</w:t>
      </w:r>
      <w:r w:rsidRPr="0018560A">
        <w:rPr>
          <w:b/>
          <w:sz w:val="24"/>
        </w:rPr>
        <w:t>.</w:t>
      </w:r>
    </w:p>
    <w:p w14:paraId="13942A80" w14:textId="0FD72E53" w:rsidR="002E24B1" w:rsidRPr="0018560A" w:rsidRDefault="00D043D3" w:rsidP="00D043D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18560A">
        <w:rPr>
          <w:sz w:val="24"/>
        </w:rPr>
        <w:t>L</w:t>
      </w:r>
      <w:r w:rsidR="006E0DB2" w:rsidRPr="0018560A">
        <w:rPr>
          <w:sz w:val="24"/>
        </w:rPr>
        <w:t>a UNAM</w:t>
      </w:r>
      <w:r w:rsidR="00BF0E0F" w:rsidRPr="0018560A">
        <w:rPr>
          <w:sz w:val="24"/>
        </w:rPr>
        <w:t xml:space="preserve"> </w:t>
      </w:r>
      <w:r w:rsidRPr="0018560A">
        <w:rPr>
          <w:sz w:val="24"/>
        </w:rPr>
        <w:t xml:space="preserve">y el ITESM </w:t>
      </w:r>
      <w:r w:rsidR="006E0DB2" w:rsidRPr="0018560A">
        <w:rPr>
          <w:sz w:val="24"/>
        </w:rPr>
        <w:t xml:space="preserve">son las </w:t>
      </w:r>
      <w:r w:rsidR="00632A8E" w:rsidRPr="0018560A">
        <w:rPr>
          <w:sz w:val="24"/>
        </w:rPr>
        <w:t>únicas</w:t>
      </w:r>
      <w:r w:rsidR="006E0DB2" w:rsidRPr="0018560A">
        <w:rPr>
          <w:sz w:val="24"/>
        </w:rPr>
        <w:t xml:space="preserve"> </w:t>
      </w:r>
      <w:r w:rsidRPr="0018560A">
        <w:rPr>
          <w:sz w:val="24"/>
        </w:rPr>
        <w:t xml:space="preserve">universidades </w:t>
      </w:r>
      <w:r w:rsidR="006E0DB2" w:rsidRPr="0018560A">
        <w:rPr>
          <w:sz w:val="24"/>
        </w:rPr>
        <w:t xml:space="preserve">mexicanas </w:t>
      </w:r>
      <w:r w:rsidRPr="0018560A">
        <w:rPr>
          <w:sz w:val="24"/>
        </w:rPr>
        <w:t xml:space="preserve">mejor clasificadas </w:t>
      </w:r>
      <w:r w:rsidR="006E0DB2" w:rsidRPr="0018560A">
        <w:rPr>
          <w:sz w:val="24"/>
        </w:rPr>
        <w:t xml:space="preserve">en </w:t>
      </w:r>
      <w:r w:rsidR="005E27BD" w:rsidRPr="0018560A">
        <w:rPr>
          <w:sz w:val="24"/>
        </w:rPr>
        <w:t xml:space="preserve">los primeros </w:t>
      </w:r>
      <w:r w:rsidRPr="0018560A">
        <w:rPr>
          <w:sz w:val="24"/>
        </w:rPr>
        <w:t>2</w:t>
      </w:r>
      <w:r w:rsidR="005E27BD" w:rsidRPr="0018560A">
        <w:rPr>
          <w:sz w:val="24"/>
        </w:rPr>
        <w:t>0 lugares</w:t>
      </w:r>
      <w:r w:rsidR="002E24B1" w:rsidRPr="0018560A">
        <w:rPr>
          <w:sz w:val="24"/>
        </w:rPr>
        <w:t>.</w:t>
      </w:r>
    </w:p>
    <w:p w14:paraId="2EDBB6B4" w14:textId="77777777" w:rsidR="002E24B1" w:rsidRPr="0018560A" w:rsidRDefault="002E24B1" w:rsidP="002E24B1">
      <w:pPr>
        <w:pStyle w:val="Prrafodelista"/>
        <w:spacing w:after="0" w:line="240" w:lineRule="auto"/>
        <w:jc w:val="both"/>
        <w:rPr>
          <w:sz w:val="4"/>
        </w:rPr>
      </w:pPr>
    </w:p>
    <w:p w14:paraId="2EEAEFA5" w14:textId="638F1A42" w:rsidR="005E27BD" w:rsidRPr="0018560A" w:rsidRDefault="00EE3D6B" w:rsidP="002E24B1">
      <w:pPr>
        <w:pStyle w:val="Prrafodelista"/>
        <w:numPr>
          <w:ilvl w:val="1"/>
          <w:numId w:val="12"/>
        </w:numPr>
        <w:spacing w:after="0" w:line="240" w:lineRule="auto"/>
        <w:jc w:val="both"/>
        <w:rPr>
          <w:sz w:val="24"/>
        </w:rPr>
      </w:pPr>
      <w:r w:rsidRPr="0018560A">
        <w:rPr>
          <w:sz w:val="24"/>
        </w:rPr>
        <w:t>E</w:t>
      </w:r>
      <w:r w:rsidR="005E27BD" w:rsidRPr="0018560A">
        <w:rPr>
          <w:sz w:val="24"/>
        </w:rPr>
        <w:t xml:space="preserve">l ITESM </w:t>
      </w:r>
      <w:r w:rsidRPr="0018560A">
        <w:rPr>
          <w:sz w:val="24"/>
        </w:rPr>
        <w:t xml:space="preserve">se </w:t>
      </w:r>
      <w:r w:rsidR="00B14CAF" w:rsidRPr="0018560A">
        <w:rPr>
          <w:sz w:val="24"/>
        </w:rPr>
        <w:t xml:space="preserve">ubicó </w:t>
      </w:r>
      <w:r w:rsidR="003A5BD3" w:rsidRPr="0018560A">
        <w:rPr>
          <w:sz w:val="24"/>
        </w:rPr>
        <w:t xml:space="preserve">en la posición </w:t>
      </w:r>
      <w:r w:rsidR="005C08CC" w:rsidRPr="0018560A">
        <w:rPr>
          <w:sz w:val="24"/>
        </w:rPr>
        <w:t>4</w:t>
      </w:r>
      <w:r w:rsidR="00B14CAF" w:rsidRPr="0018560A">
        <w:rPr>
          <w:sz w:val="24"/>
        </w:rPr>
        <w:t xml:space="preserve">, mientras que la </w:t>
      </w:r>
      <w:r w:rsidR="005E27BD" w:rsidRPr="0018560A">
        <w:rPr>
          <w:sz w:val="24"/>
        </w:rPr>
        <w:t xml:space="preserve">UNAM </w:t>
      </w:r>
      <w:r w:rsidR="00B14CAF" w:rsidRPr="0018560A">
        <w:rPr>
          <w:sz w:val="24"/>
        </w:rPr>
        <w:t xml:space="preserve">ocupo </w:t>
      </w:r>
      <w:r w:rsidR="005E27BD" w:rsidRPr="0018560A">
        <w:rPr>
          <w:sz w:val="24"/>
        </w:rPr>
        <w:t xml:space="preserve">la posición </w:t>
      </w:r>
      <w:r w:rsidR="00BF0E0F" w:rsidRPr="0018560A">
        <w:rPr>
          <w:sz w:val="24"/>
        </w:rPr>
        <w:t>1</w:t>
      </w:r>
      <w:r w:rsidR="005C08CC" w:rsidRPr="0018560A">
        <w:rPr>
          <w:sz w:val="24"/>
        </w:rPr>
        <w:t>7</w:t>
      </w:r>
      <w:r w:rsidR="005E27BD" w:rsidRPr="0018560A">
        <w:rPr>
          <w:sz w:val="24"/>
        </w:rPr>
        <w:t>.</w:t>
      </w:r>
    </w:p>
    <w:p w14:paraId="4E11BC39" w14:textId="77777777" w:rsidR="00A62BD2" w:rsidRPr="0018560A" w:rsidRDefault="007E0193" w:rsidP="00A62BD2">
      <w:pPr>
        <w:pStyle w:val="Prrafodelista"/>
        <w:numPr>
          <w:ilvl w:val="1"/>
          <w:numId w:val="12"/>
        </w:numPr>
        <w:spacing w:after="0" w:line="240" w:lineRule="auto"/>
        <w:jc w:val="both"/>
        <w:rPr>
          <w:sz w:val="24"/>
        </w:rPr>
      </w:pPr>
      <w:r w:rsidRPr="0018560A">
        <w:rPr>
          <w:sz w:val="24"/>
        </w:rPr>
        <w:t>E</w:t>
      </w:r>
      <w:r w:rsidR="008C705D" w:rsidRPr="0018560A">
        <w:rPr>
          <w:sz w:val="24"/>
        </w:rPr>
        <w:t xml:space="preserve">l </w:t>
      </w:r>
      <w:r w:rsidR="005E27BD" w:rsidRPr="0018560A">
        <w:rPr>
          <w:sz w:val="24"/>
        </w:rPr>
        <w:t xml:space="preserve">ITESM </w:t>
      </w:r>
      <w:r w:rsidR="008C705D" w:rsidRPr="0018560A">
        <w:rPr>
          <w:sz w:val="24"/>
        </w:rPr>
        <w:t xml:space="preserve">aventajo a la UNAM </w:t>
      </w:r>
      <w:r w:rsidRPr="0018560A">
        <w:rPr>
          <w:sz w:val="24"/>
        </w:rPr>
        <w:t xml:space="preserve">en todos los indicadores; mostrando una diferencia de </w:t>
      </w:r>
      <w:r w:rsidR="000808A6" w:rsidRPr="0018560A">
        <w:rPr>
          <w:sz w:val="24"/>
        </w:rPr>
        <w:t>11.2 en el puntaje general, 0.9 puntos en el indicador de Investigación, 2.1 puntos en el rubro de Financiamiento de la industria, 7.2 puntos en Perspectiva internacional, 7.3 puntos en Docencia, y 34 puntos en Citas.</w:t>
      </w:r>
    </w:p>
    <w:p w14:paraId="2FF8E52A" w14:textId="7B963F92" w:rsidR="008B6083" w:rsidRPr="0018560A" w:rsidRDefault="004B4DE6" w:rsidP="00A62BD2">
      <w:pPr>
        <w:pStyle w:val="Prrafodelista"/>
        <w:numPr>
          <w:ilvl w:val="1"/>
          <w:numId w:val="12"/>
        </w:numPr>
        <w:spacing w:after="0" w:line="240" w:lineRule="auto"/>
        <w:jc w:val="both"/>
        <w:rPr>
          <w:sz w:val="24"/>
        </w:rPr>
      </w:pPr>
      <w:r w:rsidRPr="0018560A">
        <w:rPr>
          <w:sz w:val="24"/>
        </w:rPr>
        <w:t xml:space="preserve">Finalmente, llama la atención que </w:t>
      </w:r>
      <w:r w:rsidR="008B6083" w:rsidRPr="0018560A">
        <w:rPr>
          <w:sz w:val="24"/>
        </w:rPr>
        <w:t xml:space="preserve">existe una </w:t>
      </w:r>
      <w:r w:rsidR="00EC1D87" w:rsidRPr="0018560A">
        <w:rPr>
          <w:sz w:val="24"/>
        </w:rPr>
        <w:t xml:space="preserve">gran </w:t>
      </w:r>
      <w:r w:rsidR="008B6083" w:rsidRPr="0018560A">
        <w:rPr>
          <w:sz w:val="24"/>
        </w:rPr>
        <w:t xml:space="preserve">diferencia entre </w:t>
      </w:r>
      <w:r w:rsidRPr="0018560A">
        <w:rPr>
          <w:sz w:val="24"/>
        </w:rPr>
        <w:t>los datos publicados por el ranking sobre los estudiantes de tiempo completo</w:t>
      </w:r>
      <w:r w:rsidR="008B6083" w:rsidRPr="0018560A">
        <w:rPr>
          <w:sz w:val="24"/>
        </w:rPr>
        <w:t xml:space="preserve"> </w:t>
      </w:r>
      <w:r w:rsidRPr="0018560A">
        <w:rPr>
          <w:sz w:val="24"/>
        </w:rPr>
        <w:t>y los datos que el ITESM reporta en sus estadísticas</w:t>
      </w:r>
      <w:r w:rsidR="008B6083" w:rsidRPr="0018560A">
        <w:rPr>
          <w:sz w:val="24"/>
        </w:rPr>
        <w:t xml:space="preserve"> de </w:t>
      </w:r>
      <w:r w:rsidRPr="0018560A">
        <w:rPr>
          <w:sz w:val="24"/>
        </w:rPr>
        <w:t xml:space="preserve">estudiantes de licenciatura </w:t>
      </w:r>
      <w:r w:rsidR="008B6083" w:rsidRPr="0018560A">
        <w:rPr>
          <w:sz w:val="24"/>
        </w:rPr>
        <w:t xml:space="preserve">como se puede apreciar en la Tabla 7. Por ejemplo, el ranking señala que el ITESM </w:t>
      </w:r>
      <w:r w:rsidR="00EC1D87" w:rsidRPr="0018560A">
        <w:rPr>
          <w:sz w:val="24"/>
        </w:rPr>
        <w:t xml:space="preserve">tiene un total de </w:t>
      </w:r>
      <w:r w:rsidR="00D0703A" w:rsidRPr="0018560A">
        <w:rPr>
          <w:sz w:val="24"/>
        </w:rPr>
        <w:t>14,343</w:t>
      </w:r>
      <w:r w:rsidR="00D0703A" w:rsidRPr="0018560A">
        <w:rPr>
          <w:sz w:val="24"/>
        </w:rPr>
        <w:t xml:space="preserve"> </w:t>
      </w:r>
      <w:r w:rsidR="008B6083" w:rsidRPr="0018560A">
        <w:rPr>
          <w:sz w:val="24"/>
        </w:rPr>
        <w:t xml:space="preserve">estudiantes de tiempo completo, </w:t>
      </w:r>
      <w:r w:rsidR="00D0703A" w:rsidRPr="0018560A">
        <w:rPr>
          <w:sz w:val="24"/>
        </w:rPr>
        <w:t xml:space="preserve">sin embargo, el ITESM reporta en su página de “Datos y cifras” un total de </w:t>
      </w:r>
      <w:r w:rsidR="00D0703A" w:rsidRPr="0018560A">
        <w:rPr>
          <w:sz w:val="24"/>
        </w:rPr>
        <w:t>93,168</w:t>
      </w:r>
      <w:r w:rsidR="00D0703A" w:rsidRPr="0018560A">
        <w:rPr>
          <w:sz w:val="24"/>
        </w:rPr>
        <w:t xml:space="preserve"> estudiantes</w:t>
      </w:r>
      <w:r w:rsidR="008B6083" w:rsidRPr="0018560A">
        <w:rPr>
          <w:sz w:val="24"/>
        </w:rPr>
        <w:t>.</w:t>
      </w:r>
    </w:p>
    <w:p w14:paraId="18F39088" w14:textId="77777777" w:rsidR="008B6083" w:rsidRPr="0018560A" w:rsidRDefault="008B6083" w:rsidP="00325265">
      <w:pPr>
        <w:pStyle w:val="Prrafodelista"/>
        <w:spacing w:after="0"/>
        <w:ind w:left="1440"/>
        <w:jc w:val="both"/>
        <w:rPr>
          <w:sz w:val="24"/>
        </w:rPr>
      </w:pPr>
    </w:p>
    <w:p w14:paraId="33248569" w14:textId="70C418F4" w:rsidR="00AC563B" w:rsidRPr="0018560A" w:rsidRDefault="00325265" w:rsidP="00325265">
      <w:pPr>
        <w:pStyle w:val="Prrafodelista"/>
        <w:spacing w:after="0"/>
        <w:ind w:left="1440"/>
        <w:jc w:val="both"/>
        <w:rPr>
          <w:sz w:val="24"/>
        </w:rPr>
      </w:pPr>
      <w:r w:rsidRPr="0018560A">
        <w:rPr>
          <w:sz w:val="24"/>
        </w:rPr>
        <w:t xml:space="preserve">Esto es relevante ya que el </w:t>
      </w:r>
      <w:r w:rsidR="00F25B04" w:rsidRPr="0018560A">
        <w:rPr>
          <w:sz w:val="24"/>
        </w:rPr>
        <w:t xml:space="preserve">ranking THE Latinoamérica </w:t>
      </w:r>
      <w:r w:rsidRPr="0018560A">
        <w:rPr>
          <w:sz w:val="24"/>
        </w:rPr>
        <w:t xml:space="preserve">considera dos fuentes de información: 1) </w:t>
      </w:r>
      <w:r w:rsidR="00F25B04" w:rsidRPr="0018560A">
        <w:rPr>
          <w:sz w:val="24"/>
        </w:rPr>
        <w:t xml:space="preserve">datos </w:t>
      </w:r>
      <w:r w:rsidR="002B285D" w:rsidRPr="0018560A">
        <w:rPr>
          <w:sz w:val="24"/>
        </w:rPr>
        <w:t xml:space="preserve">auto-reportados </w:t>
      </w:r>
      <w:r w:rsidR="00F25B04" w:rsidRPr="0018560A">
        <w:rPr>
          <w:sz w:val="24"/>
        </w:rPr>
        <w:t xml:space="preserve">por las instituciones </w:t>
      </w:r>
      <w:r w:rsidRPr="0018560A">
        <w:rPr>
          <w:sz w:val="24"/>
        </w:rPr>
        <w:t xml:space="preserve">y 2) datos que </w:t>
      </w:r>
      <w:r w:rsidR="00F25B04" w:rsidRPr="0018560A">
        <w:rPr>
          <w:sz w:val="24"/>
        </w:rPr>
        <w:t xml:space="preserve">recupera de </w:t>
      </w:r>
      <w:r w:rsidRPr="0018560A">
        <w:rPr>
          <w:sz w:val="24"/>
        </w:rPr>
        <w:t xml:space="preserve">las </w:t>
      </w:r>
      <w:r w:rsidR="00F25B04" w:rsidRPr="0018560A">
        <w:rPr>
          <w:sz w:val="24"/>
        </w:rPr>
        <w:t>encuestas y las bases de datos de Elsevier Scopus</w:t>
      </w:r>
      <w:r w:rsidRPr="0018560A">
        <w:rPr>
          <w:sz w:val="24"/>
        </w:rPr>
        <w:t>. Por lo tanto</w:t>
      </w:r>
      <w:r w:rsidR="00F25B04" w:rsidRPr="0018560A">
        <w:rPr>
          <w:sz w:val="24"/>
        </w:rPr>
        <w:t xml:space="preserve">, </w:t>
      </w:r>
      <w:r w:rsidRPr="0018560A">
        <w:rPr>
          <w:sz w:val="24"/>
        </w:rPr>
        <w:t xml:space="preserve">al </w:t>
      </w:r>
      <w:r w:rsidR="00080ACB" w:rsidRPr="0018560A">
        <w:rPr>
          <w:sz w:val="24"/>
        </w:rPr>
        <w:t xml:space="preserve">hacer referencia exclusivamente a </w:t>
      </w:r>
      <w:r w:rsidRPr="0018560A">
        <w:rPr>
          <w:sz w:val="24"/>
        </w:rPr>
        <w:t xml:space="preserve">su campus </w:t>
      </w:r>
      <w:r w:rsidR="00080ACB" w:rsidRPr="0018560A">
        <w:rPr>
          <w:sz w:val="24"/>
        </w:rPr>
        <w:t xml:space="preserve">en </w:t>
      </w:r>
      <w:r w:rsidRPr="0018560A">
        <w:rPr>
          <w:sz w:val="24"/>
        </w:rPr>
        <w:t xml:space="preserve">Monterrey </w:t>
      </w:r>
      <w:r w:rsidR="00080ACB" w:rsidRPr="0018560A">
        <w:rPr>
          <w:sz w:val="24"/>
        </w:rPr>
        <w:t xml:space="preserve">esto </w:t>
      </w:r>
      <w:r w:rsidRPr="0018560A">
        <w:rPr>
          <w:sz w:val="24"/>
        </w:rPr>
        <w:t>afecta</w:t>
      </w:r>
      <w:r w:rsidR="00080ACB" w:rsidRPr="0018560A">
        <w:rPr>
          <w:sz w:val="24"/>
        </w:rPr>
        <w:t>rá</w:t>
      </w:r>
      <w:r w:rsidRPr="0018560A">
        <w:rPr>
          <w:sz w:val="24"/>
        </w:rPr>
        <w:t xml:space="preserve"> los resultados </w:t>
      </w:r>
      <w:r w:rsidR="00080ACB" w:rsidRPr="0018560A">
        <w:rPr>
          <w:sz w:val="24"/>
        </w:rPr>
        <w:t xml:space="preserve">en aquellos rubros en los que es imposible distinguir la parte proporcional que corresponde a dicho campus. Tal es el caso de las </w:t>
      </w:r>
      <w:r w:rsidR="00080ACB" w:rsidRPr="0018560A">
        <w:rPr>
          <w:sz w:val="24"/>
        </w:rPr>
        <w:lastRenderedPageBreak/>
        <w:t>publicaciones, las citas y las encuestas de opinión</w:t>
      </w:r>
      <w:r w:rsidR="002B285D" w:rsidRPr="0018560A">
        <w:rPr>
          <w:sz w:val="24"/>
        </w:rPr>
        <w:t>.</w:t>
      </w:r>
      <w:r w:rsidR="00FF282E" w:rsidRPr="0018560A">
        <w:rPr>
          <w:sz w:val="24"/>
        </w:rPr>
        <w:t xml:space="preserve"> </w:t>
      </w:r>
      <w:r w:rsidR="00AC563B" w:rsidRPr="0018560A">
        <w:rPr>
          <w:sz w:val="24"/>
        </w:rPr>
        <w:t>Por su parte, la UNAM reporta la matrícula de todos los campus excluyendo únicamente a los de educación media superior.</w:t>
      </w:r>
    </w:p>
    <w:p w14:paraId="78D2F2F7" w14:textId="77777777" w:rsidR="00BD0A00" w:rsidRPr="0018560A" w:rsidRDefault="00BD0A00" w:rsidP="00257087">
      <w:pPr>
        <w:pStyle w:val="Prrafodelista"/>
        <w:spacing w:after="0"/>
        <w:ind w:left="1440"/>
        <w:jc w:val="both"/>
        <w:rPr>
          <w:sz w:val="14"/>
          <w:szCs w:val="20"/>
        </w:rPr>
      </w:pPr>
    </w:p>
    <w:tbl>
      <w:tblPr>
        <w:tblW w:w="765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2"/>
        <w:gridCol w:w="1559"/>
        <w:gridCol w:w="1984"/>
      </w:tblGrid>
      <w:tr w:rsidR="00F35480" w:rsidRPr="0018560A" w14:paraId="3DDD649A" w14:textId="77777777" w:rsidTr="00F20FDD">
        <w:trPr>
          <w:trHeight w:val="187"/>
          <w:jc w:val="center"/>
        </w:trPr>
        <w:tc>
          <w:tcPr>
            <w:tcW w:w="7655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A1B2168" w14:textId="031C62F3" w:rsidR="00F35480" w:rsidRPr="0018560A" w:rsidRDefault="00F35480" w:rsidP="008727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Tabla</w:t>
            </w:r>
            <w:r w:rsidR="0087278D" w:rsidRPr="0018560A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 xml:space="preserve"> 5</w:t>
            </w:r>
            <w:r w:rsidRPr="0018560A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. Comparación entre la UNAM y el ITESM en los indicadores del ranking THE Latinoamérica</w:t>
            </w:r>
            <w:r w:rsidR="00257087" w:rsidRPr="0018560A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 xml:space="preserve"> </w:t>
            </w:r>
            <w:r w:rsidRPr="0018560A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20</w:t>
            </w:r>
            <w:r w:rsidR="00F20FDD" w:rsidRPr="0018560A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20</w:t>
            </w:r>
            <w:r w:rsidRPr="0018560A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.</w:t>
            </w:r>
          </w:p>
        </w:tc>
      </w:tr>
      <w:tr w:rsidR="00F35480" w:rsidRPr="0018560A" w14:paraId="02B90301" w14:textId="77777777" w:rsidTr="00F20FDD">
        <w:trPr>
          <w:trHeight w:val="521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DEEAF6"/>
            <w:noWrap/>
            <w:vAlign w:val="center"/>
            <w:hideMark/>
          </w:tcPr>
          <w:p w14:paraId="5032FE78" w14:textId="77777777" w:rsidR="00F35480" w:rsidRPr="0018560A" w:rsidRDefault="00F35480" w:rsidP="00F35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856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Indicador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4F592878" w14:textId="77777777" w:rsidR="00F35480" w:rsidRPr="0018560A" w:rsidRDefault="00F35480" w:rsidP="00F35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856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UNAM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2A726C7F" w14:textId="77777777" w:rsidR="00F35480" w:rsidRPr="0018560A" w:rsidRDefault="00F35480" w:rsidP="00F35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856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ITESM</w:t>
            </w:r>
          </w:p>
        </w:tc>
      </w:tr>
      <w:tr w:rsidR="007E72F8" w:rsidRPr="0018560A" w14:paraId="76BEC707" w14:textId="77777777" w:rsidTr="00EC1D87">
        <w:trPr>
          <w:trHeight w:val="248"/>
          <w:jc w:val="center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6E2E1" w14:textId="77777777" w:rsidR="007E72F8" w:rsidRPr="0018560A" w:rsidRDefault="007E72F8" w:rsidP="007E7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Posición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76306" w14:textId="3AB0D8E9" w:rsidR="007E72F8" w:rsidRPr="0018560A" w:rsidRDefault="007E72F8" w:rsidP="007E7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E4CA2" w14:textId="63F89D46" w:rsidR="007E72F8" w:rsidRPr="0018560A" w:rsidRDefault="007E72F8" w:rsidP="007E7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7E72F8" w:rsidRPr="0018560A" w14:paraId="2AE7DAD9" w14:textId="77777777" w:rsidTr="00EC1D87">
        <w:trPr>
          <w:trHeight w:val="248"/>
          <w:jc w:val="center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FE65221" w14:textId="77777777" w:rsidR="007E72F8" w:rsidRPr="0018560A" w:rsidRDefault="007E72F8" w:rsidP="007E7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Puntaje general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4576F0A" w14:textId="5F33AF19" w:rsidR="007E72F8" w:rsidRPr="0018560A" w:rsidRDefault="007E72F8" w:rsidP="007E7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71.9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6F0B1F6" w14:textId="17B49BF0" w:rsidR="007E72F8" w:rsidRPr="0018560A" w:rsidRDefault="007E72F8" w:rsidP="007E7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83.1</w:t>
            </w:r>
          </w:p>
        </w:tc>
      </w:tr>
      <w:tr w:rsidR="007E72F8" w:rsidRPr="0018560A" w14:paraId="66B12C29" w14:textId="77777777" w:rsidTr="00EC1D87">
        <w:trPr>
          <w:trHeight w:val="248"/>
          <w:jc w:val="center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37E51" w14:textId="737BA11A" w:rsidR="007E72F8" w:rsidRPr="0018560A" w:rsidRDefault="007E72F8" w:rsidP="007E7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sz w:val="18"/>
                <w:szCs w:val="18"/>
              </w:rPr>
              <w:t>Docencia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0C8B5" w14:textId="384DB106" w:rsidR="007E72F8" w:rsidRPr="0018560A" w:rsidRDefault="007E72F8" w:rsidP="007E7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71.9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481B8" w14:textId="192A8094" w:rsidR="007E72F8" w:rsidRPr="0018560A" w:rsidRDefault="007E72F8" w:rsidP="007E7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79.2</w:t>
            </w:r>
          </w:p>
        </w:tc>
      </w:tr>
      <w:tr w:rsidR="007E72F8" w:rsidRPr="0018560A" w14:paraId="0CFCAD7C" w14:textId="77777777" w:rsidTr="00EC1D87">
        <w:trPr>
          <w:trHeight w:val="248"/>
          <w:jc w:val="center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35F80334" w14:textId="7F80B6BA" w:rsidR="007E72F8" w:rsidRPr="0018560A" w:rsidRDefault="007E72F8" w:rsidP="007E7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sz w:val="18"/>
                <w:szCs w:val="18"/>
              </w:rPr>
              <w:t>Investigación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4FDF421" w14:textId="157935B0" w:rsidR="007E72F8" w:rsidRPr="0018560A" w:rsidRDefault="007E72F8" w:rsidP="007E7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90.6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828B6E1" w14:textId="477C33E5" w:rsidR="007E72F8" w:rsidRPr="0018560A" w:rsidRDefault="007E72F8" w:rsidP="007E7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91.5</w:t>
            </w:r>
          </w:p>
        </w:tc>
      </w:tr>
      <w:tr w:rsidR="007E72F8" w:rsidRPr="0018560A" w14:paraId="70C7695F" w14:textId="77777777" w:rsidTr="00EC1D87">
        <w:trPr>
          <w:trHeight w:val="248"/>
          <w:jc w:val="center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8160F" w14:textId="7459DFD1" w:rsidR="007E72F8" w:rsidRPr="0018560A" w:rsidRDefault="007E72F8" w:rsidP="007E7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sz w:val="18"/>
                <w:szCs w:val="18"/>
              </w:rPr>
              <w:t>Citas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B83D0" w14:textId="27A8C0FA" w:rsidR="007E72F8" w:rsidRPr="0018560A" w:rsidRDefault="007E72F8" w:rsidP="007E7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41.7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3DFA3" w14:textId="58596A20" w:rsidR="007E72F8" w:rsidRPr="0018560A" w:rsidRDefault="007E72F8" w:rsidP="007E7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75.7</w:t>
            </w:r>
          </w:p>
        </w:tc>
      </w:tr>
      <w:tr w:rsidR="007E72F8" w:rsidRPr="0018560A" w14:paraId="03A37E75" w14:textId="77777777" w:rsidTr="00EC1D87">
        <w:trPr>
          <w:trHeight w:val="248"/>
          <w:jc w:val="center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14:paraId="2D2256C7" w14:textId="232BC914" w:rsidR="007E72F8" w:rsidRPr="0018560A" w:rsidRDefault="007E72F8" w:rsidP="007E7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sz w:val="18"/>
                <w:szCs w:val="18"/>
              </w:rPr>
              <w:t>Perspectiva internacional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E5ADC64" w14:textId="697B63E1" w:rsidR="007E72F8" w:rsidRPr="0018560A" w:rsidRDefault="007E72F8" w:rsidP="007E7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80.6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44A8326E" w14:textId="05BB5193" w:rsidR="007E72F8" w:rsidRPr="0018560A" w:rsidRDefault="007E72F8" w:rsidP="007E7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87.8</w:t>
            </w:r>
          </w:p>
        </w:tc>
      </w:tr>
      <w:tr w:rsidR="007E72F8" w:rsidRPr="0018560A" w14:paraId="7A645CB2" w14:textId="77777777" w:rsidTr="00EC1D87">
        <w:trPr>
          <w:trHeight w:val="248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6EF79" w14:textId="31362A56" w:rsidR="007E72F8" w:rsidRPr="0018560A" w:rsidRDefault="007E72F8" w:rsidP="007E7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sz w:val="18"/>
                <w:szCs w:val="18"/>
              </w:rPr>
              <w:t>Financiamiento de la industria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03EF4" w14:textId="30932D80" w:rsidR="007E72F8" w:rsidRPr="0018560A" w:rsidRDefault="007E72F8" w:rsidP="007E7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96.9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928F1" w14:textId="5802B783" w:rsidR="007E72F8" w:rsidRPr="0018560A" w:rsidRDefault="007E72F8" w:rsidP="007E7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hAnsi="Calibri" w:cs="Calibri"/>
                <w:color w:val="000000"/>
                <w:sz w:val="18"/>
                <w:szCs w:val="18"/>
              </w:rPr>
              <w:t>99</w:t>
            </w:r>
          </w:p>
        </w:tc>
      </w:tr>
    </w:tbl>
    <w:p w14:paraId="4C8824CB" w14:textId="77777777" w:rsidR="00F35480" w:rsidRPr="0018560A" w:rsidRDefault="00F35480" w:rsidP="00D17E34">
      <w:pPr>
        <w:spacing w:after="0" w:line="240" w:lineRule="auto"/>
        <w:jc w:val="both"/>
        <w:rPr>
          <w:sz w:val="2"/>
        </w:rPr>
      </w:pPr>
    </w:p>
    <w:p w14:paraId="05E70E18" w14:textId="77777777" w:rsidR="0087278D" w:rsidRPr="0018560A" w:rsidRDefault="0087278D" w:rsidP="00D17E34">
      <w:pPr>
        <w:spacing w:after="0" w:line="240" w:lineRule="auto"/>
        <w:jc w:val="both"/>
        <w:rPr>
          <w:sz w:val="2"/>
        </w:rPr>
      </w:pPr>
    </w:p>
    <w:p w14:paraId="0C14759B" w14:textId="77777777" w:rsidR="0087278D" w:rsidRPr="0018560A" w:rsidRDefault="0087278D" w:rsidP="00D17E34">
      <w:pPr>
        <w:spacing w:after="0" w:line="240" w:lineRule="auto"/>
        <w:jc w:val="both"/>
        <w:rPr>
          <w:sz w:val="2"/>
        </w:rPr>
      </w:pPr>
    </w:p>
    <w:p w14:paraId="1DF780EF" w14:textId="77777777" w:rsidR="0087278D" w:rsidRPr="0018560A" w:rsidRDefault="0087278D" w:rsidP="00D17E34">
      <w:pPr>
        <w:spacing w:after="0" w:line="240" w:lineRule="auto"/>
        <w:jc w:val="both"/>
        <w:rPr>
          <w:sz w:val="2"/>
        </w:rPr>
      </w:pPr>
    </w:p>
    <w:p w14:paraId="3B1A15FC" w14:textId="77777777" w:rsidR="0087278D" w:rsidRPr="0018560A" w:rsidRDefault="0087278D" w:rsidP="00D17E34">
      <w:pPr>
        <w:spacing w:after="0" w:line="240" w:lineRule="auto"/>
        <w:jc w:val="both"/>
        <w:rPr>
          <w:sz w:val="2"/>
        </w:rPr>
      </w:pPr>
    </w:p>
    <w:p w14:paraId="72CA311F" w14:textId="77777777" w:rsidR="0087278D" w:rsidRPr="0018560A" w:rsidRDefault="0087278D" w:rsidP="00D17E34">
      <w:pPr>
        <w:spacing w:after="0" w:line="240" w:lineRule="auto"/>
        <w:jc w:val="both"/>
        <w:rPr>
          <w:sz w:val="2"/>
        </w:rPr>
      </w:pPr>
    </w:p>
    <w:p w14:paraId="51CB6487" w14:textId="77777777" w:rsidR="0087278D" w:rsidRPr="0018560A" w:rsidRDefault="0087278D" w:rsidP="00D17E34">
      <w:pPr>
        <w:spacing w:after="0" w:line="240" w:lineRule="auto"/>
        <w:jc w:val="both"/>
        <w:rPr>
          <w:sz w:val="2"/>
        </w:rPr>
      </w:pPr>
    </w:p>
    <w:p w14:paraId="02DC6909" w14:textId="77777777" w:rsidR="0087278D" w:rsidRPr="0018560A" w:rsidRDefault="0087278D" w:rsidP="00D17E34">
      <w:pPr>
        <w:spacing w:after="0" w:line="240" w:lineRule="auto"/>
        <w:jc w:val="both"/>
        <w:rPr>
          <w:sz w:val="2"/>
        </w:rPr>
      </w:pPr>
    </w:p>
    <w:p w14:paraId="5CB63783" w14:textId="77777777" w:rsidR="0087278D" w:rsidRPr="0018560A" w:rsidRDefault="0087278D" w:rsidP="00D17E34">
      <w:pPr>
        <w:spacing w:after="0" w:line="240" w:lineRule="auto"/>
        <w:jc w:val="both"/>
        <w:rPr>
          <w:sz w:val="2"/>
        </w:rPr>
      </w:pPr>
    </w:p>
    <w:p w14:paraId="557C941A" w14:textId="77777777" w:rsidR="0087278D" w:rsidRPr="0018560A" w:rsidRDefault="0087278D" w:rsidP="00D17E34">
      <w:pPr>
        <w:spacing w:after="0" w:line="240" w:lineRule="auto"/>
        <w:jc w:val="both"/>
        <w:rPr>
          <w:sz w:val="2"/>
        </w:rPr>
      </w:pPr>
    </w:p>
    <w:p w14:paraId="274A8F6D" w14:textId="77777777" w:rsidR="0087278D" w:rsidRPr="0018560A" w:rsidRDefault="0087278D" w:rsidP="00D17E34">
      <w:pPr>
        <w:spacing w:after="0" w:line="240" w:lineRule="auto"/>
        <w:jc w:val="both"/>
        <w:rPr>
          <w:sz w:val="2"/>
        </w:rPr>
      </w:pPr>
    </w:p>
    <w:p w14:paraId="726D043D" w14:textId="77777777" w:rsidR="0087278D" w:rsidRPr="0018560A" w:rsidRDefault="0087278D" w:rsidP="00D17E34">
      <w:pPr>
        <w:spacing w:after="0" w:line="240" w:lineRule="auto"/>
        <w:jc w:val="both"/>
        <w:rPr>
          <w:sz w:val="2"/>
        </w:rPr>
      </w:pPr>
    </w:p>
    <w:p w14:paraId="1D390080" w14:textId="77777777" w:rsidR="000B776F" w:rsidRPr="0018560A" w:rsidRDefault="000B776F" w:rsidP="00D17E34">
      <w:pPr>
        <w:spacing w:after="0" w:line="240" w:lineRule="auto"/>
        <w:jc w:val="both"/>
        <w:rPr>
          <w:sz w:val="2"/>
        </w:rPr>
      </w:pPr>
    </w:p>
    <w:p w14:paraId="2ED4EBDE" w14:textId="77777777" w:rsidR="000B776F" w:rsidRPr="0018560A" w:rsidRDefault="000B776F" w:rsidP="00D17E34">
      <w:pPr>
        <w:spacing w:after="0" w:line="240" w:lineRule="auto"/>
        <w:jc w:val="both"/>
        <w:rPr>
          <w:sz w:val="2"/>
        </w:rPr>
      </w:pPr>
    </w:p>
    <w:p w14:paraId="22D0D390" w14:textId="77777777" w:rsidR="005959B0" w:rsidRPr="0018560A" w:rsidRDefault="005959B0" w:rsidP="00D17E34">
      <w:pPr>
        <w:spacing w:after="0" w:line="240" w:lineRule="auto"/>
        <w:jc w:val="both"/>
        <w:rPr>
          <w:sz w:val="2"/>
        </w:rPr>
      </w:pPr>
    </w:p>
    <w:tbl>
      <w:tblPr>
        <w:tblW w:w="751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1701"/>
        <w:gridCol w:w="1842"/>
      </w:tblGrid>
      <w:tr w:rsidR="005959B0" w:rsidRPr="0018560A" w14:paraId="6C0DC402" w14:textId="77777777" w:rsidTr="00F20FDD">
        <w:trPr>
          <w:trHeight w:val="411"/>
          <w:jc w:val="center"/>
        </w:trPr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38FBB" w14:textId="0CE1E3A0" w:rsidR="005959B0" w:rsidRPr="0018560A" w:rsidRDefault="005959B0" w:rsidP="00595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50505"/>
                <w:sz w:val="20"/>
                <w:szCs w:val="20"/>
                <w:lang w:eastAsia="es-MX"/>
              </w:rPr>
            </w:pPr>
            <w:r w:rsidRPr="0018560A">
              <w:rPr>
                <w:rFonts w:ascii="Calibri" w:eastAsia="Times New Roman" w:hAnsi="Calibri" w:cs="Calibri"/>
                <w:b/>
                <w:bCs/>
                <w:color w:val="050505"/>
                <w:sz w:val="20"/>
                <w:szCs w:val="20"/>
                <w:lang w:eastAsia="es-MX"/>
              </w:rPr>
              <w:t xml:space="preserve">Tabla 7. Comparación de las Estadísticas de la UNAM y el ITESM en el ranking THE </w:t>
            </w:r>
            <w:r w:rsidR="00F20FDD" w:rsidRPr="0018560A">
              <w:rPr>
                <w:rFonts w:ascii="Calibri" w:eastAsia="Times New Roman" w:hAnsi="Calibri" w:cs="Calibri"/>
                <w:b/>
                <w:bCs/>
                <w:color w:val="050505"/>
                <w:sz w:val="20"/>
                <w:szCs w:val="20"/>
                <w:lang w:eastAsia="es-MX"/>
              </w:rPr>
              <w:t>2020</w:t>
            </w:r>
            <w:r w:rsidRPr="0018560A">
              <w:rPr>
                <w:rFonts w:ascii="Calibri" w:eastAsia="Times New Roman" w:hAnsi="Calibri" w:cs="Calibri"/>
                <w:b/>
                <w:bCs/>
                <w:color w:val="050505"/>
                <w:sz w:val="20"/>
                <w:szCs w:val="20"/>
                <w:lang w:eastAsia="es-MX"/>
              </w:rPr>
              <w:t>.</w:t>
            </w:r>
          </w:p>
        </w:tc>
      </w:tr>
      <w:tr w:rsidR="00F20FDD" w:rsidRPr="0018560A" w14:paraId="07ABBA8C" w14:textId="77777777" w:rsidTr="00F20FDD">
        <w:trPr>
          <w:trHeight w:val="64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67258114" w14:textId="49B5A526" w:rsidR="00F20FDD" w:rsidRPr="0018560A" w:rsidRDefault="00F20FDD" w:rsidP="00595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856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Estadísticas</w:t>
            </w:r>
            <w:r w:rsidRPr="0018560A">
              <w:rPr>
                <w:rStyle w:val="Refdenotaalpie"/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footnoteReference w:id="1"/>
            </w:r>
            <w:r w:rsidRPr="0018560A">
              <w:rPr>
                <w:rStyle w:val="Refdenotaalpie"/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footnoteReference w:id="2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4D5BBF3" w14:textId="77777777" w:rsidR="00F20FDD" w:rsidRPr="0018560A" w:rsidRDefault="00F20FDD" w:rsidP="00595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UNAM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6983165" w14:textId="77777777" w:rsidR="00F20FDD" w:rsidRPr="0018560A" w:rsidRDefault="00F20FDD" w:rsidP="005959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ITESM</w:t>
            </w:r>
          </w:p>
        </w:tc>
      </w:tr>
      <w:tr w:rsidR="00F20FDD" w:rsidRPr="0018560A" w14:paraId="4E186735" w14:textId="77777777" w:rsidTr="00F20FDD">
        <w:trPr>
          <w:trHeight w:val="265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994F0" w14:textId="77777777" w:rsidR="00F20FDD" w:rsidRPr="0018560A" w:rsidRDefault="00F20FDD" w:rsidP="00F20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Estudiantes de Tiempo Completo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8BCFF" w14:textId="5F125E34" w:rsidR="00F20FDD" w:rsidRPr="0018560A" w:rsidRDefault="00866205" w:rsidP="00F20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161,718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204A0" w14:textId="394D7BC9" w:rsidR="00F20FDD" w:rsidRPr="0018560A" w:rsidRDefault="00866205" w:rsidP="00F20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14,343</w:t>
            </w:r>
          </w:p>
        </w:tc>
      </w:tr>
      <w:tr w:rsidR="00F20FDD" w:rsidRPr="0018560A" w14:paraId="3ACABFC7" w14:textId="77777777" w:rsidTr="00F20FDD">
        <w:trPr>
          <w:trHeight w:val="265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93C4A7A" w14:textId="6D25B0C3" w:rsidR="00F20FDD" w:rsidRPr="0018560A" w:rsidRDefault="00F20FDD" w:rsidP="00F20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bookmarkStart w:id="0" w:name="_Hlk45024678"/>
            <w:r w:rsidRPr="001856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Estudiantes reportados por el ITESM</w:t>
            </w:r>
            <w:r w:rsidRPr="0018560A">
              <w:rPr>
                <w:rStyle w:val="Refdenotaalpie"/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footnoteReference w:id="3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8C33FFB" w14:textId="473CBDB6" w:rsidR="00F20FDD" w:rsidRPr="0018560A" w:rsidRDefault="00F20FDD" w:rsidP="00F20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E24F4A9" w14:textId="4477A5CE" w:rsidR="00F20FDD" w:rsidRPr="0018560A" w:rsidRDefault="00866205" w:rsidP="00F20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93,168</w:t>
            </w:r>
          </w:p>
        </w:tc>
      </w:tr>
      <w:bookmarkEnd w:id="0"/>
      <w:tr w:rsidR="00F20FDD" w:rsidRPr="0018560A" w14:paraId="31EB531E" w14:textId="77777777" w:rsidTr="00F20FDD">
        <w:trPr>
          <w:trHeight w:val="265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BFA9B" w14:textId="77777777" w:rsidR="00F20FDD" w:rsidRPr="0018560A" w:rsidRDefault="00F20FDD" w:rsidP="00F20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Promedio estudiante/personal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93287" w14:textId="511AB03D" w:rsidR="00F20FDD" w:rsidRPr="0018560A" w:rsidRDefault="00866205" w:rsidP="00F20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17.1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CD45A" w14:textId="626886A9" w:rsidR="00F20FDD" w:rsidRPr="0018560A" w:rsidRDefault="00866205" w:rsidP="00F20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16.2</w:t>
            </w:r>
          </w:p>
        </w:tc>
      </w:tr>
      <w:tr w:rsidR="00F20FDD" w:rsidRPr="0018560A" w14:paraId="6184E068" w14:textId="77777777" w:rsidTr="00F20FDD">
        <w:trPr>
          <w:trHeight w:val="265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BE0783F" w14:textId="77777777" w:rsidR="00F20FDD" w:rsidRPr="0018560A" w:rsidRDefault="00F20FDD" w:rsidP="00F20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Estudiantes internacionales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72E90433" w14:textId="691516FD" w:rsidR="00F20FDD" w:rsidRPr="0018560A" w:rsidRDefault="00866205" w:rsidP="00F20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3D4D8219" w14:textId="0578EFBC" w:rsidR="00F20FDD" w:rsidRPr="0018560A" w:rsidRDefault="00866205" w:rsidP="00F20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11%</w:t>
            </w:r>
          </w:p>
        </w:tc>
      </w:tr>
      <w:tr w:rsidR="00F20FDD" w:rsidRPr="005959B0" w14:paraId="4C5E7D18" w14:textId="77777777" w:rsidTr="00F20FDD">
        <w:trPr>
          <w:trHeight w:val="265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1E221" w14:textId="77777777" w:rsidR="00F20FDD" w:rsidRPr="0018560A" w:rsidRDefault="00F20FDD" w:rsidP="00F20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Promedio estudiantes Mujeres/Hombres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A1EB5" w14:textId="388F2FD8" w:rsidR="00F20FDD" w:rsidRPr="0018560A" w:rsidRDefault="00EC1D87" w:rsidP="00F20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51:</w:t>
            </w:r>
            <w:r w:rsidR="00866205" w:rsidRPr="001856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794A6" w14:textId="111734FB" w:rsidR="00F20FDD" w:rsidRPr="005959B0" w:rsidRDefault="00866205" w:rsidP="00F20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8560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41:59</w:t>
            </w:r>
          </w:p>
        </w:tc>
      </w:tr>
    </w:tbl>
    <w:p w14:paraId="4050FB87" w14:textId="77777777" w:rsidR="005959B0" w:rsidRDefault="005959B0" w:rsidP="00D17E34">
      <w:pPr>
        <w:spacing w:after="0" w:line="240" w:lineRule="auto"/>
        <w:jc w:val="both"/>
        <w:rPr>
          <w:sz w:val="2"/>
        </w:rPr>
      </w:pPr>
    </w:p>
    <w:sectPr w:rsidR="005959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812AA" w14:textId="77777777" w:rsidR="00AF0A46" w:rsidRDefault="00AF0A46" w:rsidP="008A3771">
      <w:pPr>
        <w:spacing w:after="0" w:line="240" w:lineRule="auto"/>
      </w:pPr>
      <w:r>
        <w:separator/>
      </w:r>
    </w:p>
  </w:endnote>
  <w:endnote w:type="continuationSeparator" w:id="0">
    <w:p w14:paraId="6521A6D4" w14:textId="77777777" w:rsidR="00AF0A46" w:rsidRDefault="00AF0A46" w:rsidP="008A3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5AC96" w14:textId="77777777" w:rsidR="00AF0A46" w:rsidRDefault="00AF0A46" w:rsidP="008A3771">
      <w:pPr>
        <w:spacing w:after="0" w:line="240" w:lineRule="auto"/>
      </w:pPr>
      <w:r>
        <w:separator/>
      </w:r>
    </w:p>
  </w:footnote>
  <w:footnote w:type="continuationSeparator" w:id="0">
    <w:p w14:paraId="7B6E4D46" w14:textId="77777777" w:rsidR="00AF0A46" w:rsidRDefault="00AF0A46" w:rsidP="008A3771">
      <w:pPr>
        <w:spacing w:after="0" w:line="240" w:lineRule="auto"/>
      </w:pPr>
      <w:r>
        <w:continuationSeparator/>
      </w:r>
    </w:p>
  </w:footnote>
  <w:footnote w:id="1">
    <w:p w14:paraId="6F574879" w14:textId="1CB41BBA" w:rsidR="00EC1D87" w:rsidRDefault="00EC1D87">
      <w:pPr>
        <w:pStyle w:val="Textonotapie"/>
      </w:pPr>
      <w:r>
        <w:rPr>
          <w:rStyle w:val="Refdenotaalpie"/>
        </w:rPr>
        <w:footnoteRef/>
      </w:r>
      <w:r>
        <w:t xml:space="preserve"> Datos publicados para la UNAM, disponible en: </w:t>
      </w:r>
      <w:r w:rsidRPr="005959B0">
        <w:t>https://www.timeshighereducation.com/world-university-rankings/national-autonomous-university-mexico</w:t>
      </w:r>
    </w:p>
  </w:footnote>
  <w:footnote w:id="2">
    <w:p w14:paraId="588D8D47" w14:textId="4637FE5B" w:rsidR="00EC1D87" w:rsidRDefault="00EC1D87">
      <w:pPr>
        <w:pStyle w:val="Textonotapie"/>
      </w:pPr>
      <w:r>
        <w:rPr>
          <w:rStyle w:val="Refdenotaalpie"/>
        </w:rPr>
        <w:footnoteRef/>
      </w:r>
      <w:r>
        <w:t xml:space="preserve"> Datos publicados para el ITESM, disponible en: </w:t>
      </w:r>
      <w:r w:rsidRPr="005959B0">
        <w:t>https://www.timeshighereducation.com/world-university-rankings/monterrey-institute-technology-and-higher-education</w:t>
      </w:r>
    </w:p>
  </w:footnote>
  <w:footnote w:id="3">
    <w:p w14:paraId="59FB2286" w14:textId="458AAA19" w:rsidR="00EC1D87" w:rsidRDefault="00EC1D87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5959B0">
        <w:t>“Datos y Cifras” del ITESM en disponible en: https://tec.mx/es/diferencia-tec/numeralia/datos-y-cifras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D13DC"/>
    <w:multiLevelType w:val="hybridMultilevel"/>
    <w:tmpl w:val="F1E213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65640"/>
    <w:multiLevelType w:val="hybridMultilevel"/>
    <w:tmpl w:val="308250D4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A6783C"/>
    <w:multiLevelType w:val="hybridMultilevel"/>
    <w:tmpl w:val="4672ECDE"/>
    <w:lvl w:ilvl="0" w:tplc="080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2496" w:hanging="360"/>
      </w:pPr>
    </w:lvl>
    <w:lvl w:ilvl="2" w:tplc="080A001B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238977F0"/>
    <w:multiLevelType w:val="hybridMultilevel"/>
    <w:tmpl w:val="EB00DBDC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BAE5B69"/>
    <w:multiLevelType w:val="hybridMultilevel"/>
    <w:tmpl w:val="1A7EDA7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454369"/>
    <w:multiLevelType w:val="hybridMultilevel"/>
    <w:tmpl w:val="A516CDD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167EFB"/>
    <w:multiLevelType w:val="hybridMultilevel"/>
    <w:tmpl w:val="471A4054"/>
    <w:lvl w:ilvl="0" w:tplc="386A9F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36934"/>
    <w:multiLevelType w:val="hybridMultilevel"/>
    <w:tmpl w:val="91D89B02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3B82ADB"/>
    <w:multiLevelType w:val="hybridMultilevel"/>
    <w:tmpl w:val="8A5C77D0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39538B7"/>
    <w:multiLevelType w:val="hybridMultilevel"/>
    <w:tmpl w:val="F1E213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91715E"/>
    <w:multiLevelType w:val="hybridMultilevel"/>
    <w:tmpl w:val="F1E213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C84BD2"/>
    <w:multiLevelType w:val="hybridMultilevel"/>
    <w:tmpl w:val="DCA075F2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2211AD3"/>
    <w:multiLevelType w:val="hybridMultilevel"/>
    <w:tmpl w:val="F710D70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3137955"/>
    <w:multiLevelType w:val="hybridMultilevel"/>
    <w:tmpl w:val="2C7E4562"/>
    <w:lvl w:ilvl="0" w:tplc="080A0017">
      <w:start w:val="1"/>
      <w:numFmt w:val="lowerLetter"/>
      <w:lvlText w:val="%1)"/>
      <w:lvlJc w:val="left"/>
      <w:pPr>
        <w:ind w:left="1776" w:hanging="360"/>
      </w:p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792A0070"/>
    <w:multiLevelType w:val="hybridMultilevel"/>
    <w:tmpl w:val="F1E213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124999"/>
    <w:multiLevelType w:val="hybridMultilevel"/>
    <w:tmpl w:val="0F9E95E4"/>
    <w:lvl w:ilvl="0" w:tplc="386A9F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806268"/>
    <w:multiLevelType w:val="hybridMultilevel"/>
    <w:tmpl w:val="D3C83E76"/>
    <w:lvl w:ilvl="0" w:tplc="386A9F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3"/>
  </w:num>
  <w:num w:numId="4">
    <w:abstractNumId w:val="7"/>
  </w:num>
  <w:num w:numId="5">
    <w:abstractNumId w:val="5"/>
  </w:num>
  <w:num w:numId="6">
    <w:abstractNumId w:val="9"/>
  </w:num>
  <w:num w:numId="7">
    <w:abstractNumId w:val="2"/>
  </w:num>
  <w:num w:numId="8">
    <w:abstractNumId w:val="1"/>
  </w:num>
  <w:num w:numId="9">
    <w:abstractNumId w:val="13"/>
  </w:num>
  <w:num w:numId="10">
    <w:abstractNumId w:val="14"/>
  </w:num>
  <w:num w:numId="11">
    <w:abstractNumId w:val="0"/>
  </w:num>
  <w:num w:numId="12">
    <w:abstractNumId w:val="10"/>
  </w:num>
  <w:num w:numId="13">
    <w:abstractNumId w:val="6"/>
  </w:num>
  <w:num w:numId="14">
    <w:abstractNumId w:val="4"/>
  </w:num>
  <w:num w:numId="15">
    <w:abstractNumId w:val="8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MX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B87"/>
    <w:rsid w:val="0000394F"/>
    <w:rsid w:val="00013B9B"/>
    <w:rsid w:val="00020057"/>
    <w:rsid w:val="00036EA0"/>
    <w:rsid w:val="0004030C"/>
    <w:rsid w:val="00074F01"/>
    <w:rsid w:val="000808A6"/>
    <w:rsid w:val="00080ACB"/>
    <w:rsid w:val="00094F57"/>
    <w:rsid w:val="00095E29"/>
    <w:rsid w:val="000A62C9"/>
    <w:rsid w:val="000B3CEF"/>
    <w:rsid w:val="000B776F"/>
    <w:rsid w:val="000C3D13"/>
    <w:rsid w:val="000C6A1B"/>
    <w:rsid w:val="000D0015"/>
    <w:rsid w:val="000E7136"/>
    <w:rsid w:val="00101E20"/>
    <w:rsid w:val="0011183D"/>
    <w:rsid w:val="00114D13"/>
    <w:rsid w:val="00121ECB"/>
    <w:rsid w:val="001511A2"/>
    <w:rsid w:val="0015162E"/>
    <w:rsid w:val="00153214"/>
    <w:rsid w:val="00182EA8"/>
    <w:rsid w:val="001840C3"/>
    <w:rsid w:val="0018560A"/>
    <w:rsid w:val="00187675"/>
    <w:rsid w:val="00193D13"/>
    <w:rsid w:val="001A286B"/>
    <w:rsid w:val="001A7CDB"/>
    <w:rsid w:val="001B290D"/>
    <w:rsid w:val="001B5A82"/>
    <w:rsid w:val="001D4545"/>
    <w:rsid w:val="001D5EBD"/>
    <w:rsid w:val="001E345D"/>
    <w:rsid w:val="001E4EA3"/>
    <w:rsid w:val="001E50E9"/>
    <w:rsid w:val="001F507B"/>
    <w:rsid w:val="00200691"/>
    <w:rsid w:val="00207836"/>
    <w:rsid w:val="0020786C"/>
    <w:rsid w:val="00210497"/>
    <w:rsid w:val="00233096"/>
    <w:rsid w:val="00236AB1"/>
    <w:rsid w:val="00253754"/>
    <w:rsid w:val="00257087"/>
    <w:rsid w:val="0026150C"/>
    <w:rsid w:val="00277E1E"/>
    <w:rsid w:val="00285F8B"/>
    <w:rsid w:val="00286835"/>
    <w:rsid w:val="002871EB"/>
    <w:rsid w:val="00291132"/>
    <w:rsid w:val="002938AF"/>
    <w:rsid w:val="0029501B"/>
    <w:rsid w:val="002B285D"/>
    <w:rsid w:val="002B705F"/>
    <w:rsid w:val="002D2258"/>
    <w:rsid w:val="002D2F67"/>
    <w:rsid w:val="002E24B1"/>
    <w:rsid w:val="002E342B"/>
    <w:rsid w:val="002F62AE"/>
    <w:rsid w:val="003062D3"/>
    <w:rsid w:val="0031474A"/>
    <w:rsid w:val="003201C2"/>
    <w:rsid w:val="00325265"/>
    <w:rsid w:val="00344794"/>
    <w:rsid w:val="00350282"/>
    <w:rsid w:val="003536C0"/>
    <w:rsid w:val="00357C5B"/>
    <w:rsid w:val="003600DC"/>
    <w:rsid w:val="003613E0"/>
    <w:rsid w:val="003761FF"/>
    <w:rsid w:val="00385B7D"/>
    <w:rsid w:val="00396BBE"/>
    <w:rsid w:val="003A1A80"/>
    <w:rsid w:val="003A1FA2"/>
    <w:rsid w:val="003A5BD3"/>
    <w:rsid w:val="003C102E"/>
    <w:rsid w:val="003E1861"/>
    <w:rsid w:val="0041260E"/>
    <w:rsid w:val="00416CC0"/>
    <w:rsid w:val="004245EE"/>
    <w:rsid w:val="00465EE6"/>
    <w:rsid w:val="00467DEF"/>
    <w:rsid w:val="00471748"/>
    <w:rsid w:val="004744A4"/>
    <w:rsid w:val="00494054"/>
    <w:rsid w:val="004B4A0F"/>
    <w:rsid w:val="004B4DE6"/>
    <w:rsid w:val="004C4F5D"/>
    <w:rsid w:val="004E1ADF"/>
    <w:rsid w:val="004F61D3"/>
    <w:rsid w:val="005060DF"/>
    <w:rsid w:val="00516B87"/>
    <w:rsid w:val="00523F50"/>
    <w:rsid w:val="00536ABF"/>
    <w:rsid w:val="005400E2"/>
    <w:rsid w:val="00540434"/>
    <w:rsid w:val="005427A3"/>
    <w:rsid w:val="0054305B"/>
    <w:rsid w:val="005439E6"/>
    <w:rsid w:val="00543BF9"/>
    <w:rsid w:val="00551F52"/>
    <w:rsid w:val="00556FA9"/>
    <w:rsid w:val="005612C8"/>
    <w:rsid w:val="00561A19"/>
    <w:rsid w:val="005660DB"/>
    <w:rsid w:val="0057064A"/>
    <w:rsid w:val="00575FB7"/>
    <w:rsid w:val="00591CFE"/>
    <w:rsid w:val="005959B0"/>
    <w:rsid w:val="005A1ACE"/>
    <w:rsid w:val="005A53F7"/>
    <w:rsid w:val="005A7831"/>
    <w:rsid w:val="005B56DF"/>
    <w:rsid w:val="005B79EA"/>
    <w:rsid w:val="005C08CC"/>
    <w:rsid w:val="005C762D"/>
    <w:rsid w:val="005E02C6"/>
    <w:rsid w:val="005E27BD"/>
    <w:rsid w:val="006018B6"/>
    <w:rsid w:val="00602022"/>
    <w:rsid w:val="0060365B"/>
    <w:rsid w:val="00612383"/>
    <w:rsid w:val="0061346E"/>
    <w:rsid w:val="006161B1"/>
    <w:rsid w:val="00627DDA"/>
    <w:rsid w:val="00632A8E"/>
    <w:rsid w:val="006347C7"/>
    <w:rsid w:val="00652487"/>
    <w:rsid w:val="00654163"/>
    <w:rsid w:val="00670550"/>
    <w:rsid w:val="006736A3"/>
    <w:rsid w:val="0067403C"/>
    <w:rsid w:val="006A5E9B"/>
    <w:rsid w:val="006A60F4"/>
    <w:rsid w:val="006B03C1"/>
    <w:rsid w:val="006B05EF"/>
    <w:rsid w:val="006B3F1E"/>
    <w:rsid w:val="006B52E8"/>
    <w:rsid w:val="006B692E"/>
    <w:rsid w:val="006C79D4"/>
    <w:rsid w:val="006D09C2"/>
    <w:rsid w:val="006D2A38"/>
    <w:rsid w:val="006E0DB2"/>
    <w:rsid w:val="006E1000"/>
    <w:rsid w:val="006F4917"/>
    <w:rsid w:val="007038AE"/>
    <w:rsid w:val="0070791C"/>
    <w:rsid w:val="007262CF"/>
    <w:rsid w:val="007347A8"/>
    <w:rsid w:val="00744819"/>
    <w:rsid w:val="00745041"/>
    <w:rsid w:val="007467BD"/>
    <w:rsid w:val="00754BE1"/>
    <w:rsid w:val="00757B9E"/>
    <w:rsid w:val="0076328A"/>
    <w:rsid w:val="00776C1B"/>
    <w:rsid w:val="00785BED"/>
    <w:rsid w:val="00790D03"/>
    <w:rsid w:val="00797EBA"/>
    <w:rsid w:val="007A5369"/>
    <w:rsid w:val="007B2B33"/>
    <w:rsid w:val="007B2D36"/>
    <w:rsid w:val="007B4D15"/>
    <w:rsid w:val="007D45C9"/>
    <w:rsid w:val="007D48C0"/>
    <w:rsid w:val="007E0193"/>
    <w:rsid w:val="007E02D3"/>
    <w:rsid w:val="007E72F8"/>
    <w:rsid w:val="007F5C4B"/>
    <w:rsid w:val="007F72AE"/>
    <w:rsid w:val="007F746F"/>
    <w:rsid w:val="008005A1"/>
    <w:rsid w:val="00803500"/>
    <w:rsid w:val="008073A0"/>
    <w:rsid w:val="00812A0B"/>
    <w:rsid w:val="00834AA8"/>
    <w:rsid w:val="0083640D"/>
    <w:rsid w:val="00843870"/>
    <w:rsid w:val="00860F65"/>
    <w:rsid w:val="0086322B"/>
    <w:rsid w:val="00866205"/>
    <w:rsid w:val="0087278D"/>
    <w:rsid w:val="008758A8"/>
    <w:rsid w:val="00876A66"/>
    <w:rsid w:val="00885344"/>
    <w:rsid w:val="008945DB"/>
    <w:rsid w:val="008A3771"/>
    <w:rsid w:val="008A3DE1"/>
    <w:rsid w:val="008B3929"/>
    <w:rsid w:val="008B6083"/>
    <w:rsid w:val="008B678C"/>
    <w:rsid w:val="008B75DD"/>
    <w:rsid w:val="008C3B1E"/>
    <w:rsid w:val="008C594D"/>
    <w:rsid w:val="008C705D"/>
    <w:rsid w:val="008F2D1A"/>
    <w:rsid w:val="008F6C6B"/>
    <w:rsid w:val="00903EBE"/>
    <w:rsid w:val="0091164B"/>
    <w:rsid w:val="0091324E"/>
    <w:rsid w:val="009265F9"/>
    <w:rsid w:val="00927179"/>
    <w:rsid w:val="00932183"/>
    <w:rsid w:val="00950D2D"/>
    <w:rsid w:val="00954CDE"/>
    <w:rsid w:val="00955161"/>
    <w:rsid w:val="00955ABB"/>
    <w:rsid w:val="009636DB"/>
    <w:rsid w:val="00963C19"/>
    <w:rsid w:val="0097768D"/>
    <w:rsid w:val="00981CD5"/>
    <w:rsid w:val="00984C18"/>
    <w:rsid w:val="009857C4"/>
    <w:rsid w:val="00995C04"/>
    <w:rsid w:val="009A7399"/>
    <w:rsid w:val="009B4626"/>
    <w:rsid w:val="009C6F1A"/>
    <w:rsid w:val="009D416B"/>
    <w:rsid w:val="009E06D9"/>
    <w:rsid w:val="009E7FF8"/>
    <w:rsid w:val="009F4A57"/>
    <w:rsid w:val="00A20978"/>
    <w:rsid w:val="00A2224C"/>
    <w:rsid w:val="00A301BB"/>
    <w:rsid w:val="00A52257"/>
    <w:rsid w:val="00A55850"/>
    <w:rsid w:val="00A5715F"/>
    <w:rsid w:val="00A62BD2"/>
    <w:rsid w:val="00A63125"/>
    <w:rsid w:val="00A6768D"/>
    <w:rsid w:val="00A86B7B"/>
    <w:rsid w:val="00A95334"/>
    <w:rsid w:val="00A96517"/>
    <w:rsid w:val="00AB0508"/>
    <w:rsid w:val="00AB1258"/>
    <w:rsid w:val="00AC3FEF"/>
    <w:rsid w:val="00AC563B"/>
    <w:rsid w:val="00AE5228"/>
    <w:rsid w:val="00AF0A46"/>
    <w:rsid w:val="00AF3EB1"/>
    <w:rsid w:val="00B00D95"/>
    <w:rsid w:val="00B061AB"/>
    <w:rsid w:val="00B068BC"/>
    <w:rsid w:val="00B1058D"/>
    <w:rsid w:val="00B122CE"/>
    <w:rsid w:val="00B14CAF"/>
    <w:rsid w:val="00B167FE"/>
    <w:rsid w:val="00B21449"/>
    <w:rsid w:val="00B30AA4"/>
    <w:rsid w:val="00B33DF2"/>
    <w:rsid w:val="00B36FBB"/>
    <w:rsid w:val="00B52342"/>
    <w:rsid w:val="00B57999"/>
    <w:rsid w:val="00B60811"/>
    <w:rsid w:val="00B627AD"/>
    <w:rsid w:val="00B62B09"/>
    <w:rsid w:val="00B67277"/>
    <w:rsid w:val="00BA5D4D"/>
    <w:rsid w:val="00BA7D0E"/>
    <w:rsid w:val="00BC0809"/>
    <w:rsid w:val="00BC0C14"/>
    <w:rsid w:val="00BC5A1E"/>
    <w:rsid w:val="00BC7CA6"/>
    <w:rsid w:val="00BD0A00"/>
    <w:rsid w:val="00BD13AB"/>
    <w:rsid w:val="00BF0E0F"/>
    <w:rsid w:val="00BF17FC"/>
    <w:rsid w:val="00C625AC"/>
    <w:rsid w:val="00C66F3F"/>
    <w:rsid w:val="00C856B6"/>
    <w:rsid w:val="00C96CAA"/>
    <w:rsid w:val="00CA0B0D"/>
    <w:rsid w:val="00CA633C"/>
    <w:rsid w:val="00CA7F40"/>
    <w:rsid w:val="00CB7710"/>
    <w:rsid w:val="00CC2FF8"/>
    <w:rsid w:val="00CC4772"/>
    <w:rsid w:val="00CC478C"/>
    <w:rsid w:val="00CC4F28"/>
    <w:rsid w:val="00CD43A5"/>
    <w:rsid w:val="00CE0B4F"/>
    <w:rsid w:val="00CE1B0F"/>
    <w:rsid w:val="00CE4CA6"/>
    <w:rsid w:val="00CE6523"/>
    <w:rsid w:val="00CF4FF3"/>
    <w:rsid w:val="00D0231C"/>
    <w:rsid w:val="00D043D3"/>
    <w:rsid w:val="00D066C4"/>
    <w:rsid w:val="00D0703A"/>
    <w:rsid w:val="00D110B7"/>
    <w:rsid w:val="00D17E34"/>
    <w:rsid w:val="00D246B5"/>
    <w:rsid w:val="00D251CD"/>
    <w:rsid w:val="00D328FD"/>
    <w:rsid w:val="00D42E62"/>
    <w:rsid w:val="00D44E20"/>
    <w:rsid w:val="00D5528C"/>
    <w:rsid w:val="00D67286"/>
    <w:rsid w:val="00D70652"/>
    <w:rsid w:val="00D75035"/>
    <w:rsid w:val="00D800F4"/>
    <w:rsid w:val="00D8424B"/>
    <w:rsid w:val="00DA2EA6"/>
    <w:rsid w:val="00DA70FB"/>
    <w:rsid w:val="00DB2644"/>
    <w:rsid w:val="00DB445F"/>
    <w:rsid w:val="00DB46EE"/>
    <w:rsid w:val="00DC3520"/>
    <w:rsid w:val="00DE6350"/>
    <w:rsid w:val="00DF38E0"/>
    <w:rsid w:val="00E16DB1"/>
    <w:rsid w:val="00E225BE"/>
    <w:rsid w:val="00E2676F"/>
    <w:rsid w:val="00E4107B"/>
    <w:rsid w:val="00E64262"/>
    <w:rsid w:val="00E800AC"/>
    <w:rsid w:val="00E828D0"/>
    <w:rsid w:val="00E86D04"/>
    <w:rsid w:val="00E93F34"/>
    <w:rsid w:val="00EA0F71"/>
    <w:rsid w:val="00EA55DA"/>
    <w:rsid w:val="00EC10F8"/>
    <w:rsid w:val="00EC1D87"/>
    <w:rsid w:val="00EC2587"/>
    <w:rsid w:val="00ED566B"/>
    <w:rsid w:val="00EE3D6B"/>
    <w:rsid w:val="00EF2EDE"/>
    <w:rsid w:val="00EF4296"/>
    <w:rsid w:val="00F03FD5"/>
    <w:rsid w:val="00F066F1"/>
    <w:rsid w:val="00F07DB4"/>
    <w:rsid w:val="00F20FDD"/>
    <w:rsid w:val="00F23AE7"/>
    <w:rsid w:val="00F25B04"/>
    <w:rsid w:val="00F27902"/>
    <w:rsid w:val="00F3118C"/>
    <w:rsid w:val="00F35480"/>
    <w:rsid w:val="00F4398E"/>
    <w:rsid w:val="00F477EA"/>
    <w:rsid w:val="00F505AC"/>
    <w:rsid w:val="00F57DC0"/>
    <w:rsid w:val="00F65136"/>
    <w:rsid w:val="00F8199B"/>
    <w:rsid w:val="00F84119"/>
    <w:rsid w:val="00FA1987"/>
    <w:rsid w:val="00FE4B30"/>
    <w:rsid w:val="00FE5AA4"/>
    <w:rsid w:val="00FF06D9"/>
    <w:rsid w:val="00FF0EE1"/>
    <w:rsid w:val="00FF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8E8D8"/>
  <w15:chartTrackingRefBased/>
  <w15:docId w15:val="{80D52E2F-2207-4FD1-8B51-4F5B00F5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0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398E"/>
    <w:pPr>
      <w:ind w:left="720"/>
      <w:contextualSpacing/>
    </w:pPr>
  </w:style>
  <w:style w:type="table" w:styleId="Tablaconcuadrcula">
    <w:name w:val="Table Grid"/>
    <w:basedOn w:val="Tablanormal"/>
    <w:uiPriority w:val="39"/>
    <w:rsid w:val="00E93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00691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B3C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B3CE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B3CE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B3C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B3CE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3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3CEF"/>
    <w:rPr>
      <w:rFonts w:ascii="Segoe UI" w:hAnsi="Segoe UI" w:cs="Segoe UI"/>
      <w:sz w:val="18"/>
      <w:szCs w:val="18"/>
    </w:rPr>
  </w:style>
  <w:style w:type="table" w:styleId="Tablaconcuadrcula4-nfasis5">
    <w:name w:val="Grid Table 4 Accent 5"/>
    <w:basedOn w:val="Tablanormal"/>
    <w:uiPriority w:val="49"/>
    <w:rsid w:val="00E16D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8A377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A377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A3771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FF28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282E"/>
  </w:style>
  <w:style w:type="character" w:styleId="Hipervnculovisitado">
    <w:name w:val="FollowedHyperlink"/>
    <w:basedOn w:val="Fuentedeprrafopredeter"/>
    <w:uiPriority w:val="99"/>
    <w:semiHidden/>
    <w:unhideWhenUsed/>
    <w:rsid w:val="00D043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1849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7882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4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2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6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522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13132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9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9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reenk\Dropbox\DGEI%20-%20UNAM\Reportes%20Rankings\Estadisticas\Latin%20America%20University%20RankingsTHE_20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Paises!$B$2</c:f>
              <c:strCache>
                <c:ptCount val="1"/>
                <c:pt idx="0">
                  <c:v>Brasil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Paises!$C$2</c:f>
              <c:numCache>
                <c:formatCode>General</c:formatCode>
                <c:ptCount val="1"/>
                <c:pt idx="0">
                  <c:v>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7CA-4143-8E7E-3EC134317C0C}"/>
            </c:ext>
          </c:extLst>
        </c:ser>
        <c:ser>
          <c:idx val="1"/>
          <c:order val="1"/>
          <c:tx>
            <c:strRef>
              <c:f>Paises!$B$3</c:f>
              <c:strCache>
                <c:ptCount val="1"/>
                <c:pt idx="0">
                  <c:v>Chile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Paises!$C$3</c:f>
              <c:numCache>
                <c:formatCode>General</c:formatCode>
                <c:ptCount val="1"/>
                <c:pt idx="0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7CA-4143-8E7E-3EC134317C0C}"/>
            </c:ext>
          </c:extLst>
        </c:ser>
        <c:ser>
          <c:idx val="2"/>
          <c:order val="2"/>
          <c:tx>
            <c:strRef>
              <c:f>Paises!$B$4</c:f>
              <c:strCache>
                <c:ptCount val="1"/>
                <c:pt idx="0">
                  <c:v>Colombia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Paises!$C$4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7CA-4143-8E7E-3EC134317C0C}"/>
            </c:ext>
          </c:extLst>
        </c:ser>
        <c:ser>
          <c:idx val="3"/>
          <c:order val="3"/>
          <c:tx>
            <c:strRef>
              <c:f>Paises!$B$5</c:f>
              <c:strCache>
                <c:ptCount val="1"/>
                <c:pt idx="0">
                  <c:v>México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Paises!$C$5</c:f>
              <c:numCache>
                <c:formatCode>General</c:formatCode>
                <c:ptCount val="1"/>
                <c:pt idx="0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7CA-4143-8E7E-3EC134317C0C}"/>
            </c:ext>
          </c:extLst>
        </c:ser>
        <c:ser>
          <c:idx val="4"/>
          <c:order val="4"/>
          <c:tx>
            <c:strRef>
              <c:f>Paises!$B$6</c:f>
              <c:strCache>
                <c:ptCount val="1"/>
                <c:pt idx="0">
                  <c:v>Ecuador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Paises!$C$6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7CA-4143-8E7E-3EC134317C0C}"/>
            </c:ext>
          </c:extLst>
        </c:ser>
        <c:ser>
          <c:idx val="5"/>
          <c:order val="5"/>
          <c:tx>
            <c:strRef>
              <c:f>Paises!$B$7</c:f>
              <c:strCache>
                <c:ptCount val="1"/>
                <c:pt idx="0">
                  <c:v>Argentina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Paises!$C$7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7CA-4143-8E7E-3EC134317C0C}"/>
            </c:ext>
          </c:extLst>
        </c:ser>
        <c:ser>
          <c:idx val="6"/>
          <c:order val="6"/>
          <c:tx>
            <c:strRef>
              <c:f>Paises!$B$8</c:f>
              <c:strCache>
                <c:ptCount val="1"/>
                <c:pt idx="0">
                  <c:v>Perú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Paises!$C$8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7CA-4143-8E7E-3EC134317C0C}"/>
            </c:ext>
          </c:extLst>
        </c:ser>
        <c:ser>
          <c:idx val="7"/>
          <c:order val="7"/>
          <c:tx>
            <c:strRef>
              <c:f>Paises!$B$9</c:f>
              <c:strCache>
                <c:ptCount val="1"/>
                <c:pt idx="0">
                  <c:v>Venezuela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Paises!$C$9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D7CA-4143-8E7E-3EC134317C0C}"/>
            </c:ext>
          </c:extLst>
        </c:ser>
        <c:ser>
          <c:idx val="8"/>
          <c:order val="8"/>
          <c:tx>
            <c:strRef>
              <c:f>Paises!$B$10</c:f>
              <c:strCache>
                <c:ptCount val="1"/>
                <c:pt idx="0">
                  <c:v>Jamaica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Paises!$C$10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7CA-4143-8E7E-3EC134317C0C}"/>
            </c:ext>
          </c:extLst>
        </c:ser>
        <c:ser>
          <c:idx val="9"/>
          <c:order val="9"/>
          <c:tx>
            <c:strRef>
              <c:f>Paises!$B$11</c:f>
              <c:strCache>
                <c:ptCount val="1"/>
                <c:pt idx="0">
                  <c:v>Costa Rica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Paises!$C$11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D7CA-4143-8E7E-3EC134317C0C}"/>
            </c:ext>
          </c:extLst>
        </c:ser>
        <c:ser>
          <c:idx val="10"/>
          <c:order val="10"/>
          <c:tx>
            <c:strRef>
              <c:f>Paises!$B$12</c:f>
              <c:strCache>
                <c:ptCount val="1"/>
                <c:pt idx="0">
                  <c:v>Cuba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Paises!$C$12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D7CA-4143-8E7E-3EC134317C0C}"/>
            </c:ext>
          </c:extLst>
        </c:ser>
        <c:ser>
          <c:idx val="11"/>
          <c:order val="11"/>
          <c:tx>
            <c:strRef>
              <c:f>Paises!$B$13</c:f>
              <c:strCache>
                <c:ptCount val="1"/>
                <c:pt idx="0">
                  <c:v>Puerto Rico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Paises!$C$13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D7CA-4143-8E7E-3EC134317C0C}"/>
            </c:ext>
          </c:extLst>
        </c:ser>
        <c:ser>
          <c:idx val="12"/>
          <c:order val="12"/>
          <c:tx>
            <c:strRef>
              <c:f>Paises!$B$14</c:f>
              <c:strCache>
                <c:ptCount val="1"/>
                <c:pt idx="0">
                  <c:v>Uruguay</c:v>
                </c:pt>
              </c:strCache>
            </c:strRef>
          </c:tx>
          <c:spPr>
            <a:solidFill>
              <a:schemeClr val="accent1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Paises!$C$14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D7CA-4143-8E7E-3EC134317C0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740748096"/>
        <c:axId val="1678657776"/>
      </c:barChart>
      <c:catAx>
        <c:axId val="174074809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678657776"/>
        <c:crosses val="autoZero"/>
        <c:auto val="1"/>
        <c:lblAlgn val="ctr"/>
        <c:lblOffset val="100"/>
        <c:noMultiLvlLbl val="0"/>
      </c:catAx>
      <c:valAx>
        <c:axId val="1678657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740748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22450-08D2-431F-9C19-8B4B00AF1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2207</Words>
  <Characters>12144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DGEI Sala de juntas</dc:creator>
  <cp:keywords/>
  <dc:description/>
  <cp:lastModifiedBy>JESUS ADRIAN QUINTERO LOPEZ</cp:lastModifiedBy>
  <cp:revision>12</cp:revision>
  <cp:lastPrinted>2018-07-25T20:59:00Z</cp:lastPrinted>
  <dcterms:created xsi:type="dcterms:W3CDTF">2020-07-07T19:18:00Z</dcterms:created>
  <dcterms:modified xsi:type="dcterms:W3CDTF">2020-07-07T19:39:00Z</dcterms:modified>
</cp:coreProperties>
</file>