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5EB3" w14:textId="77777777" w:rsidR="001511A2" w:rsidRPr="00646B6F" w:rsidRDefault="001511A2" w:rsidP="0078703F">
      <w:pPr>
        <w:spacing w:line="240" w:lineRule="auto"/>
        <w:jc w:val="center"/>
        <w:rPr>
          <w:b/>
          <w:sz w:val="24"/>
        </w:rPr>
      </w:pPr>
      <w:r w:rsidRPr="00646B6F">
        <w:rPr>
          <w:b/>
          <w:sz w:val="24"/>
        </w:rPr>
        <w:t>Dirección General de Evaluación Institucional</w:t>
      </w:r>
    </w:p>
    <w:p w14:paraId="6A06AB9A" w14:textId="5A2452F4" w:rsidR="001511A2" w:rsidRPr="00646B6F" w:rsidRDefault="001511A2" w:rsidP="0078703F">
      <w:pPr>
        <w:spacing w:line="240" w:lineRule="auto"/>
        <w:jc w:val="center"/>
        <w:rPr>
          <w:b/>
          <w:sz w:val="24"/>
        </w:rPr>
      </w:pPr>
      <w:r w:rsidRPr="00646B6F">
        <w:rPr>
          <w:b/>
          <w:sz w:val="24"/>
        </w:rPr>
        <w:t xml:space="preserve">Ciudad Universitaria, </w:t>
      </w:r>
      <w:r w:rsidR="00E170CD">
        <w:rPr>
          <w:b/>
          <w:sz w:val="24"/>
        </w:rPr>
        <w:t>CDMX,</w:t>
      </w:r>
      <w:r w:rsidRPr="00646B6F">
        <w:rPr>
          <w:b/>
          <w:sz w:val="24"/>
        </w:rPr>
        <w:t xml:space="preserve"> a </w:t>
      </w:r>
      <w:r w:rsidR="001D3C14">
        <w:rPr>
          <w:b/>
          <w:sz w:val="24"/>
        </w:rPr>
        <w:t>4</w:t>
      </w:r>
      <w:r w:rsidR="00E170CD">
        <w:rPr>
          <w:b/>
          <w:sz w:val="24"/>
        </w:rPr>
        <w:t xml:space="preserve"> de noviembre</w:t>
      </w:r>
      <w:r w:rsidR="00D1618B" w:rsidRPr="00646B6F">
        <w:rPr>
          <w:b/>
          <w:sz w:val="24"/>
        </w:rPr>
        <w:t xml:space="preserve"> </w:t>
      </w:r>
      <w:r w:rsidR="00FA3228" w:rsidRPr="00646B6F">
        <w:rPr>
          <w:b/>
          <w:sz w:val="24"/>
        </w:rPr>
        <w:t>de 20</w:t>
      </w:r>
      <w:r w:rsidR="00D1618B" w:rsidRPr="00646B6F">
        <w:rPr>
          <w:b/>
          <w:sz w:val="24"/>
        </w:rPr>
        <w:t>20</w:t>
      </w:r>
    </w:p>
    <w:p w14:paraId="1CF22417" w14:textId="77777777" w:rsidR="001511A2" w:rsidRPr="00646B6F" w:rsidRDefault="001511A2" w:rsidP="0078703F">
      <w:pPr>
        <w:spacing w:line="240" w:lineRule="auto"/>
        <w:jc w:val="center"/>
        <w:rPr>
          <w:b/>
          <w:sz w:val="24"/>
        </w:rPr>
      </w:pPr>
    </w:p>
    <w:p w14:paraId="59840055" w14:textId="478304C0" w:rsidR="00160CA2" w:rsidRPr="00F46F74" w:rsidRDefault="00E170CD" w:rsidP="0078703F">
      <w:pPr>
        <w:spacing w:line="240" w:lineRule="auto"/>
        <w:jc w:val="center"/>
        <w:rPr>
          <w:b/>
          <w:sz w:val="26"/>
          <w:szCs w:val="26"/>
        </w:rPr>
      </w:pPr>
      <w:r w:rsidRPr="00F46F74">
        <w:rPr>
          <w:b/>
          <w:sz w:val="26"/>
          <w:szCs w:val="26"/>
        </w:rPr>
        <w:t xml:space="preserve">LA </w:t>
      </w:r>
      <w:r w:rsidR="001511A2" w:rsidRPr="00F46F74">
        <w:rPr>
          <w:b/>
          <w:sz w:val="26"/>
          <w:szCs w:val="26"/>
        </w:rPr>
        <w:t xml:space="preserve">UNAM EN </w:t>
      </w:r>
      <w:r w:rsidRPr="00F46F74">
        <w:rPr>
          <w:b/>
          <w:sz w:val="26"/>
          <w:szCs w:val="26"/>
        </w:rPr>
        <w:t xml:space="preserve">EL </w:t>
      </w:r>
      <w:r w:rsidR="003215C3" w:rsidRPr="00F46F74">
        <w:rPr>
          <w:b/>
          <w:i/>
          <w:iCs/>
          <w:sz w:val="26"/>
          <w:szCs w:val="26"/>
        </w:rPr>
        <w:t>TIMES HIGHER EDUCATION</w:t>
      </w:r>
      <w:r w:rsidR="00160CA2" w:rsidRPr="00F46F74">
        <w:rPr>
          <w:b/>
          <w:sz w:val="26"/>
          <w:szCs w:val="26"/>
        </w:rPr>
        <w:t xml:space="preserve"> POR ÁREAS DEL CONOCIMIENTO</w:t>
      </w:r>
    </w:p>
    <w:p w14:paraId="206DCAFA" w14:textId="77777777" w:rsidR="00EF2EDE" w:rsidRPr="00646B6F" w:rsidRDefault="00EF2EDE" w:rsidP="0078703F">
      <w:pPr>
        <w:spacing w:line="240" w:lineRule="auto"/>
        <w:rPr>
          <w:sz w:val="24"/>
        </w:rPr>
      </w:pPr>
    </w:p>
    <w:p w14:paraId="2A7C12A0" w14:textId="4B7B2EB7" w:rsidR="00610EEE" w:rsidRPr="00646B6F" w:rsidRDefault="00E170CD" w:rsidP="0078703F">
      <w:pPr>
        <w:pStyle w:val="ListParagraph"/>
        <w:numPr>
          <w:ilvl w:val="0"/>
          <w:numId w:val="1"/>
        </w:numPr>
        <w:spacing w:line="240" w:lineRule="auto"/>
        <w:jc w:val="both"/>
        <w:rPr>
          <w:sz w:val="24"/>
        </w:rPr>
      </w:pPr>
      <w:r w:rsidRPr="00F46F74">
        <w:rPr>
          <w:sz w:val="24"/>
        </w:rPr>
        <w:t xml:space="preserve">El </w:t>
      </w:r>
      <w:r w:rsidR="00610EEE" w:rsidRPr="00F46F74">
        <w:rPr>
          <w:i/>
          <w:iCs/>
          <w:sz w:val="24"/>
        </w:rPr>
        <w:t>Times Higher Education</w:t>
      </w:r>
      <w:r w:rsidR="00610EEE" w:rsidRPr="00646B6F">
        <w:rPr>
          <w:sz w:val="24"/>
        </w:rPr>
        <w:t xml:space="preserve"> (THE) publicó </w:t>
      </w:r>
      <w:r>
        <w:rPr>
          <w:sz w:val="24"/>
        </w:rPr>
        <w:t>el</w:t>
      </w:r>
      <w:r w:rsidR="00610EEE" w:rsidRPr="00646B6F">
        <w:rPr>
          <w:sz w:val="24"/>
        </w:rPr>
        <w:t xml:space="preserve"> </w:t>
      </w:r>
      <w:r>
        <w:rPr>
          <w:sz w:val="24"/>
        </w:rPr>
        <w:t>R</w:t>
      </w:r>
      <w:r w:rsidR="00610EEE" w:rsidRPr="00646B6F">
        <w:rPr>
          <w:sz w:val="24"/>
        </w:rPr>
        <w:t xml:space="preserve">anking </w:t>
      </w:r>
      <w:r>
        <w:rPr>
          <w:sz w:val="24"/>
        </w:rPr>
        <w:t>M</w:t>
      </w:r>
      <w:r w:rsidR="00610EEE" w:rsidRPr="00646B6F">
        <w:rPr>
          <w:sz w:val="24"/>
        </w:rPr>
        <w:t xml:space="preserve">undial de </w:t>
      </w:r>
      <w:r>
        <w:rPr>
          <w:sz w:val="24"/>
        </w:rPr>
        <w:t>U</w:t>
      </w:r>
      <w:r w:rsidR="00610EEE" w:rsidRPr="00646B6F">
        <w:rPr>
          <w:sz w:val="24"/>
        </w:rPr>
        <w:t xml:space="preserve">niversidades </w:t>
      </w:r>
      <w:r w:rsidR="00160CA2" w:rsidRPr="00646B6F">
        <w:rPr>
          <w:sz w:val="24"/>
        </w:rPr>
        <w:t xml:space="preserve">por </w:t>
      </w:r>
      <w:r>
        <w:rPr>
          <w:sz w:val="24"/>
        </w:rPr>
        <w:t>Á</w:t>
      </w:r>
      <w:r w:rsidR="00160CA2" w:rsidRPr="00646B6F">
        <w:rPr>
          <w:sz w:val="24"/>
        </w:rPr>
        <w:t xml:space="preserve">reas del </w:t>
      </w:r>
      <w:r>
        <w:rPr>
          <w:sz w:val="24"/>
        </w:rPr>
        <w:t>C</w:t>
      </w:r>
      <w:r w:rsidR="00160CA2" w:rsidRPr="00646B6F">
        <w:rPr>
          <w:sz w:val="24"/>
        </w:rPr>
        <w:t xml:space="preserve">onocimiento </w:t>
      </w:r>
      <w:r w:rsidR="00FA3228" w:rsidRPr="00646B6F">
        <w:rPr>
          <w:sz w:val="24"/>
        </w:rPr>
        <w:t>202</w:t>
      </w:r>
      <w:r w:rsidR="00D1618B" w:rsidRPr="00646B6F">
        <w:rPr>
          <w:sz w:val="24"/>
        </w:rPr>
        <w:t>1</w:t>
      </w:r>
      <w:r w:rsidR="00610EEE" w:rsidRPr="00646B6F">
        <w:rPr>
          <w:sz w:val="24"/>
        </w:rPr>
        <w:t xml:space="preserve">. </w:t>
      </w:r>
    </w:p>
    <w:p w14:paraId="1ACF18D8" w14:textId="77777777" w:rsidR="006D2A38" w:rsidRPr="00646B6F" w:rsidRDefault="006D2A38" w:rsidP="0078703F">
      <w:pPr>
        <w:pStyle w:val="ListParagraph"/>
        <w:spacing w:line="240" w:lineRule="auto"/>
        <w:jc w:val="both"/>
        <w:rPr>
          <w:sz w:val="24"/>
        </w:rPr>
      </w:pPr>
    </w:p>
    <w:p w14:paraId="60576EA0" w14:textId="4B3A9330" w:rsidR="00763FC9" w:rsidRPr="00646B6F" w:rsidRDefault="00E170CD" w:rsidP="0078703F">
      <w:pPr>
        <w:pStyle w:val="ListParagraph"/>
        <w:numPr>
          <w:ilvl w:val="0"/>
          <w:numId w:val="1"/>
        </w:numPr>
        <w:spacing w:line="240" w:lineRule="auto"/>
        <w:jc w:val="both"/>
        <w:rPr>
          <w:sz w:val="24"/>
        </w:rPr>
      </w:pPr>
      <w:r>
        <w:rPr>
          <w:sz w:val="24"/>
        </w:rPr>
        <w:t>L</w:t>
      </w:r>
      <w:r w:rsidR="00216BFF" w:rsidRPr="00646B6F">
        <w:rPr>
          <w:sz w:val="24"/>
        </w:rPr>
        <w:t xml:space="preserve">a UNAM es la universidad mexicana con más áreas del conocimiento </w:t>
      </w:r>
      <w:r w:rsidR="00A76DED" w:rsidRPr="00646B6F">
        <w:rPr>
          <w:sz w:val="24"/>
        </w:rPr>
        <w:t>evaluadas</w:t>
      </w:r>
      <w:r w:rsidR="00216BFF" w:rsidRPr="00646B6F">
        <w:rPr>
          <w:sz w:val="24"/>
        </w:rPr>
        <w:t xml:space="preserve">, las cuales </w:t>
      </w:r>
      <w:r w:rsidR="00A76DED" w:rsidRPr="00646B6F">
        <w:rPr>
          <w:sz w:val="24"/>
        </w:rPr>
        <w:t xml:space="preserve">fueron clasificadas </w:t>
      </w:r>
      <w:r w:rsidR="00216BFF" w:rsidRPr="00646B6F">
        <w:rPr>
          <w:sz w:val="24"/>
        </w:rPr>
        <w:t>en los siguientes rangos</w:t>
      </w:r>
      <w:r w:rsidR="00763FC9" w:rsidRPr="00646B6F">
        <w:t xml:space="preserve">: </w:t>
      </w:r>
    </w:p>
    <w:p w14:paraId="4C8D6F96" w14:textId="77777777" w:rsidR="0080682B" w:rsidRPr="00646B6F" w:rsidRDefault="0080682B" w:rsidP="0078703F">
      <w:pPr>
        <w:pStyle w:val="ListParagraph"/>
        <w:spacing w:line="240" w:lineRule="auto"/>
        <w:rPr>
          <w:sz w:val="24"/>
        </w:rPr>
      </w:pPr>
    </w:p>
    <w:tbl>
      <w:tblPr>
        <w:tblW w:w="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9"/>
        <w:gridCol w:w="2655"/>
      </w:tblGrid>
      <w:tr w:rsidR="0027594B" w:rsidRPr="00646B6F" w14:paraId="6B5EA449" w14:textId="77777777" w:rsidTr="0027594B">
        <w:trPr>
          <w:trHeight w:val="254"/>
          <w:jc w:val="center"/>
        </w:trPr>
        <w:tc>
          <w:tcPr>
            <w:tcW w:w="1189" w:type="dxa"/>
            <w:shd w:val="clear" w:color="auto" w:fill="BDD6EE" w:themeFill="accent1" w:themeFillTint="66"/>
            <w:noWrap/>
            <w:vAlign w:val="center"/>
            <w:hideMark/>
          </w:tcPr>
          <w:p w14:paraId="49023B30" w14:textId="77777777" w:rsidR="0027594B" w:rsidRPr="00646B6F" w:rsidRDefault="0027594B"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Rango</w:t>
            </w:r>
          </w:p>
        </w:tc>
        <w:tc>
          <w:tcPr>
            <w:tcW w:w="2655" w:type="dxa"/>
            <w:shd w:val="clear" w:color="auto" w:fill="BDD6EE" w:themeFill="accent1" w:themeFillTint="66"/>
            <w:noWrap/>
            <w:vAlign w:val="center"/>
            <w:hideMark/>
          </w:tcPr>
          <w:p w14:paraId="75A58EA7" w14:textId="77777777" w:rsidR="0027594B" w:rsidRPr="00646B6F" w:rsidRDefault="0027594B"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Área del Conocimiento</w:t>
            </w:r>
          </w:p>
        </w:tc>
      </w:tr>
      <w:tr w:rsidR="007B7788" w:rsidRPr="00646B6F" w14:paraId="3C743BAF" w14:textId="77777777" w:rsidTr="002708D4">
        <w:trPr>
          <w:trHeight w:val="254"/>
          <w:jc w:val="center"/>
        </w:trPr>
        <w:tc>
          <w:tcPr>
            <w:tcW w:w="1189" w:type="dxa"/>
            <w:shd w:val="clear" w:color="auto" w:fill="auto"/>
            <w:noWrap/>
            <w:hideMark/>
          </w:tcPr>
          <w:p w14:paraId="28D17C08" w14:textId="22C3A52E"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101–125</w:t>
            </w:r>
          </w:p>
        </w:tc>
        <w:tc>
          <w:tcPr>
            <w:tcW w:w="2655" w:type="dxa"/>
            <w:shd w:val="clear" w:color="auto" w:fill="auto"/>
            <w:noWrap/>
            <w:hideMark/>
          </w:tcPr>
          <w:p w14:paraId="07900DF6" w14:textId="33EA48AF"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Artes y Humanidades</w:t>
            </w:r>
          </w:p>
        </w:tc>
      </w:tr>
      <w:tr w:rsidR="007B7788" w:rsidRPr="00646B6F" w14:paraId="6BD4367E" w14:textId="77777777" w:rsidTr="002708D4">
        <w:trPr>
          <w:trHeight w:val="254"/>
          <w:jc w:val="center"/>
        </w:trPr>
        <w:tc>
          <w:tcPr>
            <w:tcW w:w="1189" w:type="dxa"/>
            <w:shd w:val="clear" w:color="auto" w:fill="E7E6E6" w:themeFill="background2"/>
            <w:noWrap/>
            <w:hideMark/>
          </w:tcPr>
          <w:p w14:paraId="52226D95" w14:textId="36918AD0"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176–200</w:t>
            </w:r>
          </w:p>
        </w:tc>
        <w:tc>
          <w:tcPr>
            <w:tcW w:w="2655" w:type="dxa"/>
            <w:shd w:val="clear" w:color="auto" w:fill="E7E6E6" w:themeFill="background2"/>
            <w:noWrap/>
            <w:hideMark/>
          </w:tcPr>
          <w:p w14:paraId="0DD2D223" w14:textId="401FB8B5"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Derecho</w:t>
            </w:r>
          </w:p>
        </w:tc>
      </w:tr>
      <w:tr w:rsidR="007B7788" w:rsidRPr="00646B6F" w14:paraId="2E19A0E4" w14:textId="77777777" w:rsidTr="002708D4">
        <w:trPr>
          <w:trHeight w:val="254"/>
          <w:jc w:val="center"/>
        </w:trPr>
        <w:tc>
          <w:tcPr>
            <w:tcW w:w="1189" w:type="dxa"/>
            <w:shd w:val="clear" w:color="auto" w:fill="auto"/>
            <w:noWrap/>
            <w:hideMark/>
          </w:tcPr>
          <w:p w14:paraId="473B7F4D" w14:textId="73A662A8"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176–200</w:t>
            </w:r>
          </w:p>
        </w:tc>
        <w:tc>
          <w:tcPr>
            <w:tcW w:w="2655" w:type="dxa"/>
            <w:shd w:val="clear" w:color="auto" w:fill="auto"/>
            <w:noWrap/>
            <w:hideMark/>
          </w:tcPr>
          <w:p w14:paraId="508F8CCE" w14:textId="609CE8C9"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Educación</w:t>
            </w:r>
          </w:p>
        </w:tc>
      </w:tr>
      <w:tr w:rsidR="007B7788" w:rsidRPr="00646B6F" w14:paraId="79025C07" w14:textId="77777777" w:rsidTr="002708D4">
        <w:trPr>
          <w:trHeight w:val="254"/>
          <w:jc w:val="center"/>
        </w:trPr>
        <w:tc>
          <w:tcPr>
            <w:tcW w:w="1189" w:type="dxa"/>
            <w:shd w:val="clear" w:color="auto" w:fill="E7E6E6" w:themeFill="background2"/>
            <w:noWrap/>
            <w:hideMark/>
          </w:tcPr>
          <w:p w14:paraId="283E0D71" w14:textId="291BFB2B"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301–400</w:t>
            </w:r>
          </w:p>
        </w:tc>
        <w:tc>
          <w:tcPr>
            <w:tcW w:w="2655" w:type="dxa"/>
            <w:shd w:val="clear" w:color="auto" w:fill="E7E6E6" w:themeFill="background2"/>
            <w:noWrap/>
            <w:hideMark/>
          </w:tcPr>
          <w:p w14:paraId="6F966DE2" w14:textId="7F3CB88F"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Ciencias Sociales</w:t>
            </w:r>
          </w:p>
        </w:tc>
      </w:tr>
      <w:tr w:rsidR="007B7788" w:rsidRPr="00646B6F" w14:paraId="5B7FC014" w14:textId="77777777" w:rsidTr="002708D4">
        <w:trPr>
          <w:trHeight w:val="254"/>
          <w:jc w:val="center"/>
        </w:trPr>
        <w:tc>
          <w:tcPr>
            <w:tcW w:w="1189" w:type="dxa"/>
            <w:shd w:val="clear" w:color="auto" w:fill="auto"/>
            <w:noWrap/>
            <w:hideMark/>
          </w:tcPr>
          <w:p w14:paraId="6A916C28" w14:textId="12F4B45F"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301–400</w:t>
            </w:r>
          </w:p>
        </w:tc>
        <w:tc>
          <w:tcPr>
            <w:tcW w:w="2655" w:type="dxa"/>
            <w:shd w:val="clear" w:color="auto" w:fill="auto"/>
            <w:noWrap/>
            <w:hideMark/>
          </w:tcPr>
          <w:p w14:paraId="67EF1EDC" w14:textId="49588FA5"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Psicología</w:t>
            </w:r>
          </w:p>
        </w:tc>
      </w:tr>
      <w:tr w:rsidR="007B7788" w:rsidRPr="00646B6F" w14:paraId="6F0BF0EA" w14:textId="77777777" w:rsidTr="002708D4">
        <w:trPr>
          <w:trHeight w:val="254"/>
          <w:jc w:val="center"/>
        </w:trPr>
        <w:tc>
          <w:tcPr>
            <w:tcW w:w="1189" w:type="dxa"/>
            <w:shd w:val="clear" w:color="auto" w:fill="E7E6E6" w:themeFill="background2"/>
            <w:noWrap/>
            <w:hideMark/>
          </w:tcPr>
          <w:p w14:paraId="4EF89728" w14:textId="33CFE310"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501–600</w:t>
            </w:r>
          </w:p>
        </w:tc>
        <w:tc>
          <w:tcPr>
            <w:tcW w:w="2655" w:type="dxa"/>
            <w:shd w:val="clear" w:color="auto" w:fill="E7E6E6" w:themeFill="background2"/>
            <w:noWrap/>
            <w:hideMark/>
          </w:tcPr>
          <w:p w14:paraId="31CBB5D8" w14:textId="384D1CAD"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Ciencias de la Vida</w:t>
            </w:r>
          </w:p>
        </w:tc>
      </w:tr>
      <w:tr w:rsidR="007B7788" w:rsidRPr="00646B6F" w14:paraId="1AEE7B2D" w14:textId="77777777" w:rsidTr="002708D4">
        <w:trPr>
          <w:trHeight w:val="254"/>
          <w:jc w:val="center"/>
        </w:trPr>
        <w:tc>
          <w:tcPr>
            <w:tcW w:w="1189" w:type="dxa"/>
            <w:shd w:val="clear" w:color="auto" w:fill="auto"/>
            <w:noWrap/>
            <w:hideMark/>
          </w:tcPr>
          <w:p w14:paraId="38262BDB" w14:textId="414AEAED"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501–600</w:t>
            </w:r>
          </w:p>
        </w:tc>
        <w:tc>
          <w:tcPr>
            <w:tcW w:w="2655" w:type="dxa"/>
            <w:shd w:val="clear" w:color="auto" w:fill="auto"/>
            <w:noWrap/>
            <w:hideMark/>
          </w:tcPr>
          <w:p w14:paraId="2B6D4B4C" w14:textId="52E4EEA8"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Clínica, Pre-Clínica y Salud</w:t>
            </w:r>
          </w:p>
        </w:tc>
      </w:tr>
      <w:tr w:rsidR="007B7788" w:rsidRPr="00646B6F" w14:paraId="6CC72E66" w14:textId="77777777" w:rsidTr="002708D4">
        <w:trPr>
          <w:trHeight w:val="254"/>
          <w:jc w:val="center"/>
        </w:trPr>
        <w:tc>
          <w:tcPr>
            <w:tcW w:w="1189" w:type="dxa"/>
            <w:shd w:val="clear" w:color="auto" w:fill="E7E6E6" w:themeFill="background2"/>
            <w:noWrap/>
            <w:hideMark/>
          </w:tcPr>
          <w:p w14:paraId="49F83BA6" w14:textId="4BB5A1E3"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601–800</w:t>
            </w:r>
          </w:p>
        </w:tc>
        <w:tc>
          <w:tcPr>
            <w:tcW w:w="2655" w:type="dxa"/>
            <w:shd w:val="clear" w:color="auto" w:fill="E7E6E6" w:themeFill="background2"/>
            <w:noWrap/>
            <w:hideMark/>
          </w:tcPr>
          <w:p w14:paraId="53152206" w14:textId="172CE0CA"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Ciencias de la Computación</w:t>
            </w:r>
          </w:p>
        </w:tc>
      </w:tr>
      <w:tr w:rsidR="007B7788" w:rsidRPr="00646B6F" w14:paraId="319E9C98" w14:textId="77777777" w:rsidTr="002708D4">
        <w:trPr>
          <w:trHeight w:val="254"/>
          <w:jc w:val="center"/>
        </w:trPr>
        <w:tc>
          <w:tcPr>
            <w:tcW w:w="1189" w:type="dxa"/>
            <w:shd w:val="clear" w:color="auto" w:fill="auto"/>
            <w:noWrap/>
            <w:hideMark/>
          </w:tcPr>
          <w:p w14:paraId="304BE050" w14:textId="4EBFBB63"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601–800</w:t>
            </w:r>
          </w:p>
        </w:tc>
        <w:tc>
          <w:tcPr>
            <w:tcW w:w="2655" w:type="dxa"/>
            <w:shd w:val="clear" w:color="auto" w:fill="auto"/>
            <w:noWrap/>
            <w:hideMark/>
          </w:tcPr>
          <w:p w14:paraId="69E92E35" w14:textId="75D5E1A0"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Ciencias Físicas</w:t>
            </w:r>
          </w:p>
        </w:tc>
      </w:tr>
      <w:tr w:rsidR="007B7788" w:rsidRPr="00646B6F" w14:paraId="644F7B7B" w14:textId="77777777" w:rsidTr="002708D4">
        <w:trPr>
          <w:trHeight w:val="254"/>
          <w:jc w:val="center"/>
        </w:trPr>
        <w:tc>
          <w:tcPr>
            <w:tcW w:w="1189" w:type="dxa"/>
            <w:shd w:val="clear" w:color="auto" w:fill="E7E6E6" w:themeFill="background2"/>
            <w:noWrap/>
            <w:hideMark/>
          </w:tcPr>
          <w:p w14:paraId="2CEA37EE" w14:textId="40FC5443"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601–800</w:t>
            </w:r>
          </w:p>
        </w:tc>
        <w:tc>
          <w:tcPr>
            <w:tcW w:w="2655" w:type="dxa"/>
            <w:shd w:val="clear" w:color="auto" w:fill="E7E6E6" w:themeFill="background2"/>
            <w:noWrap/>
            <w:hideMark/>
          </w:tcPr>
          <w:p w14:paraId="30706E98" w14:textId="52B231A7"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Ingeniería y Tecnología</w:t>
            </w:r>
          </w:p>
        </w:tc>
      </w:tr>
      <w:tr w:rsidR="007B7788" w:rsidRPr="00646B6F" w14:paraId="71689C46" w14:textId="77777777" w:rsidTr="002708D4">
        <w:trPr>
          <w:trHeight w:val="254"/>
          <w:jc w:val="center"/>
        </w:trPr>
        <w:tc>
          <w:tcPr>
            <w:tcW w:w="1189" w:type="dxa"/>
            <w:shd w:val="clear" w:color="auto" w:fill="auto"/>
            <w:noWrap/>
            <w:hideMark/>
          </w:tcPr>
          <w:p w14:paraId="58411BB6" w14:textId="222F864A" w:rsidR="007B7788" w:rsidRPr="00646B6F" w:rsidRDefault="007B7788" w:rsidP="007B7788">
            <w:pPr>
              <w:spacing w:line="240" w:lineRule="auto"/>
              <w:jc w:val="center"/>
              <w:rPr>
                <w:rFonts w:ascii="Calibri" w:eastAsia="Times New Roman" w:hAnsi="Calibri" w:cs="Calibri"/>
                <w:color w:val="000000"/>
                <w:sz w:val="20"/>
                <w:szCs w:val="20"/>
                <w:lang w:eastAsia="es-MX"/>
              </w:rPr>
            </w:pPr>
            <w:r w:rsidRPr="00646B6F">
              <w:rPr>
                <w:sz w:val="20"/>
                <w:szCs w:val="20"/>
              </w:rPr>
              <w:t>601+</w:t>
            </w:r>
          </w:p>
        </w:tc>
        <w:tc>
          <w:tcPr>
            <w:tcW w:w="2655" w:type="dxa"/>
            <w:shd w:val="clear" w:color="auto" w:fill="auto"/>
            <w:noWrap/>
            <w:hideMark/>
          </w:tcPr>
          <w:p w14:paraId="54D102E3" w14:textId="63C23E87" w:rsidR="007B7788" w:rsidRPr="00646B6F" w:rsidRDefault="007B7788" w:rsidP="007B7788">
            <w:pPr>
              <w:spacing w:line="240" w:lineRule="auto"/>
              <w:rPr>
                <w:rFonts w:ascii="Calibri" w:eastAsia="Times New Roman" w:hAnsi="Calibri" w:cs="Calibri"/>
                <w:color w:val="000000"/>
                <w:sz w:val="20"/>
                <w:szCs w:val="20"/>
                <w:lang w:eastAsia="es-MX"/>
              </w:rPr>
            </w:pPr>
            <w:r w:rsidRPr="00646B6F">
              <w:rPr>
                <w:sz w:val="20"/>
                <w:szCs w:val="20"/>
              </w:rPr>
              <w:t>Negocios y Economía</w:t>
            </w:r>
          </w:p>
        </w:tc>
      </w:tr>
    </w:tbl>
    <w:p w14:paraId="5631FCC5" w14:textId="26DC0286" w:rsidR="00DD36A0" w:rsidRPr="00646B6F" w:rsidRDefault="00DD36A0" w:rsidP="0078703F">
      <w:pPr>
        <w:pStyle w:val="ListParagraph"/>
        <w:spacing w:line="240" w:lineRule="auto"/>
        <w:jc w:val="both"/>
        <w:rPr>
          <w:sz w:val="24"/>
        </w:rPr>
      </w:pPr>
    </w:p>
    <w:p w14:paraId="5C94F4D6" w14:textId="77777777" w:rsidR="00A2224C" w:rsidRPr="00646B6F" w:rsidRDefault="00A2224C" w:rsidP="0078703F">
      <w:pPr>
        <w:pStyle w:val="ListParagraph"/>
        <w:numPr>
          <w:ilvl w:val="0"/>
          <w:numId w:val="1"/>
        </w:numPr>
        <w:spacing w:line="240" w:lineRule="auto"/>
        <w:jc w:val="both"/>
        <w:rPr>
          <w:b/>
          <w:sz w:val="24"/>
        </w:rPr>
      </w:pPr>
      <w:r w:rsidRPr="00646B6F">
        <w:rPr>
          <w:b/>
          <w:sz w:val="24"/>
        </w:rPr>
        <w:t>Metodología e Indicadores</w:t>
      </w:r>
    </w:p>
    <w:p w14:paraId="4E98CAF0" w14:textId="77777777" w:rsidR="00813ACB" w:rsidRPr="00646B6F" w:rsidRDefault="00813ACB" w:rsidP="0078703F">
      <w:pPr>
        <w:pStyle w:val="ListParagraph"/>
        <w:spacing w:line="240" w:lineRule="auto"/>
        <w:jc w:val="both"/>
        <w:rPr>
          <w:b/>
          <w:i/>
          <w:sz w:val="24"/>
        </w:rPr>
      </w:pPr>
    </w:p>
    <w:p w14:paraId="1EFAF11A" w14:textId="77777777" w:rsidR="00813ACB" w:rsidRPr="00646B6F" w:rsidRDefault="00813ACB" w:rsidP="0078703F">
      <w:pPr>
        <w:pStyle w:val="ListParagraph"/>
        <w:spacing w:line="240" w:lineRule="auto"/>
        <w:jc w:val="both"/>
        <w:rPr>
          <w:b/>
          <w:i/>
          <w:sz w:val="24"/>
        </w:rPr>
      </w:pPr>
      <w:r w:rsidRPr="00646B6F">
        <w:rPr>
          <w:b/>
          <w:i/>
          <w:sz w:val="24"/>
        </w:rPr>
        <w:t>Criterio de selección:</w:t>
      </w:r>
    </w:p>
    <w:p w14:paraId="31CD6C8E" w14:textId="0AF66F07" w:rsidR="00D25E24" w:rsidRPr="00646B6F" w:rsidRDefault="00813ACB" w:rsidP="0078703F">
      <w:pPr>
        <w:pStyle w:val="ListParagraph"/>
        <w:spacing w:line="240" w:lineRule="auto"/>
        <w:jc w:val="both"/>
        <w:rPr>
          <w:sz w:val="24"/>
        </w:rPr>
      </w:pPr>
      <w:r w:rsidRPr="00646B6F">
        <w:rPr>
          <w:sz w:val="24"/>
        </w:rPr>
        <w:t xml:space="preserve">Las universidades deben publicar al menos </w:t>
      </w:r>
      <w:r w:rsidR="00E5561C" w:rsidRPr="00646B6F">
        <w:rPr>
          <w:sz w:val="24"/>
        </w:rPr>
        <w:t xml:space="preserve">1,000 </w:t>
      </w:r>
      <w:r w:rsidRPr="00646B6F">
        <w:rPr>
          <w:sz w:val="24"/>
        </w:rPr>
        <w:t>artículos</w:t>
      </w:r>
      <w:r w:rsidR="00E5561C" w:rsidRPr="00646B6F">
        <w:rPr>
          <w:sz w:val="24"/>
        </w:rPr>
        <w:t xml:space="preserve"> de investigación durante un periodo de 5 años.</w:t>
      </w:r>
      <w:r w:rsidR="00D25E24" w:rsidRPr="00646B6F">
        <w:rPr>
          <w:sz w:val="24"/>
        </w:rPr>
        <w:t xml:space="preserve"> </w:t>
      </w:r>
      <w:r w:rsidRPr="00646B6F">
        <w:rPr>
          <w:sz w:val="24"/>
        </w:rPr>
        <w:t xml:space="preserve">Además, el </w:t>
      </w:r>
      <w:r w:rsidRPr="00E170CD">
        <w:rPr>
          <w:sz w:val="24"/>
        </w:rPr>
        <w:t xml:space="preserve">ranking </w:t>
      </w:r>
      <w:r w:rsidRPr="00646B6F">
        <w:rPr>
          <w:sz w:val="24"/>
        </w:rPr>
        <w:t xml:space="preserve">THE </w:t>
      </w:r>
      <w:r w:rsidR="00492C76" w:rsidRPr="00646B6F">
        <w:rPr>
          <w:sz w:val="24"/>
        </w:rPr>
        <w:t xml:space="preserve">por áreas del conocimiento </w:t>
      </w:r>
      <w:r w:rsidRPr="00646B6F">
        <w:rPr>
          <w:sz w:val="24"/>
        </w:rPr>
        <w:t xml:space="preserve">establece un </w:t>
      </w:r>
      <w:r w:rsidR="001E3E33" w:rsidRPr="00646B6F">
        <w:rPr>
          <w:sz w:val="24"/>
        </w:rPr>
        <w:t xml:space="preserve">umbral </w:t>
      </w:r>
      <w:r w:rsidR="001853FC" w:rsidRPr="00646B6F">
        <w:rPr>
          <w:sz w:val="24"/>
        </w:rPr>
        <w:t xml:space="preserve">de publicaciones necesarias que </w:t>
      </w:r>
      <w:r w:rsidR="00D25E24" w:rsidRPr="00646B6F">
        <w:rPr>
          <w:sz w:val="24"/>
        </w:rPr>
        <w:t>varía dependiendo del área de conocimiento</w:t>
      </w:r>
      <w:r w:rsidR="00E170CD">
        <w:rPr>
          <w:sz w:val="24"/>
        </w:rPr>
        <w:t>;</w:t>
      </w:r>
      <w:r w:rsidR="00D25E24" w:rsidRPr="00646B6F">
        <w:rPr>
          <w:sz w:val="24"/>
        </w:rPr>
        <w:t xml:space="preserve"> por ejemplo, para Psicología se requieren 150 artículos publicados</w:t>
      </w:r>
      <w:r w:rsidR="00E170CD">
        <w:rPr>
          <w:sz w:val="24"/>
        </w:rPr>
        <w:t>, mientras que</w:t>
      </w:r>
      <w:r w:rsidR="00D25E24" w:rsidRPr="00646B6F">
        <w:rPr>
          <w:sz w:val="24"/>
        </w:rPr>
        <w:t xml:space="preserve"> para Ciencias de la Vida se requieren 500. </w:t>
      </w:r>
    </w:p>
    <w:p w14:paraId="5D9D19B5" w14:textId="77777777" w:rsidR="00D25E24" w:rsidRPr="00646B6F" w:rsidRDefault="00D25E24" w:rsidP="0078703F">
      <w:pPr>
        <w:pStyle w:val="ListParagraph"/>
        <w:spacing w:line="240" w:lineRule="auto"/>
        <w:jc w:val="both"/>
        <w:rPr>
          <w:sz w:val="24"/>
        </w:rPr>
      </w:pPr>
    </w:p>
    <w:p w14:paraId="3C478FD5" w14:textId="77777777" w:rsidR="002F484F" w:rsidRPr="00F27222" w:rsidRDefault="002F484F" w:rsidP="002F484F">
      <w:pPr>
        <w:pStyle w:val="ListParagraph"/>
        <w:spacing w:line="240" w:lineRule="auto"/>
        <w:jc w:val="both"/>
        <w:rPr>
          <w:b/>
          <w:bCs/>
          <w:i/>
          <w:iCs/>
          <w:sz w:val="24"/>
        </w:rPr>
      </w:pPr>
      <w:r w:rsidRPr="00F27222">
        <w:rPr>
          <w:b/>
          <w:bCs/>
          <w:i/>
          <w:iCs/>
          <w:sz w:val="24"/>
        </w:rPr>
        <w:t xml:space="preserve">Indicadores: </w:t>
      </w:r>
    </w:p>
    <w:p w14:paraId="2065AD6E" w14:textId="77777777" w:rsidR="002F484F" w:rsidRPr="002F484F" w:rsidRDefault="002F484F" w:rsidP="002F484F">
      <w:pPr>
        <w:pStyle w:val="ListParagraph"/>
        <w:spacing w:line="240" w:lineRule="auto"/>
        <w:jc w:val="both"/>
        <w:rPr>
          <w:sz w:val="24"/>
        </w:rPr>
      </w:pPr>
    </w:p>
    <w:p w14:paraId="5D84C90F" w14:textId="3414AECB" w:rsidR="00D25E24" w:rsidRDefault="002F484F" w:rsidP="002F484F">
      <w:pPr>
        <w:pStyle w:val="ListParagraph"/>
        <w:spacing w:line="240" w:lineRule="auto"/>
        <w:jc w:val="both"/>
        <w:rPr>
          <w:sz w:val="24"/>
        </w:rPr>
      </w:pPr>
      <w:r w:rsidRPr="002F484F">
        <w:rPr>
          <w:sz w:val="24"/>
        </w:rPr>
        <w:t xml:space="preserve">El Ranking THE por áreas de conocimiento considera 13 rubros de evaluación que </w:t>
      </w:r>
      <w:r w:rsidR="001D3C14">
        <w:rPr>
          <w:sz w:val="24"/>
        </w:rPr>
        <w:t>se resumen</w:t>
      </w:r>
      <w:r w:rsidRPr="002F484F">
        <w:rPr>
          <w:sz w:val="24"/>
        </w:rPr>
        <w:t xml:space="preserve"> en 5 indicadores:</w:t>
      </w:r>
    </w:p>
    <w:p w14:paraId="0B507793" w14:textId="24AF4A92" w:rsidR="002F484F" w:rsidRDefault="002F484F" w:rsidP="002F484F">
      <w:pPr>
        <w:pStyle w:val="ListParagraph"/>
        <w:spacing w:line="240" w:lineRule="auto"/>
        <w:jc w:val="both"/>
        <w:rPr>
          <w:sz w:val="24"/>
        </w:rPr>
      </w:pPr>
    </w:p>
    <w:tbl>
      <w:tblPr>
        <w:tblW w:w="11119" w:type="dxa"/>
        <w:jc w:val="center"/>
        <w:tblCellMar>
          <w:left w:w="70" w:type="dxa"/>
          <w:right w:w="70" w:type="dxa"/>
        </w:tblCellMar>
        <w:tblLook w:val="04A0" w:firstRow="1" w:lastRow="0" w:firstColumn="1" w:lastColumn="0" w:noHBand="0" w:noVBand="1"/>
      </w:tblPr>
      <w:tblGrid>
        <w:gridCol w:w="2191"/>
        <w:gridCol w:w="8928"/>
      </w:tblGrid>
      <w:tr w:rsidR="002F484F" w:rsidRPr="00921148" w14:paraId="50319D9E" w14:textId="77777777" w:rsidTr="00F27222">
        <w:trPr>
          <w:trHeight w:val="122"/>
          <w:tblHeader/>
          <w:jc w:val="center"/>
        </w:trPr>
        <w:tc>
          <w:tcPr>
            <w:tcW w:w="1980" w:type="dxa"/>
            <w:tcBorders>
              <w:top w:val="single" w:sz="4" w:space="0" w:color="000000"/>
              <w:left w:val="single" w:sz="4" w:space="0" w:color="000000"/>
              <w:bottom w:val="single" w:sz="4" w:space="0" w:color="auto"/>
              <w:right w:val="single" w:sz="4" w:space="0" w:color="000000"/>
            </w:tcBorders>
            <w:shd w:val="clear" w:color="auto" w:fill="BDD6EE" w:themeFill="accent1" w:themeFillTint="66"/>
            <w:noWrap/>
            <w:vAlign w:val="center"/>
            <w:hideMark/>
          </w:tcPr>
          <w:p w14:paraId="06E2AC82" w14:textId="77777777" w:rsidR="002F484F" w:rsidRPr="00921148" w:rsidRDefault="002F484F" w:rsidP="00F27222">
            <w:pPr>
              <w:spacing w:line="240" w:lineRule="auto"/>
              <w:jc w:val="center"/>
              <w:rPr>
                <w:b/>
                <w:sz w:val="18"/>
                <w:szCs w:val="20"/>
              </w:rPr>
            </w:pPr>
            <w:r w:rsidRPr="00921148">
              <w:rPr>
                <w:b/>
                <w:sz w:val="18"/>
                <w:szCs w:val="20"/>
              </w:rPr>
              <w:t>Indicador</w:t>
            </w:r>
          </w:p>
        </w:tc>
        <w:tc>
          <w:tcPr>
            <w:tcW w:w="8069"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4100A11D" w14:textId="77777777" w:rsidR="002F484F" w:rsidRPr="00921148" w:rsidRDefault="002F484F" w:rsidP="00F27222">
            <w:pPr>
              <w:spacing w:line="240" w:lineRule="auto"/>
              <w:jc w:val="center"/>
              <w:rPr>
                <w:b/>
                <w:sz w:val="18"/>
                <w:szCs w:val="20"/>
              </w:rPr>
            </w:pPr>
            <w:r w:rsidRPr="00921148">
              <w:rPr>
                <w:b/>
                <w:sz w:val="18"/>
                <w:szCs w:val="20"/>
              </w:rPr>
              <w:t>Descripción</w:t>
            </w:r>
          </w:p>
        </w:tc>
      </w:tr>
      <w:tr w:rsidR="002F484F" w:rsidRPr="00921148" w14:paraId="36A2686C" w14:textId="77777777" w:rsidTr="00F27222">
        <w:trPr>
          <w:trHeight w:val="239"/>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788633" w14:textId="77777777" w:rsidR="002F484F" w:rsidRPr="00921148" w:rsidRDefault="002F484F" w:rsidP="00F27222">
            <w:pPr>
              <w:spacing w:line="240" w:lineRule="auto"/>
              <w:jc w:val="center"/>
              <w:rPr>
                <w:sz w:val="18"/>
                <w:szCs w:val="20"/>
              </w:rPr>
            </w:pPr>
            <w:r w:rsidRPr="00921148">
              <w:rPr>
                <w:rFonts w:ascii="Calibri" w:hAnsi="Calibri" w:cs="Calibri"/>
                <w:b/>
                <w:bCs/>
                <w:color w:val="000000"/>
                <w:sz w:val="18"/>
                <w:szCs w:val="20"/>
              </w:rPr>
              <w:t xml:space="preserve">Citas </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1CC1172A"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1.- </w:t>
            </w:r>
            <w:r w:rsidRPr="00921148">
              <w:rPr>
                <w:rFonts w:ascii="Calibri" w:hAnsi="Calibri" w:cs="Calibri"/>
                <w:color w:val="000000"/>
                <w:sz w:val="18"/>
                <w:szCs w:val="20"/>
              </w:rPr>
              <w:t>Promedio de citas a los artículos en revistas indexadas en Elsevier Scopus entre la planta académica, en un periodo de 5 años.</w:t>
            </w:r>
          </w:p>
        </w:tc>
      </w:tr>
      <w:tr w:rsidR="002F484F" w:rsidRPr="00921148" w14:paraId="09D54405" w14:textId="77777777" w:rsidTr="00F27222">
        <w:trPr>
          <w:trHeight w:val="26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0F8CB9A0" w14:textId="77777777" w:rsidR="002F484F" w:rsidRPr="00921148" w:rsidRDefault="002F484F" w:rsidP="00F27222">
            <w:pPr>
              <w:spacing w:line="240" w:lineRule="auto"/>
              <w:jc w:val="center"/>
              <w:rPr>
                <w:sz w:val="18"/>
                <w:szCs w:val="20"/>
              </w:rPr>
            </w:pPr>
            <w:r w:rsidRPr="00921148">
              <w:rPr>
                <w:rFonts w:ascii="Calibri" w:hAnsi="Calibri" w:cs="Calibri"/>
                <w:b/>
                <w:bCs/>
                <w:color w:val="000000"/>
                <w:sz w:val="18"/>
                <w:szCs w:val="20"/>
              </w:rPr>
              <w:t xml:space="preserve">Docencia </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24B9E00E" w14:textId="7DB11310" w:rsidR="002F484F" w:rsidRPr="00921148" w:rsidRDefault="002F484F" w:rsidP="00F27222">
            <w:pPr>
              <w:spacing w:line="240" w:lineRule="auto"/>
              <w:rPr>
                <w:sz w:val="18"/>
                <w:szCs w:val="20"/>
              </w:rPr>
            </w:pPr>
            <w:r>
              <w:rPr>
                <w:rFonts w:ascii="Calibri" w:hAnsi="Calibri" w:cs="Calibri"/>
                <w:color w:val="000000"/>
                <w:sz w:val="18"/>
                <w:szCs w:val="20"/>
              </w:rPr>
              <w:t xml:space="preserve">2.- </w:t>
            </w:r>
            <w:r w:rsidRPr="00921148">
              <w:rPr>
                <w:rFonts w:ascii="Calibri" w:hAnsi="Calibri" w:cs="Calibri"/>
                <w:color w:val="000000"/>
                <w:sz w:val="18"/>
                <w:szCs w:val="20"/>
              </w:rPr>
              <w:t xml:space="preserve">Encuesta de reputación sobre </w:t>
            </w:r>
            <w:r w:rsidR="001D3C14">
              <w:rPr>
                <w:rFonts w:ascii="Calibri" w:hAnsi="Calibri" w:cs="Calibri"/>
                <w:color w:val="000000"/>
                <w:sz w:val="18"/>
                <w:szCs w:val="20"/>
              </w:rPr>
              <w:t xml:space="preserve">la </w:t>
            </w:r>
            <w:r w:rsidRPr="00921148">
              <w:rPr>
                <w:rFonts w:ascii="Calibri" w:hAnsi="Calibri" w:cs="Calibri"/>
                <w:color w:val="000000"/>
                <w:sz w:val="18"/>
                <w:szCs w:val="20"/>
              </w:rPr>
              <w:t>docencia aplicada a académicos.</w:t>
            </w:r>
          </w:p>
        </w:tc>
      </w:tr>
      <w:tr w:rsidR="002F484F" w:rsidRPr="00921148" w14:paraId="1525A9E2" w14:textId="77777777" w:rsidTr="00F27222">
        <w:trPr>
          <w:trHeight w:val="269"/>
          <w:jc w:val="center"/>
        </w:trPr>
        <w:tc>
          <w:tcPr>
            <w:tcW w:w="1980" w:type="dxa"/>
            <w:vMerge/>
            <w:tcBorders>
              <w:left w:val="single" w:sz="4" w:space="0" w:color="auto"/>
              <w:right w:val="single" w:sz="4" w:space="0" w:color="auto"/>
            </w:tcBorders>
            <w:shd w:val="clear" w:color="auto" w:fill="auto"/>
            <w:vAlign w:val="center"/>
          </w:tcPr>
          <w:p w14:paraId="559F1981"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53A251B7" w14:textId="4ED2C91B" w:rsidR="002F484F" w:rsidRPr="00921148" w:rsidRDefault="002F484F" w:rsidP="00F27222">
            <w:pPr>
              <w:spacing w:line="240" w:lineRule="auto"/>
              <w:rPr>
                <w:sz w:val="18"/>
                <w:szCs w:val="20"/>
              </w:rPr>
            </w:pPr>
            <w:r>
              <w:rPr>
                <w:rFonts w:ascii="Calibri" w:hAnsi="Calibri" w:cs="Calibri"/>
                <w:color w:val="000000"/>
                <w:sz w:val="18"/>
                <w:szCs w:val="20"/>
              </w:rPr>
              <w:t xml:space="preserve">3.- </w:t>
            </w:r>
            <w:r w:rsidRPr="00921148">
              <w:rPr>
                <w:rFonts w:ascii="Calibri" w:hAnsi="Calibri" w:cs="Calibri"/>
                <w:color w:val="000000"/>
                <w:sz w:val="18"/>
                <w:szCs w:val="20"/>
              </w:rPr>
              <w:t xml:space="preserve">Proporción de estudiantes entre </w:t>
            </w:r>
            <w:r w:rsidR="001D3C14">
              <w:rPr>
                <w:rFonts w:ascii="Calibri" w:hAnsi="Calibri" w:cs="Calibri"/>
                <w:color w:val="000000"/>
                <w:sz w:val="18"/>
                <w:szCs w:val="20"/>
              </w:rPr>
              <w:t xml:space="preserve">el </w:t>
            </w:r>
            <w:r w:rsidRPr="00921148">
              <w:rPr>
                <w:rFonts w:ascii="Calibri" w:hAnsi="Calibri" w:cs="Calibri"/>
                <w:color w:val="000000"/>
                <w:sz w:val="18"/>
                <w:szCs w:val="20"/>
              </w:rPr>
              <w:t>número de académicos.</w:t>
            </w:r>
          </w:p>
        </w:tc>
      </w:tr>
      <w:tr w:rsidR="002F484F" w:rsidRPr="00921148" w14:paraId="390852A7" w14:textId="77777777" w:rsidTr="00F27222">
        <w:trPr>
          <w:trHeight w:val="269"/>
          <w:jc w:val="center"/>
        </w:trPr>
        <w:tc>
          <w:tcPr>
            <w:tcW w:w="1980" w:type="dxa"/>
            <w:vMerge/>
            <w:tcBorders>
              <w:left w:val="single" w:sz="4" w:space="0" w:color="auto"/>
              <w:right w:val="single" w:sz="4" w:space="0" w:color="auto"/>
            </w:tcBorders>
            <w:shd w:val="clear" w:color="auto" w:fill="auto"/>
            <w:vAlign w:val="center"/>
          </w:tcPr>
          <w:p w14:paraId="60F2F2C1"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6357C408"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4.- </w:t>
            </w:r>
            <w:r w:rsidRPr="00921148">
              <w:rPr>
                <w:rFonts w:ascii="Calibri" w:hAnsi="Calibri" w:cs="Calibri"/>
                <w:color w:val="000000"/>
                <w:sz w:val="18"/>
                <w:szCs w:val="20"/>
              </w:rPr>
              <w:t>Doctorados otorgados entre licenciaturas otorgadas.</w:t>
            </w:r>
          </w:p>
        </w:tc>
      </w:tr>
      <w:tr w:rsidR="002F484F" w:rsidRPr="00921148" w14:paraId="4B9797CB" w14:textId="77777777" w:rsidTr="00F27222">
        <w:trPr>
          <w:trHeight w:val="269"/>
          <w:jc w:val="center"/>
        </w:trPr>
        <w:tc>
          <w:tcPr>
            <w:tcW w:w="1980" w:type="dxa"/>
            <w:vMerge/>
            <w:tcBorders>
              <w:left w:val="single" w:sz="4" w:space="0" w:color="auto"/>
              <w:right w:val="single" w:sz="4" w:space="0" w:color="auto"/>
            </w:tcBorders>
            <w:shd w:val="clear" w:color="auto" w:fill="auto"/>
            <w:vAlign w:val="center"/>
          </w:tcPr>
          <w:p w14:paraId="0F57B227"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325A41B5" w14:textId="785B31E8" w:rsidR="002F484F" w:rsidRPr="00921148" w:rsidRDefault="002F484F" w:rsidP="00F27222">
            <w:pPr>
              <w:spacing w:line="240" w:lineRule="auto"/>
              <w:rPr>
                <w:sz w:val="18"/>
                <w:szCs w:val="20"/>
              </w:rPr>
            </w:pPr>
            <w:r>
              <w:rPr>
                <w:rFonts w:ascii="Calibri" w:hAnsi="Calibri" w:cs="Calibri"/>
                <w:color w:val="000000"/>
                <w:sz w:val="18"/>
                <w:szCs w:val="20"/>
              </w:rPr>
              <w:t xml:space="preserve">5.- </w:t>
            </w:r>
            <w:r w:rsidRPr="00921148">
              <w:rPr>
                <w:rFonts w:ascii="Calibri" w:hAnsi="Calibri" w:cs="Calibri"/>
                <w:color w:val="000000"/>
                <w:sz w:val="18"/>
                <w:szCs w:val="20"/>
              </w:rPr>
              <w:t xml:space="preserve">Doctorados otorgados entre </w:t>
            </w:r>
            <w:r w:rsidR="001D3C14">
              <w:rPr>
                <w:rFonts w:ascii="Calibri" w:hAnsi="Calibri" w:cs="Calibri"/>
                <w:color w:val="000000"/>
                <w:sz w:val="18"/>
                <w:szCs w:val="20"/>
              </w:rPr>
              <w:t xml:space="preserve">el </w:t>
            </w:r>
            <w:r w:rsidRPr="00921148">
              <w:rPr>
                <w:rFonts w:ascii="Calibri" w:hAnsi="Calibri" w:cs="Calibri"/>
                <w:color w:val="000000"/>
                <w:sz w:val="18"/>
                <w:szCs w:val="20"/>
              </w:rPr>
              <w:t>número de académicos.</w:t>
            </w:r>
          </w:p>
        </w:tc>
      </w:tr>
      <w:tr w:rsidR="002F484F" w:rsidRPr="00921148" w14:paraId="31D6EFD0" w14:textId="77777777" w:rsidTr="00F27222">
        <w:trPr>
          <w:trHeight w:val="269"/>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11A714D3"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51D6A078" w14:textId="2DB76D60" w:rsidR="002F484F" w:rsidRPr="00921148" w:rsidRDefault="002F484F" w:rsidP="00F27222">
            <w:pPr>
              <w:spacing w:line="240" w:lineRule="auto"/>
              <w:rPr>
                <w:sz w:val="18"/>
                <w:szCs w:val="20"/>
              </w:rPr>
            </w:pPr>
            <w:r>
              <w:rPr>
                <w:rFonts w:ascii="Calibri" w:hAnsi="Calibri" w:cs="Calibri"/>
                <w:color w:val="000000"/>
                <w:sz w:val="18"/>
                <w:szCs w:val="20"/>
              </w:rPr>
              <w:t xml:space="preserve">6.- </w:t>
            </w:r>
            <w:r w:rsidRPr="00921148">
              <w:rPr>
                <w:rFonts w:ascii="Calibri" w:hAnsi="Calibri" w:cs="Calibri"/>
                <w:color w:val="000000"/>
                <w:sz w:val="18"/>
                <w:szCs w:val="20"/>
              </w:rPr>
              <w:t xml:space="preserve">Presupuesto para docencia entre </w:t>
            </w:r>
            <w:r w:rsidR="001D3C14">
              <w:rPr>
                <w:rFonts w:ascii="Calibri" w:hAnsi="Calibri" w:cs="Calibri"/>
                <w:color w:val="000000"/>
                <w:sz w:val="18"/>
                <w:szCs w:val="20"/>
              </w:rPr>
              <w:t xml:space="preserve">el </w:t>
            </w:r>
            <w:r w:rsidRPr="00921148">
              <w:rPr>
                <w:rFonts w:ascii="Calibri" w:hAnsi="Calibri" w:cs="Calibri"/>
                <w:color w:val="000000"/>
                <w:sz w:val="18"/>
                <w:szCs w:val="20"/>
              </w:rPr>
              <w:t>número de académicos.</w:t>
            </w:r>
          </w:p>
        </w:tc>
      </w:tr>
      <w:tr w:rsidR="002F484F" w:rsidRPr="00921148" w14:paraId="46403F90" w14:textId="77777777" w:rsidTr="00F27222">
        <w:trPr>
          <w:trHeight w:val="23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1DBADEB3" w14:textId="77777777" w:rsidR="002F484F" w:rsidRPr="00921148" w:rsidRDefault="002F484F" w:rsidP="00F27222">
            <w:pPr>
              <w:spacing w:line="240" w:lineRule="auto"/>
              <w:jc w:val="center"/>
              <w:rPr>
                <w:sz w:val="18"/>
                <w:szCs w:val="20"/>
              </w:rPr>
            </w:pPr>
            <w:r w:rsidRPr="00921148">
              <w:rPr>
                <w:rFonts w:ascii="Calibri" w:hAnsi="Calibri" w:cs="Calibri"/>
                <w:b/>
                <w:bCs/>
                <w:color w:val="000000"/>
                <w:sz w:val="18"/>
                <w:szCs w:val="20"/>
              </w:rPr>
              <w:lastRenderedPageBreak/>
              <w:t xml:space="preserve">Investigación </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24FE2E3A" w14:textId="0D3549F2" w:rsidR="002F484F" w:rsidRPr="00921148" w:rsidRDefault="002F484F" w:rsidP="00F27222">
            <w:pPr>
              <w:spacing w:line="240" w:lineRule="auto"/>
              <w:rPr>
                <w:sz w:val="18"/>
                <w:szCs w:val="20"/>
              </w:rPr>
            </w:pPr>
            <w:r>
              <w:rPr>
                <w:rFonts w:ascii="Calibri" w:hAnsi="Calibri" w:cs="Calibri"/>
                <w:color w:val="000000"/>
                <w:sz w:val="18"/>
                <w:szCs w:val="20"/>
              </w:rPr>
              <w:t xml:space="preserve">7.- </w:t>
            </w:r>
            <w:r w:rsidRPr="00921148">
              <w:rPr>
                <w:rFonts w:ascii="Calibri" w:hAnsi="Calibri" w:cs="Calibri"/>
                <w:color w:val="000000"/>
                <w:sz w:val="18"/>
                <w:szCs w:val="20"/>
              </w:rPr>
              <w:t>Encuesta de reputación sobre investigación</w:t>
            </w:r>
            <w:r w:rsidR="001D3C14">
              <w:rPr>
                <w:rFonts w:ascii="Calibri" w:hAnsi="Calibri" w:cs="Calibri"/>
                <w:color w:val="000000"/>
                <w:sz w:val="18"/>
                <w:szCs w:val="20"/>
              </w:rPr>
              <w:t>,</w:t>
            </w:r>
            <w:r w:rsidRPr="00921148">
              <w:rPr>
                <w:rFonts w:ascii="Calibri" w:hAnsi="Calibri" w:cs="Calibri"/>
                <w:color w:val="000000"/>
                <w:sz w:val="18"/>
                <w:szCs w:val="20"/>
              </w:rPr>
              <w:t xml:space="preserve"> aplicada a académicos.</w:t>
            </w:r>
          </w:p>
        </w:tc>
      </w:tr>
      <w:tr w:rsidR="002F484F" w:rsidRPr="00921148" w14:paraId="18D1E481" w14:textId="77777777" w:rsidTr="00F27222">
        <w:trPr>
          <w:trHeight w:val="239"/>
          <w:jc w:val="center"/>
        </w:trPr>
        <w:tc>
          <w:tcPr>
            <w:tcW w:w="1980" w:type="dxa"/>
            <w:vMerge/>
            <w:tcBorders>
              <w:left w:val="single" w:sz="4" w:space="0" w:color="auto"/>
              <w:right w:val="single" w:sz="4" w:space="0" w:color="auto"/>
            </w:tcBorders>
            <w:shd w:val="clear" w:color="auto" w:fill="auto"/>
            <w:vAlign w:val="center"/>
          </w:tcPr>
          <w:p w14:paraId="29D33EA5"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281716C9" w14:textId="77777777" w:rsidR="002F484F" w:rsidRPr="00921148" w:rsidRDefault="002F484F" w:rsidP="00F27222">
            <w:pPr>
              <w:spacing w:line="240" w:lineRule="auto"/>
              <w:rPr>
                <w:rFonts w:ascii="Calibri" w:hAnsi="Calibri" w:cs="Calibri"/>
                <w:color w:val="000000"/>
                <w:sz w:val="18"/>
                <w:szCs w:val="20"/>
              </w:rPr>
            </w:pPr>
            <w:r>
              <w:rPr>
                <w:rFonts w:ascii="Calibri" w:hAnsi="Calibri" w:cs="Calibri"/>
                <w:color w:val="000000"/>
                <w:sz w:val="18"/>
                <w:szCs w:val="20"/>
              </w:rPr>
              <w:t xml:space="preserve">8.- </w:t>
            </w:r>
            <w:r w:rsidRPr="00921148">
              <w:rPr>
                <w:rFonts w:ascii="Calibri" w:hAnsi="Calibri" w:cs="Calibri"/>
                <w:color w:val="000000"/>
                <w:sz w:val="18"/>
                <w:szCs w:val="20"/>
              </w:rPr>
              <w:t>Promedio de artículos publicados en revistas indexadas en Elsevier Scopus entre el número de académicos.</w:t>
            </w:r>
          </w:p>
        </w:tc>
      </w:tr>
      <w:tr w:rsidR="002F484F" w:rsidRPr="00921148" w14:paraId="7A6E2C37" w14:textId="77777777" w:rsidTr="00F27222">
        <w:trPr>
          <w:trHeight w:val="239"/>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737E747"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46B07465" w14:textId="7C06D965" w:rsidR="002F484F" w:rsidRPr="00921148" w:rsidRDefault="002F484F" w:rsidP="00F27222">
            <w:pPr>
              <w:spacing w:line="240" w:lineRule="auto"/>
              <w:rPr>
                <w:sz w:val="18"/>
                <w:szCs w:val="20"/>
              </w:rPr>
            </w:pPr>
            <w:r>
              <w:rPr>
                <w:rFonts w:ascii="Calibri" w:hAnsi="Calibri" w:cs="Calibri"/>
                <w:color w:val="000000"/>
                <w:sz w:val="18"/>
                <w:szCs w:val="20"/>
              </w:rPr>
              <w:t xml:space="preserve">9.- </w:t>
            </w:r>
            <w:r w:rsidRPr="00921148">
              <w:rPr>
                <w:rFonts w:ascii="Calibri" w:hAnsi="Calibri" w:cs="Calibri"/>
                <w:color w:val="000000"/>
                <w:sz w:val="18"/>
                <w:szCs w:val="20"/>
              </w:rPr>
              <w:t xml:space="preserve">Financiamiento para investigación entre </w:t>
            </w:r>
            <w:r w:rsidR="001D3C14">
              <w:rPr>
                <w:rFonts w:ascii="Calibri" w:hAnsi="Calibri" w:cs="Calibri"/>
                <w:color w:val="000000"/>
                <w:sz w:val="18"/>
                <w:szCs w:val="20"/>
              </w:rPr>
              <w:t xml:space="preserve">el </w:t>
            </w:r>
            <w:r w:rsidRPr="00921148">
              <w:rPr>
                <w:rFonts w:ascii="Calibri" w:hAnsi="Calibri" w:cs="Calibri"/>
                <w:color w:val="000000"/>
                <w:sz w:val="18"/>
                <w:szCs w:val="20"/>
              </w:rPr>
              <w:t>número de académicos.</w:t>
            </w:r>
          </w:p>
        </w:tc>
      </w:tr>
      <w:tr w:rsidR="002F484F" w:rsidRPr="00921148" w14:paraId="765CBDB4" w14:textId="77777777" w:rsidTr="00F27222">
        <w:trPr>
          <w:trHeight w:val="23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6FA33EE7" w14:textId="77777777" w:rsidR="002F484F" w:rsidRPr="00DA4121" w:rsidRDefault="002F484F" w:rsidP="00F27222">
            <w:pPr>
              <w:spacing w:line="240" w:lineRule="auto"/>
              <w:jc w:val="center"/>
              <w:rPr>
                <w:rFonts w:ascii="Calibri" w:hAnsi="Calibri" w:cs="Calibri"/>
                <w:color w:val="000000"/>
                <w:sz w:val="18"/>
                <w:szCs w:val="18"/>
              </w:rPr>
            </w:pPr>
            <w:r w:rsidRPr="00921148">
              <w:rPr>
                <w:rFonts w:ascii="Calibri" w:hAnsi="Calibri" w:cs="Calibri"/>
                <w:b/>
                <w:bCs/>
                <w:color w:val="000000"/>
                <w:sz w:val="18"/>
                <w:szCs w:val="20"/>
              </w:rPr>
              <w:t>Perspectiva internacional</w:t>
            </w:r>
            <w:r w:rsidRPr="00921148">
              <w:rPr>
                <w:rFonts w:ascii="Calibri" w:hAnsi="Calibri" w:cs="Calibri"/>
                <w:color w:val="000000"/>
                <w:sz w:val="18"/>
                <w:szCs w:val="18"/>
              </w:rPr>
              <w:t xml:space="preserve"> </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64B106BF"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10.- </w:t>
            </w:r>
            <w:r w:rsidRPr="00921148">
              <w:rPr>
                <w:rFonts w:ascii="Calibri" w:hAnsi="Calibri" w:cs="Calibri"/>
                <w:color w:val="000000"/>
                <w:sz w:val="18"/>
                <w:szCs w:val="20"/>
              </w:rPr>
              <w:t>Proporción de académicos internacionales entre académicos nacionales.</w:t>
            </w:r>
          </w:p>
        </w:tc>
      </w:tr>
      <w:tr w:rsidR="002F484F" w:rsidRPr="00921148" w14:paraId="72E38C4D" w14:textId="77777777" w:rsidTr="00F27222">
        <w:trPr>
          <w:trHeight w:val="239"/>
          <w:jc w:val="center"/>
        </w:trPr>
        <w:tc>
          <w:tcPr>
            <w:tcW w:w="1980" w:type="dxa"/>
            <w:vMerge/>
            <w:tcBorders>
              <w:left w:val="single" w:sz="4" w:space="0" w:color="auto"/>
              <w:right w:val="single" w:sz="4" w:space="0" w:color="auto"/>
            </w:tcBorders>
            <w:shd w:val="clear" w:color="auto" w:fill="auto"/>
            <w:vAlign w:val="center"/>
          </w:tcPr>
          <w:p w14:paraId="5EE686F1"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4CD3C2C3"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11.- </w:t>
            </w:r>
            <w:r w:rsidRPr="00921148">
              <w:rPr>
                <w:rFonts w:ascii="Calibri" w:hAnsi="Calibri" w:cs="Calibri"/>
                <w:color w:val="000000"/>
                <w:sz w:val="18"/>
                <w:szCs w:val="20"/>
              </w:rPr>
              <w:t>Proporción de estudiantes internacionales entre estudiantes nacionales</w:t>
            </w:r>
          </w:p>
        </w:tc>
      </w:tr>
      <w:tr w:rsidR="002F484F" w:rsidRPr="00921148" w14:paraId="657639DA" w14:textId="77777777" w:rsidTr="00F27222">
        <w:trPr>
          <w:trHeight w:val="24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1E8A6188" w14:textId="77777777" w:rsidR="002F484F" w:rsidRPr="00921148" w:rsidRDefault="002F484F" w:rsidP="00F27222">
            <w:pPr>
              <w:spacing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3DCC661D"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12.- </w:t>
            </w:r>
            <w:r w:rsidRPr="00921148">
              <w:rPr>
                <w:rFonts w:ascii="Calibri" w:hAnsi="Calibri" w:cs="Calibri"/>
                <w:color w:val="000000"/>
                <w:sz w:val="18"/>
                <w:szCs w:val="20"/>
              </w:rPr>
              <w:t>Proporción de artículos publicados con coautores internacionales.</w:t>
            </w:r>
          </w:p>
        </w:tc>
      </w:tr>
      <w:tr w:rsidR="002F484F" w:rsidRPr="00921148" w14:paraId="23F83BD6" w14:textId="77777777" w:rsidTr="00F27222">
        <w:trPr>
          <w:trHeight w:val="239"/>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965FCD" w14:textId="77777777" w:rsidR="002F484F" w:rsidRPr="00921148" w:rsidRDefault="002F484F" w:rsidP="00F27222">
            <w:pPr>
              <w:spacing w:line="240" w:lineRule="auto"/>
              <w:jc w:val="center"/>
              <w:rPr>
                <w:sz w:val="18"/>
                <w:szCs w:val="20"/>
              </w:rPr>
            </w:pPr>
            <w:r w:rsidRPr="00921148">
              <w:rPr>
                <w:rFonts w:ascii="Calibri" w:hAnsi="Calibri" w:cs="Calibri"/>
                <w:b/>
                <w:bCs/>
                <w:color w:val="000000"/>
                <w:sz w:val="18"/>
                <w:szCs w:val="20"/>
              </w:rPr>
              <w:t>Financiamiento de la industria</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3AE5FBC3" w14:textId="77777777" w:rsidR="002F484F" w:rsidRPr="00921148" w:rsidRDefault="002F484F" w:rsidP="00F27222">
            <w:pPr>
              <w:spacing w:line="240" w:lineRule="auto"/>
              <w:rPr>
                <w:sz w:val="18"/>
                <w:szCs w:val="20"/>
              </w:rPr>
            </w:pPr>
            <w:r>
              <w:rPr>
                <w:rFonts w:ascii="Calibri" w:hAnsi="Calibri" w:cs="Calibri"/>
                <w:color w:val="000000"/>
                <w:sz w:val="18"/>
                <w:szCs w:val="20"/>
              </w:rPr>
              <w:t xml:space="preserve">13.- </w:t>
            </w:r>
            <w:r w:rsidRPr="00921148">
              <w:rPr>
                <w:rFonts w:ascii="Calibri" w:hAnsi="Calibri" w:cs="Calibri"/>
                <w:color w:val="000000"/>
                <w:sz w:val="18"/>
                <w:szCs w:val="20"/>
              </w:rPr>
              <w:t>Financiamiento proveniente de la industria dedicado a la investigación entre el número de académicos.</w:t>
            </w:r>
          </w:p>
        </w:tc>
      </w:tr>
    </w:tbl>
    <w:p w14:paraId="73CC7CF5" w14:textId="4680042F" w:rsidR="002F484F" w:rsidRDefault="002F484F" w:rsidP="002F484F">
      <w:pPr>
        <w:pStyle w:val="ListParagraph"/>
        <w:spacing w:line="240" w:lineRule="auto"/>
        <w:jc w:val="both"/>
        <w:rPr>
          <w:sz w:val="24"/>
        </w:rPr>
      </w:pPr>
    </w:p>
    <w:p w14:paraId="382D50F9" w14:textId="0B57698F" w:rsidR="002F484F" w:rsidRDefault="002F484F" w:rsidP="002F484F">
      <w:pPr>
        <w:pStyle w:val="ListParagraph"/>
        <w:spacing w:line="240" w:lineRule="auto"/>
        <w:jc w:val="both"/>
        <w:rPr>
          <w:sz w:val="24"/>
        </w:rPr>
      </w:pPr>
      <w:r w:rsidRPr="002F484F">
        <w:rPr>
          <w:sz w:val="24"/>
        </w:rPr>
        <w:t>Para cada una de las 11 áreas del conocimiento, el ranking le ha asignado una ponderación diferente según sus criterios metodológicos:</w:t>
      </w:r>
    </w:p>
    <w:p w14:paraId="337946BA" w14:textId="4B99048A" w:rsidR="002F484F" w:rsidRDefault="002F484F" w:rsidP="002F484F">
      <w:pPr>
        <w:pStyle w:val="ListParagraph"/>
        <w:spacing w:line="240" w:lineRule="auto"/>
        <w:jc w:val="both"/>
        <w:rPr>
          <w:sz w:val="24"/>
        </w:rPr>
      </w:pPr>
    </w:p>
    <w:tbl>
      <w:tblPr>
        <w:tblW w:w="10034" w:type="dxa"/>
        <w:jc w:val="center"/>
        <w:tblCellMar>
          <w:left w:w="70" w:type="dxa"/>
          <w:right w:w="70" w:type="dxa"/>
        </w:tblCellMar>
        <w:tblLook w:val="04A0" w:firstRow="1" w:lastRow="0" w:firstColumn="1" w:lastColumn="0" w:noHBand="0" w:noVBand="1"/>
      </w:tblPr>
      <w:tblGrid>
        <w:gridCol w:w="2277"/>
        <w:gridCol w:w="1551"/>
        <w:gridCol w:w="1551"/>
        <w:gridCol w:w="1551"/>
        <w:gridCol w:w="1551"/>
        <w:gridCol w:w="1553"/>
      </w:tblGrid>
      <w:tr w:rsidR="002F484F" w:rsidRPr="002F484F" w14:paraId="36721DEB" w14:textId="77777777" w:rsidTr="00F27222">
        <w:trPr>
          <w:trHeight w:val="230"/>
          <w:jc w:val="center"/>
        </w:trPr>
        <w:tc>
          <w:tcPr>
            <w:tcW w:w="2277" w:type="dxa"/>
            <w:vMerge w:val="restart"/>
            <w:tcBorders>
              <w:top w:val="single" w:sz="4" w:space="0" w:color="auto"/>
              <w:left w:val="single" w:sz="4" w:space="0" w:color="auto"/>
              <w:bottom w:val="single" w:sz="4" w:space="0" w:color="000000"/>
              <w:right w:val="single" w:sz="4" w:space="0" w:color="auto"/>
            </w:tcBorders>
            <w:shd w:val="clear" w:color="000000" w:fill="BDD6EE"/>
            <w:noWrap/>
            <w:vAlign w:val="center"/>
            <w:hideMark/>
          </w:tcPr>
          <w:p w14:paraId="160682BF"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Área del Conocimiento</w:t>
            </w:r>
          </w:p>
        </w:tc>
        <w:tc>
          <w:tcPr>
            <w:tcW w:w="7757" w:type="dxa"/>
            <w:gridSpan w:val="5"/>
            <w:tcBorders>
              <w:top w:val="single" w:sz="4" w:space="0" w:color="auto"/>
              <w:left w:val="nil"/>
              <w:bottom w:val="single" w:sz="4" w:space="0" w:color="auto"/>
              <w:right w:val="single" w:sz="4" w:space="0" w:color="000000"/>
            </w:tcBorders>
            <w:shd w:val="clear" w:color="000000" w:fill="BDD6EE"/>
            <w:noWrap/>
            <w:vAlign w:val="center"/>
            <w:hideMark/>
          </w:tcPr>
          <w:p w14:paraId="12D2A78A"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Ponderación de los indicadores</w:t>
            </w:r>
          </w:p>
        </w:tc>
      </w:tr>
      <w:tr w:rsidR="00322A4C" w:rsidRPr="002F484F" w14:paraId="08574350" w14:textId="77777777" w:rsidTr="00322A4C">
        <w:trPr>
          <w:trHeight w:val="655"/>
          <w:jc w:val="center"/>
        </w:trPr>
        <w:tc>
          <w:tcPr>
            <w:tcW w:w="2277" w:type="dxa"/>
            <w:vMerge/>
            <w:tcBorders>
              <w:top w:val="single" w:sz="4" w:space="0" w:color="auto"/>
              <w:left w:val="single" w:sz="4" w:space="0" w:color="auto"/>
              <w:bottom w:val="single" w:sz="4" w:space="0" w:color="000000"/>
              <w:right w:val="single" w:sz="4" w:space="0" w:color="auto"/>
            </w:tcBorders>
            <w:vAlign w:val="center"/>
            <w:hideMark/>
          </w:tcPr>
          <w:p w14:paraId="52F29078"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p>
        </w:tc>
        <w:tc>
          <w:tcPr>
            <w:tcW w:w="1551" w:type="dxa"/>
            <w:tcBorders>
              <w:top w:val="nil"/>
              <w:left w:val="nil"/>
              <w:bottom w:val="single" w:sz="4" w:space="0" w:color="auto"/>
              <w:right w:val="single" w:sz="4" w:space="0" w:color="auto"/>
            </w:tcBorders>
            <w:shd w:val="clear" w:color="000000" w:fill="DDEBF7"/>
            <w:vAlign w:val="center"/>
            <w:hideMark/>
          </w:tcPr>
          <w:p w14:paraId="3E9D2C1A"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Citas</w:t>
            </w:r>
          </w:p>
        </w:tc>
        <w:tc>
          <w:tcPr>
            <w:tcW w:w="1551" w:type="dxa"/>
            <w:tcBorders>
              <w:top w:val="nil"/>
              <w:left w:val="nil"/>
              <w:bottom w:val="single" w:sz="4" w:space="0" w:color="auto"/>
              <w:right w:val="single" w:sz="4" w:space="0" w:color="auto"/>
            </w:tcBorders>
            <w:shd w:val="clear" w:color="000000" w:fill="DDEBF7"/>
            <w:vAlign w:val="center"/>
            <w:hideMark/>
          </w:tcPr>
          <w:p w14:paraId="2EB1B97D"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Docencia</w:t>
            </w:r>
          </w:p>
        </w:tc>
        <w:tc>
          <w:tcPr>
            <w:tcW w:w="1551" w:type="dxa"/>
            <w:tcBorders>
              <w:top w:val="nil"/>
              <w:left w:val="nil"/>
              <w:bottom w:val="single" w:sz="4" w:space="0" w:color="auto"/>
              <w:right w:val="single" w:sz="4" w:space="0" w:color="auto"/>
            </w:tcBorders>
            <w:shd w:val="clear" w:color="000000" w:fill="DDEBF7"/>
            <w:vAlign w:val="center"/>
            <w:hideMark/>
          </w:tcPr>
          <w:p w14:paraId="7325B44B"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Investigación</w:t>
            </w:r>
          </w:p>
        </w:tc>
        <w:tc>
          <w:tcPr>
            <w:tcW w:w="1551" w:type="dxa"/>
            <w:tcBorders>
              <w:top w:val="nil"/>
              <w:left w:val="nil"/>
              <w:bottom w:val="single" w:sz="4" w:space="0" w:color="auto"/>
              <w:right w:val="single" w:sz="4" w:space="0" w:color="auto"/>
            </w:tcBorders>
            <w:shd w:val="clear" w:color="000000" w:fill="DDEBF7"/>
            <w:vAlign w:val="center"/>
            <w:hideMark/>
          </w:tcPr>
          <w:p w14:paraId="088290D1"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Perspectiva internacional</w:t>
            </w:r>
            <w:r w:rsidRPr="002F484F">
              <w:rPr>
                <w:rFonts w:ascii="Calibri" w:eastAsia="Times New Roman" w:hAnsi="Calibri" w:cs="Calibri"/>
                <w:color w:val="000000"/>
                <w:sz w:val="18"/>
                <w:szCs w:val="18"/>
                <w:lang w:eastAsia="es-MX"/>
              </w:rPr>
              <w:t xml:space="preserve"> </w:t>
            </w:r>
          </w:p>
        </w:tc>
        <w:tc>
          <w:tcPr>
            <w:tcW w:w="1551" w:type="dxa"/>
            <w:tcBorders>
              <w:top w:val="nil"/>
              <w:left w:val="nil"/>
              <w:bottom w:val="single" w:sz="4" w:space="0" w:color="auto"/>
              <w:right w:val="single" w:sz="4" w:space="0" w:color="auto"/>
            </w:tcBorders>
            <w:shd w:val="clear" w:color="000000" w:fill="DDEBF7"/>
            <w:vAlign w:val="center"/>
            <w:hideMark/>
          </w:tcPr>
          <w:p w14:paraId="13FA673D" w14:textId="77777777" w:rsidR="002F484F" w:rsidRPr="002F484F" w:rsidRDefault="002F484F" w:rsidP="002F484F">
            <w:pPr>
              <w:spacing w:line="240" w:lineRule="auto"/>
              <w:jc w:val="center"/>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Financiamiento de la industria</w:t>
            </w:r>
            <w:r w:rsidRPr="002F484F">
              <w:rPr>
                <w:rFonts w:ascii="Calibri" w:eastAsia="Times New Roman" w:hAnsi="Calibri" w:cs="Calibri"/>
                <w:color w:val="000000"/>
                <w:sz w:val="18"/>
                <w:szCs w:val="18"/>
                <w:lang w:eastAsia="es-MX"/>
              </w:rPr>
              <w:t xml:space="preserve"> </w:t>
            </w:r>
          </w:p>
        </w:tc>
      </w:tr>
      <w:tr w:rsidR="002F484F" w:rsidRPr="002F484F" w14:paraId="06B60617"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16BE17BA"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Artes y Humanidades</w:t>
            </w:r>
          </w:p>
        </w:tc>
        <w:tc>
          <w:tcPr>
            <w:tcW w:w="1551" w:type="dxa"/>
            <w:tcBorders>
              <w:top w:val="nil"/>
              <w:left w:val="nil"/>
              <w:bottom w:val="single" w:sz="4" w:space="0" w:color="auto"/>
              <w:right w:val="single" w:sz="4" w:space="0" w:color="auto"/>
            </w:tcBorders>
            <w:shd w:val="clear" w:color="auto" w:fill="auto"/>
            <w:vAlign w:val="center"/>
            <w:hideMark/>
          </w:tcPr>
          <w:p w14:paraId="15A0EEE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15%</w:t>
            </w:r>
          </w:p>
        </w:tc>
        <w:tc>
          <w:tcPr>
            <w:tcW w:w="1551" w:type="dxa"/>
            <w:tcBorders>
              <w:top w:val="nil"/>
              <w:left w:val="nil"/>
              <w:bottom w:val="single" w:sz="4" w:space="0" w:color="auto"/>
              <w:right w:val="single" w:sz="4" w:space="0" w:color="auto"/>
            </w:tcBorders>
            <w:shd w:val="clear" w:color="auto" w:fill="auto"/>
            <w:vAlign w:val="center"/>
            <w:hideMark/>
          </w:tcPr>
          <w:p w14:paraId="59F8B29B"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37.4%</w:t>
            </w:r>
          </w:p>
        </w:tc>
        <w:tc>
          <w:tcPr>
            <w:tcW w:w="1551" w:type="dxa"/>
            <w:tcBorders>
              <w:top w:val="nil"/>
              <w:left w:val="nil"/>
              <w:bottom w:val="single" w:sz="4" w:space="0" w:color="auto"/>
              <w:right w:val="single" w:sz="4" w:space="0" w:color="auto"/>
            </w:tcBorders>
            <w:shd w:val="clear" w:color="auto" w:fill="auto"/>
            <w:vAlign w:val="center"/>
            <w:hideMark/>
          </w:tcPr>
          <w:p w14:paraId="34E8DD18"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37.6%</w:t>
            </w:r>
          </w:p>
        </w:tc>
        <w:tc>
          <w:tcPr>
            <w:tcW w:w="1551" w:type="dxa"/>
            <w:tcBorders>
              <w:top w:val="nil"/>
              <w:left w:val="nil"/>
              <w:bottom w:val="single" w:sz="4" w:space="0" w:color="auto"/>
              <w:right w:val="single" w:sz="4" w:space="0" w:color="auto"/>
            </w:tcBorders>
            <w:shd w:val="clear" w:color="auto" w:fill="auto"/>
            <w:vAlign w:val="center"/>
            <w:hideMark/>
          </w:tcPr>
          <w:p w14:paraId="6476B41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auto"/>
            <w:vAlign w:val="center"/>
            <w:hideMark/>
          </w:tcPr>
          <w:p w14:paraId="38E6BB8E"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322A4C" w:rsidRPr="002F484F" w14:paraId="5196925D" w14:textId="77777777" w:rsidTr="00322A4C">
        <w:trPr>
          <w:trHeight w:val="230"/>
          <w:jc w:val="center"/>
        </w:trPr>
        <w:tc>
          <w:tcPr>
            <w:tcW w:w="22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14491F"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Ciencias de la Computación</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7545D68B"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134479C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4FF79EA"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17F4E49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28F1715C"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5%</w:t>
            </w:r>
          </w:p>
        </w:tc>
      </w:tr>
      <w:tr w:rsidR="002F484F" w:rsidRPr="002F484F" w14:paraId="6AC5AB74"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1879DF9E"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Ciencias de la Vida</w:t>
            </w:r>
          </w:p>
        </w:tc>
        <w:tc>
          <w:tcPr>
            <w:tcW w:w="1551" w:type="dxa"/>
            <w:tcBorders>
              <w:top w:val="nil"/>
              <w:left w:val="nil"/>
              <w:bottom w:val="single" w:sz="4" w:space="0" w:color="auto"/>
              <w:right w:val="single" w:sz="4" w:space="0" w:color="auto"/>
            </w:tcBorders>
            <w:shd w:val="clear" w:color="auto" w:fill="auto"/>
            <w:vAlign w:val="center"/>
            <w:hideMark/>
          </w:tcPr>
          <w:p w14:paraId="16845E1C"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35%</w:t>
            </w:r>
          </w:p>
        </w:tc>
        <w:tc>
          <w:tcPr>
            <w:tcW w:w="1551" w:type="dxa"/>
            <w:tcBorders>
              <w:top w:val="nil"/>
              <w:left w:val="nil"/>
              <w:bottom w:val="single" w:sz="4" w:space="0" w:color="auto"/>
              <w:right w:val="single" w:sz="4" w:space="0" w:color="auto"/>
            </w:tcBorders>
            <w:shd w:val="clear" w:color="auto" w:fill="auto"/>
            <w:vAlign w:val="center"/>
            <w:hideMark/>
          </w:tcPr>
          <w:p w14:paraId="6F1B0401"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auto"/>
            <w:vAlign w:val="center"/>
            <w:hideMark/>
          </w:tcPr>
          <w:p w14:paraId="7A757E2A"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auto"/>
            <w:vAlign w:val="center"/>
            <w:hideMark/>
          </w:tcPr>
          <w:p w14:paraId="08760F5E"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auto"/>
            <w:vAlign w:val="center"/>
            <w:hideMark/>
          </w:tcPr>
          <w:p w14:paraId="3438313C"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322A4C" w:rsidRPr="002F484F" w14:paraId="7D6DB6AF" w14:textId="77777777" w:rsidTr="00322A4C">
        <w:trPr>
          <w:trHeight w:val="230"/>
          <w:jc w:val="center"/>
        </w:trPr>
        <w:tc>
          <w:tcPr>
            <w:tcW w:w="22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4F671E"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Ciencias Físicas</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D33CBFB"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57252D1B"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840453E"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64AD2C98"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6294B196"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2F484F" w:rsidRPr="002F484F" w14:paraId="1FB241BE"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750646B1"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Ciencias Sociales</w:t>
            </w:r>
          </w:p>
        </w:tc>
        <w:tc>
          <w:tcPr>
            <w:tcW w:w="1551" w:type="dxa"/>
            <w:tcBorders>
              <w:top w:val="nil"/>
              <w:left w:val="nil"/>
              <w:bottom w:val="single" w:sz="4" w:space="0" w:color="auto"/>
              <w:right w:val="single" w:sz="4" w:space="0" w:color="auto"/>
            </w:tcBorders>
            <w:shd w:val="clear" w:color="auto" w:fill="auto"/>
            <w:vAlign w:val="center"/>
            <w:hideMark/>
          </w:tcPr>
          <w:p w14:paraId="0CD2DC88"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c>
          <w:tcPr>
            <w:tcW w:w="1551" w:type="dxa"/>
            <w:tcBorders>
              <w:top w:val="nil"/>
              <w:left w:val="nil"/>
              <w:bottom w:val="single" w:sz="4" w:space="0" w:color="auto"/>
              <w:right w:val="single" w:sz="4" w:space="0" w:color="auto"/>
            </w:tcBorders>
            <w:shd w:val="clear" w:color="auto" w:fill="auto"/>
            <w:vAlign w:val="center"/>
            <w:hideMark/>
          </w:tcPr>
          <w:p w14:paraId="1062F3FF"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32.4%</w:t>
            </w:r>
          </w:p>
        </w:tc>
        <w:tc>
          <w:tcPr>
            <w:tcW w:w="1551" w:type="dxa"/>
            <w:tcBorders>
              <w:top w:val="nil"/>
              <w:left w:val="nil"/>
              <w:bottom w:val="single" w:sz="4" w:space="0" w:color="auto"/>
              <w:right w:val="single" w:sz="4" w:space="0" w:color="auto"/>
            </w:tcBorders>
            <w:shd w:val="clear" w:color="auto" w:fill="auto"/>
            <w:vAlign w:val="center"/>
            <w:hideMark/>
          </w:tcPr>
          <w:p w14:paraId="3F374605"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32.6%</w:t>
            </w:r>
          </w:p>
        </w:tc>
        <w:tc>
          <w:tcPr>
            <w:tcW w:w="1551" w:type="dxa"/>
            <w:tcBorders>
              <w:top w:val="nil"/>
              <w:left w:val="nil"/>
              <w:bottom w:val="single" w:sz="4" w:space="0" w:color="auto"/>
              <w:right w:val="single" w:sz="4" w:space="0" w:color="auto"/>
            </w:tcBorders>
            <w:shd w:val="clear" w:color="auto" w:fill="auto"/>
            <w:vAlign w:val="center"/>
            <w:hideMark/>
          </w:tcPr>
          <w:p w14:paraId="4685F32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auto"/>
            <w:vAlign w:val="center"/>
            <w:hideMark/>
          </w:tcPr>
          <w:p w14:paraId="1BCCED24"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322A4C" w:rsidRPr="002F484F" w14:paraId="39596156" w14:textId="77777777" w:rsidTr="00322A4C">
        <w:trPr>
          <w:trHeight w:val="230"/>
          <w:jc w:val="center"/>
        </w:trPr>
        <w:tc>
          <w:tcPr>
            <w:tcW w:w="22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90CA54"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Clínica, Pre-Clínica y Salud</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11AEA3C1"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73CCCF2B"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13349D55"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64849154"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CC84058"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2F484F" w:rsidRPr="002F484F" w14:paraId="3BC4363E"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34F7F344"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Derecho</w:t>
            </w:r>
          </w:p>
        </w:tc>
        <w:tc>
          <w:tcPr>
            <w:tcW w:w="1551" w:type="dxa"/>
            <w:tcBorders>
              <w:top w:val="nil"/>
              <w:left w:val="nil"/>
              <w:bottom w:val="single" w:sz="4" w:space="0" w:color="auto"/>
              <w:right w:val="single" w:sz="4" w:space="0" w:color="auto"/>
            </w:tcBorders>
            <w:shd w:val="clear" w:color="auto" w:fill="auto"/>
            <w:vAlign w:val="center"/>
            <w:hideMark/>
          </w:tcPr>
          <w:p w14:paraId="273C351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c>
          <w:tcPr>
            <w:tcW w:w="1551" w:type="dxa"/>
            <w:tcBorders>
              <w:top w:val="nil"/>
              <w:left w:val="nil"/>
              <w:bottom w:val="single" w:sz="4" w:space="0" w:color="auto"/>
              <w:right w:val="single" w:sz="4" w:space="0" w:color="auto"/>
            </w:tcBorders>
            <w:shd w:val="clear" w:color="auto" w:fill="auto"/>
            <w:vAlign w:val="center"/>
            <w:hideMark/>
          </w:tcPr>
          <w:p w14:paraId="4BCCC45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32.7%</w:t>
            </w:r>
          </w:p>
        </w:tc>
        <w:tc>
          <w:tcPr>
            <w:tcW w:w="1551" w:type="dxa"/>
            <w:tcBorders>
              <w:top w:val="nil"/>
              <w:left w:val="nil"/>
              <w:bottom w:val="single" w:sz="4" w:space="0" w:color="auto"/>
              <w:right w:val="single" w:sz="4" w:space="0" w:color="auto"/>
            </w:tcBorders>
            <w:shd w:val="clear" w:color="auto" w:fill="auto"/>
            <w:vAlign w:val="center"/>
            <w:hideMark/>
          </w:tcPr>
          <w:p w14:paraId="0994039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30.8%</w:t>
            </w:r>
          </w:p>
        </w:tc>
        <w:tc>
          <w:tcPr>
            <w:tcW w:w="1551" w:type="dxa"/>
            <w:tcBorders>
              <w:top w:val="nil"/>
              <w:left w:val="nil"/>
              <w:bottom w:val="single" w:sz="4" w:space="0" w:color="auto"/>
              <w:right w:val="single" w:sz="4" w:space="0" w:color="auto"/>
            </w:tcBorders>
            <w:shd w:val="clear" w:color="auto" w:fill="auto"/>
            <w:vAlign w:val="center"/>
            <w:hideMark/>
          </w:tcPr>
          <w:p w14:paraId="0E595E44"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9%</w:t>
            </w:r>
          </w:p>
        </w:tc>
        <w:tc>
          <w:tcPr>
            <w:tcW w:w="1551" w:type="dxa"/>
            <w:tcBorders>
              <w:top w:val="nil"/>
              <w:left w:val="nil"/>
              <w:bottom w:val="single" w:sz="4" w:space="0" w:color="auto"/>
              <w:right w:val="single" w:sz="4" w:space="0" w:color="auto"/>
            </w:tcBorders>
            <w:shd w:val="clear" w:color="auto" w:fill="auto"/>
            <w:vAlign w:val="center"/>
            <w:hideMark/>
          </w:tcPr>
          <w:p w14:paraId="15821DF6"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322A4C" w:rsidRPr="002F484F" w14:paraId="6934F5FB" w14:textId="77777777" w:rsidTr="00322A4C">
        <w:trPr>
          <w:trHeight w:val="230"/>
          <w:jc w:val="center"/>
        </w:trPr>
        <w:tc>
          <w:tcPr>
            <w:tcW w:w="22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61B420"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Educación</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C481407"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043539AC"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32.7%</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08F228E5"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29.8%</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D178F84"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1BE988E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2F484F" w:rsidRPr="002F484F" w14:paraId="3F62A5FB"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2FCD7AA5"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Ingeniería y Tecnología</w:t>
            </w:r>
          </w:p>
        </w:tc>
        <w:tc>
          <w:tcPr>
            <w:tcW w:w="1551" w:type="dxa"/>
            <w:tcBorders>
              <w:top w:val="nil"/>
              <w:left w:val="nil"/>
              <w:bottom w:val="single" w:sz="4" w:space="0" w:color="auto"/>
              <w:right w:val="single" w:sz="4" w:space="0" w:color="auto"/>
            </w:tcBorders>
            <w:shd w:val="clear" w:color="auto" w:fill="auto"/>
            <w:vAlign w:val="center"/>
            <w:hideMark/>
          </w:tcPr>
          <w:p w14:paraId="78E6EB5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auto"/>
            <w:vAlign w:val="center"/>
            <w:hideMark/>
          </w:tcPr>
          <w:p w14:paraId="4DDEB1C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w:t>
            </w:r>
          </w:p>
        </w:tc>
        <w:tc>
          <w:tcPr>
            <w:tcW w:w="1551" w:type="dxa"/>
            <w:tcBorders>
              <w:top w:val="nil"/>
              <w:left w:val="nil"/>
              <w:bottom w:val="single" w:sz="4" w:space="0" w:color="auto"/>
              <w:right w:val="single" w:sz="4" w:space="0" w:color="auto"/>
            </w:tcBorders>
            <w:shd w:val="clear" w:color="auto" w:fill="auto"/>
            <w:vAlign w:val="center"/>
            <w:hideMark/>
          </w:tcPr>
          <w:p w14:paraId="73563AD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w:t>
            </w:r>
          </w:p>
        </w:tc>
        <w:tc>
          <w:tcPr>
            <w:tcW w:w="1551" w:type="dxa"/>
            <w:tcBorders>
              <w:top w:val="nil"/>
              <w:left w:val="nil"/>
              <w:bottom w:val="single" w:sz="4" w:space="0" w:color="auto"/>
              <w:right w:val="single" w:sz="4" w:space="0" w:color="auto"/>
            </w:tcBorders>
            <w:shd w:val="clear" w:color="auto" w:fill="auto"/>
            <w:vAlign w:val="center"/>
            <w:hideMark/>
          </w:tcPr>
          <w:p w14:paraId="4E1B2783"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auto"/>
            <w:vAlign w:val="center"/>
            <w:hideMark/>
          </w:tcPr>
          <w:p w14:paraId="02C7A07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5%</w:t>
            </w:r>
          </w:p>
        </w:tc>
      </w:tr>
      <w:tr w:rsidR="00322A4C" w:rsidRPr="002F484F" w14:paraId="742615F1" w14:textId="77777777" w:rsidTr="00322A4C">
        <w:trPr>
          <w:trHeight w:val="230"/>
          <w:jc w:val="center"/>
        </w:trPr>
        <w:tc>
          <w:tcPr>
            <w:tcW w:w="22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8657FD"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Negocios y Economía</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2AEA7288"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7F389B47"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30.9%</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39A9E4C2"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32.6%</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45B9CAF5"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9%</w:t>
            </w:r>
          </w:p>
        </w:tc>
        <w:tc>
          <w:tcPr>
            <w:tcW w:w="1551" w:type="dxa"/>
            <w:tcBorders>
              <w:top w:val="nil"/>
              <w:left w:val="nil"/>
              <w:bottom w:val="single" w:sz="4" w:space="0" w:color="auto"/>
              <w:right w:val="single" w:sz="4" w:space="0" w:color="auto"/>
            </w:tcBorders>
            <w:shd w:val="clear" w:color="auto" w:fill="F2F2F2" w:themeFill="background1" w:themeFillShade="F2"/>
            <w:vAlign w:val="center"/>
            <w:hideMark/>
          </w:tcPr>
          <w:p w14:paraId="03ABE2BD"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r w:rsidR="002F484F" w:rsidRPr="002F484F" w14:paraId="0897FCCB" w14:textId="77777777" w:rsidTr="00F27222">
        <w:trPr>
          <w:trHeight w:val="230"/>
          <w:jc w:val="center"/>
        </w:trPr>
        <w:tc>
          <w:tcPr>
            <w:tcW w:w="2277" w:type="dxa"/>
            <w:tcBorders>
              <w:top w:val="nil"/>
              <w:left w:val="single" w:sz="4" w:space="0" w:color="auto"/>
              <w:bottom w:val="single" w:sz="4" w:space="0" w:color="auto"/>
              <w:right w:val="single" w:sz="4" w:space="0" w:color="auto"/>
            </w:tcBorders>
            <w:shd w:val="clear" w:color="auto" w:fill="auto"/>
            <w:vAlign w:val="center"/>
            <w:hideMark/>
          </w:tcPr>
          <w:p w14:paraId="7424C1F9" w14:textId="77777777" w:rsidR="002F484F" w:rsidRPr="002F484F" w:rsidRDefault="002F484F" w:rsidP="002F484F">
            <w:pPr>
              <w:spacing w:line="240" w:lineRule="auto"/>
              <w:rPr>
                <w:rFonts w:ascii="Calibri" w:eastAsia="Times New Roman" w:hAnsi="Calibri" w:cs="Calibri"/>
                <w:b/>
                <w:bCs/>
                <w:color w:val="000000"/>
                <w:sz w:val="18"/>
                <w:szCs w:val="18"/>
                <w:lang w:eastAsia="es-MX"/>
              </w:rPr>
            </w:pPr>
            <w:r w:rsidRPr="002F484F">
              <w:rPr>
                <w:rFonts w:ascii="Calibri" w:eastAsia="Times New Roman" w:hAnsi="Calibri" w:cs="Calibri"/>
                <w:b/>
                <w:bCs/>
                <w:color w:val="000000"/>
                <w:sz w:val="18"/>
                <w:szCs w:val="18"/>
                <w:lang w:eastAsia="es-MX"/>
              </w:rPr>
              <w:t>Psicología</w:t>
            </w:r>
          </w:p>
        </w:tc>
        <w:tc>
          <w:tcPr>
            <w:tcW w:w="1551" w:type="dxa"/>
            <w:tcBorders>
              <w:top w:val="nil"/>
              <w:left w:val="nil"/>
              <w:bottom w:val="single" w:sz="4" w:space="0" w:color="auto"/>
              <w:right w:val="single" w:sz="4" w:space="0" w:color="auto"/>
            </w:tcBorders>
            <w:shd w:val="clear" w:color="auto" w:fill="auto"/>
            <w:vAlign w:val="center"/>
            <w:hideMark/>
          </w:tcPr>
          <w:p w14:paraId="41325E60"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35%</w:t>
            </w:r>
          </w:p>
        </w:tc>
        <w:tc>
          <w:tcPr>
            <w:tcW w:w="1551" w:type="dxa"/>
            <w:tcBorders>
              <w:top w:val="nil"/>
              <w:left w:val="nil"/>
              <w:bottom w:val="single" w:sz="4" w:space="0" w:color="auto"/>
              <w:right w:val="single" w:sz="4" w:space="0" w:color="auto"/>
            </w:tcBorders>
            <w:shd w:val="clear" w:color="auto" w:fill="auto"/>
            <w:vAlign w:val="center"/>
            <w:hideMark/>
          </w:tcPr>
          <w:p w14:paraId="445B5886"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auto"/>
            <w:vAlign w:val="center"/>
            <w:hideMark/>
          </w:tcPr>
          <w:p w14:paraId="7F5FE9BD"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27.5%</w:t>
            </w:r>
          </w:p>
        </w:tc>
        <w:tc>
          <w:tcPr>
            <w:tcW w:w="1551" w:type="dxa"/>
            <w:tcBorders>
              <w:top w:val="nil"/>
              <w:left w:val="nil"/>
              <w:bottom w:val="single" w:sz="4" w:space="0" w:color="auto"/>
              <w:right w:val="single" w:sz="4" w:space="0" w:color="auto"/>
            </w:tcBorders>
            <w:shd w:val="clear" w:color="auto" w:fill="auto"/>
            <w:vAlign w:val="center"/>
            <w:hideMark/>
          </w:tcPr>
          <w:p w14:paraId="1D96E86E"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7.5%</w:t>
            </w:r>
          </w:p>
        </w:tc>
        <w:tc>
          <w:tcPr>
            <w:tcW w:w="1551" w:type="dxa"/>
            <w:tcBorders>
              <w:top w:val="nil"/>
              <w:left w:val="nil"/>
              <w:bottom w:val="single" w:sz="4" w:space="0" w:color="auto"/>
              <w:right w:val="single" w:sz="4" w:space="0" w:color="auto"/>
            </w:tcBorders>
            <w:shd w:val="clear" w:color="auto" w:fill="auto"/>
            <w:vAlign w:val="center"/>
            <w:hideMark/>
          </w:tcPr>
          <w:p w14:paraId="415F85AC" w14:textId="77777777" w:rsidR="002F484F" w:rsidRPr="002F484F" w:rsidRDefault="002F484F" w:rsidP="002F484F">
            <w:pPr>
              <w:spacing w:line="240" w:lineRule="auto"/>
              <w:jc w:val="center"/>
              <w:rPr>
                <w:rFonts w:ascii="Calibri" w:eastAsia="Times New Roman" w:hAnsi="Calibri" w:cs="Calibri"/>
                <w:color w:val="000000"/>
                <w:sz w:val="18"/>
                <w:szCs w:val="18"/>
                <w:lang w:eastAsia="es-MX"/>
              </w:rPr>
            </w:pPr>
            <w:r w:rsidRPr="002F484F">
              <w:rPr>
                <w:rFonts w:ascii="Calibri" w:eastAsia="Times New Roman" w:hAnsi="Calibri" w:cs="Calibri"/>
                <w:color w:val="000000"/>
                <w:sz w:val="18"/>
                <w:szCs w:val="18"/>
                <w:lang w:eastAsia="es-MX"/>
              </w:rPr>
              <w:t>2.5%</w:t>
            </w:r>
          </w:p>
        </w:tc>
      </w:tr>
    </w:tbl>
    <w:p w14:paraId="48500629" w14:textId="77777777" w:rsidR="002F484F" w:rsidRDefault="002F484F" w:rsidP="002F484F">
      <w:pPr>
        <w:pStyle w:val="ListParagraph"/>
        <w:spacing w:line="240" w:lineRule="auto"/>
        <w:jc w:val="both"/>
        <w:rPr>
          <w:sz w:val="24"/>
        </w:rPr>
      </w:pPr>
    </w:p>
    <w:p w14:paraId="01248E7F" w14:textId="4EA916DF" w:rsidR="00236AB1" w:rsidRPr="00646B6F" w:rsidRDefault="00D1618B" w:rsidP="0078703F">
      <w:pPr>
        <w:pStyle w:val="ListParagraph"/>
        <w:spacing w:line="240" w:lineRule="auto"/>
        <w:jc w:val="both"/>
        <w:rPr>
          <w:sz w:val="24"/>
        </w:rPr>
      </w:pPr>
      <w:r w:rsidRPr="00646B6F">
        <w:rPr>
          <w:sz w:val="24"/>
        </w:rPr>
        <w:t>Todos los puntajes del ranking se encuentran normalizados con referencia al valor de 100 puntos asignados a la universidad con mejor desempeño en cada indicador</w:t>
      </w:r>
      <w:r w:rsidR="00236AB1" w:rsidRPr="00646B6F">
        <w:rPr>
          <w:sz w:val="24"/>
        </w:rPr>
        <w:t>.</w:t>
      </w:r>
    </w:p>
    <w:p w14:paraId="73724C67" w14:textId="77777777" w:rsidR="00922309" w:rsidRPr="00646B6F" w:rsidRDefault="00922309" w:rsidP="0078703F">
      <w:pPr>
        <w:spacing w:line="240" w:lineRule="auto"/>
        <w:rPr>
          <w:b/>
          <w:sz w:val="24"/>
        </w:rPr>
      </w:pPr>
    </w:p>
    <w:p w14:paraId="5BC37BB3" w14:textId="77777777" w:rsidR="00A91F3D" w:rsidRPr="00646B6F" w:rsidRDefault="00A91F3D" w:rsidP="0078703F">
      <w:pPr>
        <w:pStyle w:val="ListParagraph"/>
        <w:spacing w:line="240" w:lineRule="auto"/>
        <w:jc w:val="both"/>
        <w:rPr>
          <w:sz w:val="24"/>
        </w:rPr>
      </w:pPr>
      <w:r w:rsidRPr="00646B6F">
        <w:rPr>
          <w:b/>
          <w:sz w:val="24"/>
        </w:rPr>
        <w:t>Resultados por áreas de conocimiento</w:t>
      </w:r>
    </w:p>
    <w:p w14:paraId="6B6E64C8" w14:textId="131763CC" w:rsidR="003857A7" w:rsidRDefault="003857A7" w:rsidP="00527C02">
      <w:pPr>
        <w:pStyle w:val="ListParagraph"/>
        <w:numPr>
          <w:ilvl w:val="0"/>
          <w:numId w:val="1"/>
        </w:numPr>
        <w:spacing w:line="240" w:lineRule="auto"/>
        <w:jc w:val="both"/>
        <w:rPr>
          <w:sz w:val="24"/>
        </w:rPr>
      </w:pPr>
      <w:r w:rsidRPr="00646B6F">
        <w:rPr>
          <w:sz w:val="24"/>
        </w:rPr>
        <w:t xml:space="preserve">En el </w:t>
      </w:r>
      <w:r w:rsidR="008E3A39">
        <w:rPr>
          <w:sz w:val="24"/>
        </w:rPr>
        <w:t xml:space="preserve">ranking </w:t>
      </w:r>
      <w:r w:rsidRPr="00646B6F">
        <w:rPr>
          <w:sz w:val="24"/>
        </w:rPr>
        <w:t>THE por áreas del conocimiento 20</w:t>
      </w:r>
      <w:r w:rsidR="008C72D8" w:rsidRPr="00646B6F">
        <w:rPr>
          <w:sz w:val="24"/>
        </w:rPr>
        <w:t>2</w:t>
      </w:r>
      <w:r w:rsidR="00771A51">
        <w:rPr>
          <w:sz w:val="24"/>
        </w:rPr>
        <w:t>1</w:t>
      </w:r>
      <w:r w:rsidRPr="00646B6F">
        <w:rPr>
          <w:sz w:val="24"/>
        </w:rPr>
        <w:t>, fueron clasificadas un total de</w:t>
      </w:r>
      <w:r w:rsidR="00671354" w:rsidRPr="00646B6F">
        <w:rPr>
          <w:sz w:val="24"/>
        </w:rPr>
        <w:t xml:space="preserve"> </w:t>
      </w:r>
      <w:r w:rsidR="004711CF" w:rsidRPr="00646B6F">
        <w:rPr>
          <w:sz w:val="24"/>
        </w:rPr>
        <w:t>1</w:t>
      </w:r>
      <w:r w:rsidR="00527C02" w:rsidRPr="00646B6F">
        <w:rPr>
          <w:sz w:val="24"/>
        </w:rPr>
        <w:t>6</w:t>
      </w:r>
      <w:r w:rsidR="004711CF" w:rsidRPr="00646B6F">
        <w:rPr>
          <w:sz w:val="24"/>
        </w:rPr>
        <w:t>6</w:t>
      </w:r>
      <w:r w:rsidRPr="00646B6F">
        <w:rPr>
          <w:sz w:val="24"/>
        </w:rPr>
        <w:t xml:space="preserve"> universidades iberoamericanas</w:t>
      </w:r>
      <w:r w:rsidR="00527C02" w:rsidRPr="00646B6F">
        <w:rPr>
          <w:sz w:val="24"/>
        </w:rPr>
        <w:t xml:space="preserve"> de </w:t>
      </w:r>
      <w:r w:rsidR="00E170CD">
        <w:rPr>
          <w:sz w:val="24"/>
        </w:rPr>
        <w:t>11</w:t>
      </w:r>
      <w:r w:rsidR="004711CF" w:rsidRPr="00646B6F">
        <w:rPr>
          <w:sz w:val="24"/>
        </w:rPr>
        <w:t xml:space="preserve"> </w:t>
      </w:r>
      <w:r w:rsidRPr="00646B6F">
        <w:rPr>
          <w:sz w:val="24"/>
        </w:rPr>
        <w:t>países</w:t>
      </w:r>
      <w:r w:rsidR="00E170CD">
        <w:rPr>
          <w:sz w:val="24"/>
        </w:rPr>
        <w:t>. A</w:t>
      </w:r>
      <w:r w:rsidRPr="00646B6F">
        <w:rPr>
          <w:sz w:val="24"/>
        </w:rPr>
        <w:t xml:space="preserve"> continuación</w:t>
      </w:r>
      <w:r w:rsidR="00E170CD">
        <w:rPr>
          <w:sz w:val="24"/>
        </w:rPr>
        <w:t>,</w:t>
      </w:r>
      <w:r w:rsidRPr="00646B6F">
        <w:rPr>
          <w:sz w:val="24"/>
        </w:rPr>
        <w:t xml:space="preserve"> se presentan los datos del número de universidades por país clasificadas en </w:t>
      </w:r>
      <w:r w:rsidR="004660D3" w:rsidRPr="00646B6F">
        <w:rPr>
          <w:sz w:val="24"/>
        </w:rPr>
        <w:t xml:space="preserve">al menos un </w:t>
      </w:r>
      <w:r w:rsidRPr="00646B6F">
        <w:rPr>
          <w:sz w:val="24"/>
        </w:rPr>
        <w:t xml:space="preserve">área del conocimiento, así como el puntaje obtenido por las universidades </w:t>
      </w:r>
      <w:r w:rsidR="00681D20" w:rsidRPr="00646B6F">
        <w:rPr>
          <w:sz w:val="24"/>
        </w:rPr>
        <w:t xml:space="preserve">en </w:t>
      </w:r>
      <w:r w:rsidR="00E170CD">
        <w:rPr>
          <w:sz w:val="24"/>
        </w:rPr>
        <w:t>los primeros 10 lugares (TOP</w:t>
      </w:r>
      <w:r w:rsidR="00681D20" w:rsidRPr="00646B6F">
        <w:rPr>
          <w:sz w:val="24"/>
        </w:rPr>
        <w:t xml:space="preserve"> 10</w:t>
      </w:r>
      <w:r w:rsidR="00E170CD">
        <w:rPr>
          <w:sz w:val="24"/>
        </w:rPr>
        <w:t>)</w:t>
      </w:r>
      <w:r w:rsidR="00681D20" w:rsidRPr="00646B6F">
        <w:rPr>
          <w:sz w:val="24"/>
        </w:rPr>
        <w:t xml:space="preserve"> </w:t>
      </w:r>
      <w:r w:rsidRPr="00646B6F">
        <w:rPr>
          <w:sz w:val="24"/>
        </w:rPr>
        <w:t>en los diferentes indicadores.</w:t>
      </w:r>
    </w:p>
    <w:p w14:paraId="035C4176" w14:textId="33419CEF" w:rsidR="00322A4C" w:rsidRDefault="00322A4C" w:rsidP="00322A4C">
      <w:pPr>
        <w:spacing w:line="240" w:lineRule="auto"/>
        <w:jc w:val="both"/>
        <w:rPr>
          <w:sz w:val="24"/>
        </w:rPr>
      </w:pPr>
    </w:p>
    <w:p w14:paraId="772E57B6" w14:textId="47E7C79E" w:rsidR="00322A4C" w:rsidRDefault="00322A4C" w:rsidP="00322A4C">
      <w:pPr>
        <w:spacing w:line="240" w:lineRule="auto"/>
        <w:jc w:val="both"/>
        <w:rPr>
          <w:sz w:val="24"/>
        </w:rPr>
      </w:pPr>
    </w:p>
    <w:p w14:paraId="21E1E4D2" w14:textId="72141FC2" w:rsidR="00322A4C" w:rsidRDefault="00322A4C" w:rsidP="00322A4C">
      <w:pPr>
        <w:spacing w:line="240" w:lineRule="auto"/>
        <w:jc w:val="both"/>
        <w:rPr>
          <w:sz w:val="24"/>
        </w:rPr>
      </w:pPr>
    </w:p>
    <w:p w14:paraId="09133CA8" w14:textId="420AB127" w:rsidR="00322A4C" w:rsidRDefault="00322A4C" w:rsidP="00322A4C">
      <w:pPr>
        <w:spacing w:line="240" w:lineRule="auto"/>
        <w:jc w:val="both"/>
        <w:rPr>
          <w:sz w:val="24"/>
        </w:rPr>
      </w:pPr>
    </w:p>
    <w:p w14:paraId="2F3B00E2" w14:textId="059D9E2B" w:rsidR="00322A4C" w:rsidRDefault="00322A4C" w:rsidP="00322A4C">
      <w:pPr>
        <w:spacing w:line="240" w:lineRule="auto"/>
        <w:jc w:val="both"/>
        <w:rPr>
          <w:sz w:val="24"/>
        </w:rPr>
      </w:pPr>
    </w:p>
    <w:p w14:paraId="0AC996B7" w14:textId="72A79BB5" w:rsidR="00322A4C" w:rsidRDefault="00322A4C" w:rsidP="00322A4C">
      <w:pPr>
        <w:spacing w:line="240" w:lineRule="auto"/>
        <w:jc w:val="both"/>
        <w:rPr>
          <w:sz w:val="24"/>
        </w:rPr>
      </w:pPr>
    </w:p>
    <w:p w14:paraId="230D558F" w14:textId="51980A84" w:rsidR="00322A4C" w:rsidRDefault="00322A4C" w:rsidP="00322A4C">
      <w:pPr>
        <w:spacing w:line="240" w:lineRule="auto"/>
        <w:jc w:val="both"/>
        <w:rPr>
          <w:sz w:val="24"/>
        </w:rPr>
      </w:pPr>
    </w:p>
    <w:p w14:paraId="50D8534D" w14:textId="160099A6" w:rsidR="00322A4C" w:rsidRDefault="00322A4C" w:rsidP="00322A4C">
      <w:pPr>
        <w:spacing w:line="240" w:lineRule="auto"/>
        <w:jc w:val="both"/>
        <w:rPr>
          <w:sz w:val="24"/>
        </w:rPr>
      </w:pPr>
    </w:p>
    <w:p w14:paraId="671879CF" w14:textId="77777777" w:rsidR="00322A4C" w:rsidRPr="00F27222" w:rsidRDefault="00322A4C" w:rsidP="00F27222">
      <w:pPr>
        <w:spacing w:line="240" w:lineRule="auto"/>
        <w:jc w:val="both"/>
        <w:rPr>
          <w:sz w:val="24"/>
        </w:rPr>
      </w:pPr>
    </w:p>
    <w:p w14:paraId="4B16BAF5" w14:textId="77777777" w:rsidR="002A1E33" w:rsidRPr="00646B6F" w:rsidRDefault="002A1E33" w:rsidP="0078703F">
      <w:pPr>
        <w:spacing w:line="240" w:lineRule="auto"/>
        <w:jc w:val="both"/>
        <w:rPr>
          <w:sz w:val="24"/>
        </w:rPr>
      </w:pPr>
    </w:p>
    <w:tbl>
      <w:tblPr>
        <w:tblStyle w:val="TableGrid"/>
        <w:tblW w:w="10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2"/>
      </w:tblGrid>
      <w:tr w:rsidR="001216D6" w:rsidRPr="00646B6F" w14:paraId="69861584" w14:textId="77777777" w:rsidTr="00F27222">
        <w:trPr>
          <w:trHeight w:val="221"/>
          <w:jc w:val="center"/>
        </w:trPr>
        <w:tc>
          <w:tcPr>
            <w:tcW w:w="10292" w:type="dxa"/>
          </w:tcPr>
          <w:p w14:paraId="2B97618D" w14:textId="3330BA99" w:rsidR="001216D6" w:rsidRPr="00646B6F" w:rsidRDefault="00B528BF" w:rsidP="0078703F">
            <w:pPr>
              <w:jc w:val="center"/>
              <w:rPr>
                <w:b/>
                <w:sz w:val="20"/>
              </w:rPr>
            </w:pPr>
            <w:r w:rsidRPr="00646B6F">
              <w:rPr>
                <w:b/>
                <w:sz w:val="20"/>
              </w:rPr>
              <w:t xml:space="preserve">Gráfico </w:t>
            </w:r>
            <w:r w:rsidR="0024082E" w:rsidRPr="00646B6F">
              <w:rPr>
                <w:b/>
                <w:sz w:val="20"/>
              </w:rPr>
              <w:t>1</w:t>
            </w:r>
            <w:r w:rsidRPr="00646B6F">
              <w:rPr>
                <w:b/>
                <w:sz w:val="20"/>
              </w:rPr>
              <w:t xml:space="preserve">. </w:t>
            </w:r>
            <w:r w:rsidR="004660D3" w:rsidRPr="00646B6F">
              <w:rPr>
                <w:b/>
                <w:sz w:val="20"/>
              </w:rPr>
              <w:t>Número de universidades clasificadas en el ranking THE</w:t>
            </w:r>
            <w:r w:rsidR="00C70E4F" w:rsidRPr="00646B6F">
              <w:rPr>
                <w:b/>
                <w:sz w:val="20"/>
              </w:rPr>
              <w:t>,</w:t>
            </w:r>
            <w:r w:rsidR="004660D3" w:rsidRPr="00646B6F">
              <w:rPr>
                <w:b/>
                <w:sz w:val="20"/>
              </w:rPr>
              <w:t xml:space="preserve"> en al menos un área del conocimiento</w:t>
            </w:r>
            <w:r w:rsidR="004711CF" w:rsidRPr="00646B6F">
              <w:rPr>
                <w:b/>
                <w:sz w:val="20"/>
              </w:rPr>
              <w:t>, 202</w:t>
            </w:r>
            <w:r w:rsidR="00527C02" w:rsidRPr="00646B6F">
              <w:rPr>
                <w:b/>
                <w:sz w:val="20"/>
              </w:rPr>
              <w:t>1</w:t>
            </w:r>
            <w:r w:rsidRPr="00646B6F">
              <w:rPr>
                <w:b/>
                <w:sz w:val="20"/>
              </w:rPr>
              <w:t>.</w:t>
            </w:r>
          </w:p>
        </w:tc>
      </w:tr>
      <w:tr w:rsidR="001216D6" w:rsidRPr="00646B6F" w14:paraId="465C6670" w14:textId="77777777" w:rsidTr="00F27222">
        <w:tblPrEx>
          <w:tblCellMar>
            <w:left w:w="70" w:type="dxa"/>
            <w:right w:w="70" w:type="dxa"/>
          </w:tblCellMar>
        </w:tblPrEx>
        <w:trPr>
          <w:trHeight w:val="2640"/>
          <w:jc w:val="center"/>
        </w:trPr>
        <w:tc>
          <w:tcPr>
            <w:tcW w:w="10292" w:type="dxa"/>
          </w:tcPr>
          <w:p w14:paraId="56BDB1D7" w14:textId="51114B91" w:rsidR="001216D6" w:rsidRPr="00646B6F" w:rsidRDefault="008E3A39" w:rsidP="0078703F">
            <w:pPr>
              <w:pStyle w:val="ListParagraph"/>
              <w:ind w:left="0"/>
              <w:jc w:val="both"/>
              <w:rPr>
                <w:sz w:val="24"/>
              </w:rPr>
            </w:pPr>
            <w:r>
              <w:rPr>
                <w:noProof/>
              </w:rPr>
              <w:drawing>
                <wp:inline distT="0" distB="0" distL="0" distR="0" wp14:anchorId="1F8CE5BA" wp14:editId="3D236CF2">
                  <wp:extent cx="6466205" cy="2162175"/>
                  <wp:effectExtent l="0" t="0" r="0" b="0"/>
                  <wp:docPr id="1" name="Gráfico 1">
                    <a:extLst xmlns:a="http://schemas.openxmlformats.org/drawingml/2006/main">
                      <a:ext uri="{FF2B5EF4-FFF2-40B4-BE49-F238E27FC236}">
                        <a16:creationId xmlns:a16="http://schemas.microsoft.com/office/drawing/2014/main" id="{63908802-83F4-4B23-99B9-64F102940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BED944C" w14:textId="77777777" w:rsidR="003857A7" w:rsidRPr="00646B6F" w:rsidRDefault="003857A7" w:rsidP="0078703F">
      <w:pPr>
        <w:spacing w:line="240" w:lineRule="auto"/>
        <w:jc w:val="both"/>
        <w:rPr>
          <w:sz w:val="24"/>
        </w:rPr>
      </w:pPr>
    </w:p>
    <w:tbl>
      <w:tblPr>
        <w:tblW w:w="11427" w:type="dxa"/>
        <w:jc w:val="center"/>
        <w:tblCellMar>
          <w:left w:w="70" w:type="dxa"/>
          <w:right w:w="70" w:type="dxa"/>
        </w:tblCellMar>
        <w:tblLook w:val="04A0" w:firstRow="1" w:lastRow="0" w:firstColumn="1" w:lastColumn="0" w:noHBand="0" w:noVBand="1"/>
      </w:tblPr>
      <w:tblGrid>
        <w:gridCol w:w="801"/>
        <w:gridCol w:w="3452"/>
        <w:gridCol w:w="834"/>
        <w:gridCol w:w="1044"/>
        <w:gridCol w:w="841"/>
        <w:gridCol w:w="1126"/>
        <w:gridCol w:w="850"/>
        <w:gridCol w:w="1295"/>
        <w:gridCol w:w="1173"/>
        <w:gridCol w:w="11"/>
      </w:tblGrid>
      <w:tr w:rsidR="00810B7C" w:rsidRPr="00646B6F" w14:paraId="59F1DA51" w14:textId="77777777" w:rsidTr="00F27222">
        <w:trPr>
          <w:trHeight w:val="298"/>
          <w:tblHeader/>
          <w:jc w:val="center"/>
        </w:trPr>
        <w:tc>
          <w:tcPr>
            <w:tcW w:w="11427" w:type="dxa"/>
            <w:gridSpan w:val="10"/>
            <w:tcBorders>
              <w:top w:val="nil"/>
              <w:left w:val="nil"/>
              <w:bottom w:val="single" w:sz="4" w:space="0" w:color="auto"/>
              <w:right w:val="nil"/>
            </w:tcBorders>
            <w:shd w:val="clear" w:color="auto" w:fill="auto"/>
            <w:vAlign w:val="center"/>
            <w:hideMark/>
          </w:tcPr>
          <w:p w14:paraId="3E262F50" w14:textId="7DC7C1BA"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 xml:space="preserve">Tabla </w:t>
            </w:r>
            <w:r w:rsidR="0024082E" w:rsidRPr="00646B6F">
              <w:rPr>
                <w:rFonts w:ascii="Calibri" w:eastAsia="Times New Roman" w:hAnsi="Calibri" w:cs="Calibri"/>
                <w:b/>
                <w:bCs/>
                <w:color w:val="000000"/>
                <w:sz w:val="20"/>
                <w:szCs w:val="20"/>
                <w:lang w:eastAsia="es-MX"/>
              </w:rPr>
              <w:t>2</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bookmarkStart w:id="0" w:name="_Hlk55377464"/>
            <w:r w:rsidRPr="00646B6F">
              <w:rPr>
                <w:rFonts w:ascii="Calibri" w:eastAsia="Times New Roman" w:hAnsi="Calibri" w:cs="Calibri"/>
                <w:b/>
                <w:bCs/>
                <w:color w:val="000000"/>
                <w:sz w:val="20"/>
                <w:szCs w:val="20"/>
                <w:lang w:eastAsia="es-MX"/>
              </w:rPr>
              <w:t>Artes y Humanidades</w:t>
            </w:r>
            <w:bookmarkEnd w:id="0"/>
            <w:r w:rsidRPr="00646B6F">
              <w:rPr>
                <w:rFonts w:ascii="Calibri" w:eastAsia="Times New Roman" w:hAnsi="Calibri" w:cs="Calibri"/>
                <w:b/>
                <w:bCs/>
                <w:color w:val="000000"/>
                <w:sz w:val="20"/>
                <w:szCs w:val="20"/>
                <w:lang w:eastAsia="es-MX"/>
              </w:rPr>
              <w:t>, 202</w:t>
            </w:r>
            <w:r w:rsidR="00527C02"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0A522E4F" w14:textId="77777777" w:rsidTr="00F27222">
        <w:trPr>
          <w:gridAfter w:val="1"/>
          <w:wAfter w:w="11" w:type="dxa"/>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2E512F7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auto" w:fill="BDD6EE" w:themeFill="accent1" w:themeFillTint="66"/>
            <w:vAlign w:val="center"/>
            <w:hideMark/>
          </w:tcPr>
          <w:p w14:paraId="7B97B4F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06071AF1"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59A1388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902C75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1AA56FA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57BA265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1B5E10C1"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02B58F96"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5C8329ED"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C744C0" w14:textId="064D5B0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93</w:t>
            </w:r>
          </w:p>
        </w:tc>
        <w:tc>
          <w:tcPr>
            <w:tcW w:w="3452" w:type="dxa"/>
            <w:tcBorders>
              <w:top w:val="nil"/>
              <w:left w:val="nil"/>
              <w:bottom w:val="single" w:sz="4" w:space="0" w:color="auto"/>
              <w:right w:val="single" w:sz="4" w:space="0" w:color="auto"/>
            </w:tcBorders>
            <w:shd w:val="clear" w:color="auto" w:fill="auto"/>
            <w:noWrap/>
            <w:vAlign w:val="center"/>
          </w:tcPr>
          <w:p w14:paraId="30A53F20" w14:textId="079B976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34" w:type="dxa"/>
            <w:tcBorders>
              <w:top w:val="nil"/>
              <w:left w:val="nil"/>
              <w:bottom w:val="single" w:sz="4" w:space="0" w:color="auto"/>
              <w:right w:val="single" w:sz="4" w:space="0" w:color="auto"/>
            </w:tcBorders>
            <w:shd w:val="clear" w:color="auto" w:fill="auto"/>
            <w:vAlign w:val="center"/>
          </w:tcPr>
          <w:p w14:paraId="4E7380DC" w14:textId="3E5286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0234C07" w14:textId="6AEEB6D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47.9</w:t>
            </w:r>
          </w:p>
        </w:tc>
        <w:tc>
          <w:tcPr>
            <w:tcW w:w="841" w:type="dxa"/>
            <w:tcBorders>
              <w:top w:val="nil"/>
              <w:left w:val="nil"/>
              <w:bottom w:val="single" w:sz="4" w:space="0" w:color="auto"/>
              <w:right w:val="single" w:sz="4" w:space="0" w:color="auto"/>
            </w:tcBorders>
            <w:shd w:val="clear" w:color="auto" w:fill="auto"/>
            <w:noWrap/>
            <w:vAlign w:val="center"/>
          </w:tcPr>
          <w:p w14:paraId="25289172" w14:textId="14D2F89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41.7</w:t>
            </w:r>
          </w:p>
        </w:tc>
        <w:tc>
          <w:tcPr>
            <w:tcW w:w="1126" w:type="dxa"/>
            <w:tcBorders>
              <w:top w:val="nil"/>
              <w:left w:val="nil"/>
              <w:bottom w:val="single" w:sz="4" w:space="0" w:color="auto"/>
              <w:right w:val="single" w:sz="4" w:space="0" w:color="auto"/>
            </w:tcBorders>
            <w:shd w:val="clear" w:color="auto" w:fill="auto"/>
            <w:noWrap/>
            <w:vAlign w:val="center"/>
          </w:tcPr>
          <w:p w14:paraId="20608148" w14:textId="0594DF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47.6</w:t>
            </w:r>
          </w:p>
        </w:tc>
        <w:tc>
          <w:tcPr>
            <w:tcW w:w="850" w:type="dxa"/>
            <w:tcBorders>
              <w:top w:val="nil"/>
              <w:left w:val="nil"/>
              <w:bottom w:val="single" w:sz="4" w:space="0" w:color="auto"/>
              <w:right w:val="single" w:sz="4" w:space="0" w:color="auto"/>
            </w:tcBorders>
            <w:shd w:val="clear" w:color="auto" w:fill="auto"/>
            <w:vAlign w:val="center"/>
          </w:tcPr>
          <w:p w14:paraId="314C69D8" w14:textId="7B3E85B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58.4</w:t>
            </w:r>
          </w:p>
        </w:tc>
        <w:tc>
          <w:tcPr>
            <w:tcW w:w="1295" w:type="dxa"/>
            <w:tcBorders>
              <w:top w:val="nil"/>
              <w:left w:val="nil"/>
              <w:bottom w:val="single" w:sz="4" w:space="0" w:color="auto"/>
              <w:right w:val="single" w:sz="4" w:space="0" w:color="auto"/>
            </w:tcBorders>
            <w:shd w:val="clear" w:color="auto" w:fill="auto"/>
            <w:noWrap/>
            <w:vAlign w:val="center"/>
          </w:tcPr>
          <w:p w14:paraId="5B855045" w14:textId="2BC7AE5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w:t>
            </w:r>
          </w:p>
        </w:tc>
        <w:tc>
          <w:tcPr>
            <w:tcW w:w="1173" w:type="dxa"/>
            <w:tcBorders>
              <w:top w:val="nil"/>
              <w:left w:val="nil"/>
              <w:bottom w:val="single" w:sz="4" w:space="0" w:color="auto"/>
              <w:right w:val="single" w:sz="4" w:space="0" w:color="auto"/>
            </w:tcBorders>
            <w:shd w:val="clear" w:color="auto" w:fill="auto"/>
            <w:noWrap/>
            <w:vAlign w:val="center"/>
          </w:tcPr>
          <w:p w14:paraId="246547E0" w14:textId="67C5A3F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61.9</w:t>
            </w:r>
          </w:p>
        </w:tc>
      </w:tr>
      <w:tr w:rsidR="005A3FC1" w:rsidRPr="00646B6F" w14:paraId="3FADB76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EEC42DD" w14:textId="722DAE7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101–125</w:t>
            </w:r>
          </w:p>
        </w:tc>
        <w:tc>
          <w:tcPr>
            <w:tcW w:w="3452" w:type="dxa"/>
            <w:tcBorders>
              <w:top w:val="nil"/>
              <w:left w:val="nil"/>
              <w:bottom w:val="single" w:sz="4" w:space="0" w:color="auto"/>
              <w:right w:val="single" w:sz="4" w:space="0" w:color="auto"/>
            </w:tcBorders>
            <w:shd w:val="clear" w:color="000000" w:fill="E7E6E6"/>
            <w:noWrap/>
            <w:vAlign w:val="center"/>
          </w:tcPr>
          <w:p w14:paraId="38CDE2FD" w14:textId="2A594A67"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000000" w:fill="E7E6E6"/>
            <w:vAlign w:val="center"/>
          </w:tcPr>
          <w:p w14:paraId="4D89E16C" w14:textId="0675113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3D99BA16" w14:textId="5726671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41.6–46.7</w:t>
            </w:r>
          </w:p>
        </w:tc>
        <w:tc>
          <w:tcPr>
            <w:tcW w:w="841" w:type="dxa"/>
            <w:tcBorders>
              <w:top w:val="nil"/>
              <w:left w:val="nil"/>
              <w:bottom w:val="single" w:sz="4" w:space="0" w:color="auto"/>
              <w:right w:val="single" w:sz="4" w:space="0" w:color="auto"/>
            </w:tcBorders>
            <w:shd w:val="clear" w:color="000000" w:fill="E7E6E6"/>
            <w:noWrap/>
            <w:vAlign w:val="center"/>
          </w:tcPr>
          <w:p w14:paraId="4D84AD44" w14:textId="69C4B6C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35.9</w:t>
            </w:r>
          </w:p>
        </w:tc>
        <w:tc>
          <w:tcPr>
            <w:tcW w:w="1126" w:type="dxa"/>
            <w:tcBorders>
              <w:top w:val="nil"/>
              <w:left w:val="nil"/>
              <w:bottom w:val="single" w:sz="4" w:space="0" w:color="auto"/>
              <w:right w:val="single" w:sz="4" w:space="0" w:color="auto"/>
            </w:tcBorders>
            <w:shd w:val="clear" w:color="000000" w:fill="E7E6E6"/>
            <w:noWrap/>
            <w:vAlign w:val="center"/>
          </w:tcPr>
          <w:p w14:paraId="75F7EA48" w14:textId="66EFAFA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46.1</w:t>
            </w:r>
          </w:p>
        </w:tc>
        <w:tc>
          <w:tcPr>
            <w:tcW w:w="850" w:type="dxa"/>
            <w:tcBorders>
              <w:top w:val="nil"/>
              <w:left w:val="nil"/>
              <w:bottom w:val="single" w:sz="4" w:space="0" w:color="auto"/>
              <w:right w:val="single" w:sz="4" w:space="0" w:color="auto"/>
            </w:tcBorders>
            <w:shd w:val="clear" w:color="000000" w:fill="E7E6E6"/>
            <w:vAlign w:val="center"/>
          </w:tcPr>
          <w:p w14:paraId="42E3D187" w14:textId="1E2D6F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44.1</w:t>
            </w:r>
          </w:p>
        </w:tc>
        <w:tc>
          <w:tcPr>
            <w:tcW w:w="1295" w:type="dxa"/>
            <w:tcBorders>
              <w:top w:val="nil"/>
              <w:left w:val="nil"/>
              <w:bottom w:val="single" w:sz="4" w:space="0" w:color="auto"/>
              <w:right w:val="single" w:sz="4" w:space="0" w:color="auto"/>
            </w:tcBorders>
            <w:shd w:val="clear" w:color="000000" w:fill="E7E6E6"/>
            <w:noWrap/>
            <w:vAlign w:val="center"/>
          </w:tcPr>
          <w:p w14:paraId="38EA0E2C" w14:textId="1EAEA9A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40.6</w:t>
            </w:r>
          </w:p>
        </w:tc>
        <w:tc>
          <w:tcPr>
            <w:tcW w:w="1173" w:type="dxa"/>
            <w:tcBorders>
              <w:top w:val="nil"/>
              <w:left w:val="nil"/>
              <w:bottom w:val="single" w:sz="4" w:space="0" w:color="auto"/>
              <w:right w:val="single" w:sz="4" w:space="0" w:color="auto"/>
            </w:tcBorders>
            <w:shd w:val="clear" w:color="000000" w:fill="E7E6E6"/>
            <w:noWrap/>
            <w:vAlign w:val="center"/>
          </w:tcPr>
          <w:p w14:paraId="062E7791" w14:textId="608D8B4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43.1</w:t>
            </w:r>
          </w:p>
        </w:tc>
      </w:tr>
      <w:tr w:rsidR="005A3FC1" w:rsidRPr="00F46F74" w14:paraId="031802E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613646" w14:textId="069782B9"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101–125</w:t>
            </w:r>
          </w:p>
        </w:tc>
        <w:tc>
          <w:tcPr>
            <w:tcW w:w="3452" w:type="dxa"/>
            <w:tcBorders>
              <w:top w:val="nil"/>
              <w:left w:val="nil"/>
              <w:bottom w:val="single" w:sz="4" w:space="0" w:color="auto"/>
              <w:right w:val="single" w:sz="4" w:space="0" w:color="auto"/>
            </w:tcBorders>
            <w:shd w:val="clear" w:color="auto" w:fill="auto"/>
            <w:noWrap/>
            <w:vAlign w:val="center"/>
          </w:tcPr>
          <w:p w14:paraId="5A6BBEB8" w14:textId="0145BCCC" w:rsidR="005A3FC1" w:rsidRPr="00F27222" w:rsidRDefault="005A3FC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auto" w:fill="auto"/>
            <w:vAlign w:val="center"/>
          </w:tcPr>
          <w:p w14:paraId="728087E2" w14:textId="27B6E15F"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47E9F0A6" w14:textId="082B94ED"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41.6–46.7</w:t>
            </w:r>
          </w:p>
        </w:tc>
        <w:tc>
          <w:tcPr>
            <w:tcW w:w="841" w:type="dxa"/>
            <w:tcBorders>
              <w:top w:val="nil"/>
              <w:left w:val="nil"/>
              <w:bottom w:val="single" w:sz="4" w:space="0" w:color="auto"/>
              <w:right w:val="single" w:sz="4" w:space="0" w:color="auto"/>
            </w:tcBorders>
            <w:shd w:val="clear" w:color="auto" w:fill="auto"/>
            <w:noWrap/>
            <w:vAlign w:val="center"/>
          </w:tcPr>
          <w:p w14:paraId="74C1DA68" w14:textId="27713AE3"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46.2</w:t>
            </w:r>
          </w:p>
        </w:tc>
        <w:tc>
          <w:tcPr>
            <w:tcW w:w="1126" w:type="dxa"/>
            <w:tcBorders>
              <w:top w:val="nil"/>
              <w:left w:val="nil"/>
              <w:bottom w:val="single" w:sz="4" w:space="0" w:color="auto"/>
              <w:right w:val="single" w:sz="4" w:space="0" w:color="auto"/>
            </w:tcBorders>
            <w:shd w:val="clear" w:color="auto" w:fill="auto"/>
            <w:noWrap/>
            <w:vAlign w:val="center"/>
          </w:tcPr>
          <w:p w14:paraId="4BE4BA45" w14:textId="4039F227"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44</w:t>
            </w:r>
          </w:p>
        </w:tc>
        <w:tc>
          <w:tcPr>
            <w:tcW w:w="850" w:type="dxa"/>
            <w:tcBorders>
              <w:top w:val="nil"/>
              <w:left w:val="nil"/>
              <w:bottom w:val="single" w:sz="4" w:space="0" w:color="auto"/>
              <w:right w:val="single" w:sz="4" w:space="0" w:color="auto"/>
            </w:tcBorders>
            <w:shd w:val="clear" w:color="auto" w:fill="auto"/>
            <w:vAlign w:val="center"/>
          </w:tcPr>
          <w:p w14:paraId="20CAD7E3" w14:textId="7BF9788C"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22.4</w:t>
            </w:r>
          </w:p>
        </w:tc>
        <w:tc>
          <w:tcPr>
            <w:tcW w:w="1295" w:type="dxa"/>
            <w:tcBorders>
              <w:top w:val="nil"/>
              <w:left w:val="nil"/>
              <w:bottom w:val="single" w:sz="4" w:space="0" w:color="auto"/>
              <w:right w:val="single" w:sz="4" w:space="0" w:color="auto"/>
            </w:tcBorders>
            <w:shd w:val="clear" w:color="auto" w:fill="auto"/>
            <w:noWrap/>
            <w:vAlign w:val="center"/>
          </w:tcPr>
          <w:p w14:paraId="20C8EBBE" w14:textId="0F1213B3"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96.5</w:t>
            </w:r>
          </w:p>
        </w:tc>
        <w:tc>
          <w:tcPr>
            <w:tcW w:w="1173" w:type="dxa"/>
            <w:tcBorders>
              <w:top w:val="nil"/>
              <w:left w:val="nil"/>
              <w:bottom w:val="single" w:sz="4" w:space="0" w:color="auto"/>
              <w:right w:val="single" w:sz="4" w:space="0" w:color="auto"/>
            </w:tcBorders>
            <w:shd w:val="clear" w:color="auto" w:fill="auto"/>
            <w:noWrap/>
            <w:vAlign w:val="center"/>
          </w:tcPr>
          <w:p w14:paraId="5708AE6A" w14:textId="316F55D6" w:rsidR="005A3FC1" w:rsidRPr="00F27222" w:rsidRDefault="005A3FC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54.2</w:t>
            </w:r>
          </w:p>
        </w:tc>
      </w:tr>
      <w:tr w:rsidR="005A3FC1" w:rsidRPr="00646B6F" w14:paraId="3B78623E"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B34556C" w14:textId="121CA65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52" w:type="dxa"/>
            <w:tcBorders>
              <w:top w:val="nil"/>
              <w:left w:val="nil"/>
              <w:bottom w:val="single" w:sz="4" w:space="0" w:color="auto"/>
              <w:right w:val="single" w:sz="4" w:space="0" w:color="auto"/>
            </w:tcBorders>
            <w:shd w:val="clear" w:color="000000" w:fill="E7E6E6"/>
            <w:noWrap/>
            <w:vAlign w:val="center"/>
          </w:tcPr>
          <w:p w14:paraId="31BDF398" w14:textId="7191AB69"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Complutense de Madrid</w:t>
            </w:r>
          </w:p>
        </w:tc>
        <w:tc>
          <w:tcPr>
            <w:tcW w:w="834" w:type="dxa"/>
            <w:tcBorders>
              <w:top w:val="nil"/>
              <w:left w:val="nil"/>
              <w:bottom w:val="single" w:sz="4" w:space="0" w:color="auto"/>
              <w:right w:val="single" w:sz="4" w:space="0" w:color="auto"/>
            </w:tcBorders>
            <w:shd w:val="clear" w:color="000000" w:fill="E7E6E6"/>
            <w:vAlign w:val="center"/>
          </w:tcPr>
          <w:p w14:paraId="5F36D327" w14:textId="033081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54F5D34" w14:textId="5AFFE64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38.5–41.5</w:t>
            </w:r>
          </w:p>
        </w:tc>
        <w:tc>
          <w:tcPr>
            <w:tcW w:w="841" w:type="dxa"/>
            <w:tcBorders>
              <w:top w:val="nil"/>
              <w:left w:val="nil"/>
              <w:bottom w:val="single" w:sz="4" w:space="0" w:color="auto"/>
              <w:right w:val="single" w:sz="4" w:space="0" w:color="auto"/>
            </w:tcBorders>
            <w:shd w:val="clear" w:color="000000" w:fill="E7E6E6"/>
            <w:noWrap/>
            <w:vAlign w:val="center"/>
          </w:tcPr>
          <w:p w14:paraId="60B76C28" w14:textId="76297F6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42.7</w:t>
            </w:r>
          </w:p>
        </w:tc>
        <w:tc>
          <w:tcPr>
            <w:tcW w:w="1126" w:type="dxa"/>
            <w:tcBorders>
              <w:top w:val="nil"/>
              <w:left w:val="nil"/>
              <w:bottom w:val="single" w:sz="4" w:space="0" w:color="auto"/>
              <w:right w:val="single" w:sz="4" w:space="0" w:color="auto"/>
            </w:tcBorders>
            <w:shd w:val="clear" w:color="000000" w:fill="E7E6E6"/>
            <w:noWrap/>
            <w:vAlign w:val="center"/>
          </w:tcPr>
          <w:p w14:paraId="77BD1351" w14:textId="0354744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42.4</w:t>
            </w:r>
          </w:p>
        </w:tc>
        <w:tc>
          <w:tcPr>
            <w:tcW w:w="850" w:type="dxa"/>
            <w:tcBorders>
              <w:top w:val="nil"/>
              <w:left w:val="nil"/>
              <w:bottom w:val="single" w:sz="4" w:space="0" w:color="auto"/>
              <w:right w:val="single" w:sz="4" w:space="0" w:color="auto"/>
            </w:tcBorders>
            <w:shd w:val="clear" w:color="000000" w:fill="E7E6E6"/>
            <w:vAlign w:val="center"/>
          </w:tcPr>
          <w:p w14:paraId="2B9B13FF" w14:textId="086175D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26.7</w:t>
            </w:r>
          </w:p>
        </w:tc>
        <w:tc>
          <w:tcPr>
            <w:tcW w:w="1295" w:type="dxa"/>
            <w:tcBorders>
              <w:top w:val="nil"/>
              <w:left w:val="nil"/>
              <w:bottom w:val="single" w:sz="4" w:space="0" w:color="auto"/>
              <w:right w:val="single" w:sz="4" w:space="0" w:color="auto"/>
            </w:tcBorders>
            <w:shd w:val="clear" w:color="000000" w:fill="E7E6E6"/>
            <w:noWrap/>
            <w:vAlign w:val="center"/>
          </w:tcPr>
          <w:p w14:paraId="775AE3FE" w14:textId="0AB7CCE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35.8</w:t>
            </w:r>
          </w:p>
        </w:tc>
        <w:tc>
          <w:tcPr>
            <w:tcW w:w="1173" w:type="dxa"/>
            <w:tcBorders>
              <w:top w:val="nil"/>
              <w:left w:val="nil"/>
              <w:bottom w:val="single" w:sz="4" w:space="0" w:color="auto"/>
              <w:right w:val="single" w:sz="4" w:space="0" w:color="auto"/>
            </w:tcBorders>
            <w:shd w:val="clear" w:color="000000" w:fill="E7E6E6"/>
            <w:noWrap/>
            <w:vAlign w:val="center"/>
          </w:tcPr>
          <w:p w14:paraId="74E9769D" w14:textId="0038704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26.7</w:t>
            </w:r>
          </w:p>
        </w:tc>
      </w:tr>
      <w:tr w:rsidR="005A3FC1" w:rsidRPr="00646B6F" w14:paraId="442B9C2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45DAC15" w14:textId="425016F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52" w:type="dxa"/>
            <w:tcBorders>
              <w:top w:val="nil"/>
              <w:left w:val="nil"/>
              <w:bottom w:val="single" w:sz="4" w:space="0" w:color="auto"/>
              <w:right w:val="single" w:sz="4" w:space="0" w:color="auto"/>
            </w:tcBorders>
            <w:shd w:val="clear" w:color="auto" w:fill="auto"/>
            <w:noWrap/>
            <w:vAlign w:val="center"/>
          </w:tcPr>
          <w:p w14:paraId="689F6703" w14:textId="66C6174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Pompeu Fabra</w:t>
            </w:r>
          </w:p>
        </w:tc>
        <w:tc>
          <w:tcPr>
            <w:tcW w:w="834" w:type="dxa"/>
            <w:tcBorders>
              <w:top w:val="nil"/>
              <w:left w:val="nil"/>
              <w:bottom w:val="single" w:sz="4" w:space="0" w:color="auto"/>
              <w:right w:val="single" w:sz="4" w:space="0" w:color="auto"/>
            </w:tcBorders>
            <w:shd w:val="clear" w:color="auto" w:fill="auto"/>
            <w:vAlign w:val="center"/>
          </w:tcPr>
          <w:p w14:paraId="463FBF92" w14:textId="0854355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6A529F2" w14:textId="5D416F4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38.5–41.5</w:t>
            </w:r>
          </w:p>
        </w:tc>
        <w:tc>
          <w:tcPr>
            <w:tcW w:w="841" w:type="dxa"/>
            <w:tcBorders>
              <w:top w:val="nil"/>
              <w:left w:val="nil"/>
              <w:bottom w:val="single" w:sz="4" w:space="0" w:color="auto"/>
              <w:right w:val="single" w:sz="4" w:space="0" w:color="auto"/>
            </w:tcBorders>
            <w:shd w:val="clear" w:color="auto" w:fill="auto"/>
            <w:noWrap/>
            <w:vAlign w:val="center"/>
          </w:tcPr>
          <w:p w14:paraId="5946DD96" w14:textId="30BACF7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w:t>
            </w:r>
          </w:p>
        </w:tc>
        <w:tc>
          <w:tcPr>
            <w:tcW w:w="1126" w:type="dxa"/>
            <w:tcBorders>
              <w:top w:val="nil"/>
              <w:left w:val="nil"/>
              <w:bottom w:val="single" w:sz="4" w:space="0" w:color="auto"/>
              <w:right w:val="single" w:sz="4" w:space="0" w:color="auto"/>
            </w:tcBorders>
            <w:shd w:val="clear" w:color="auto" w:fill="auto"/>
            <w:noWrap/>
            <w:vAlign w:val="center"/>
          </w:tcPr>
          <w:p w14:paraId="0EAFB7EF" w14:textId="015AF28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34.3</w:t>
            </w:r>
          </w:p>
        </w:tc>
        <w:tc>
          <w:tcPr>
            <w:tcW w:w="850" w:type="dxa"/>
            <w:tcBorders>
              <w:top w:val="nil"/>
              <w:left w:val="nil"/>
              <w:bottom w:val="single" w:sz="4" w:space="0" w:color="auto"/>
              <w:right w:val="single" w:sz="4" w:space="0" w:color="auto"/>
            </w:tcBorders>
            <w:shd w:val="clear" w:color="auto" w:fill="auto"/>
            <w:vAlign w:val="center"/>
          </w:tcPr>
          <w:p w14:paraId="063009A5" w14:textId="34F4BE3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73.5</w:t>
            </w:r>
          </w:p>
        </w:tc>
        <w:tc>
          <w:tcPr>
            <w:tcW w:w="1295" w:type="dxa"/>
            <w:tcBorders>
              <w:top w:val="nil"/>
              <w:left w:val="nil"/>
              <w:bottom w:val="single" w:sz="4" w:space="0" w:color="auto"/>
              <w:right w:val="single" w:sz="4" w:space="0" w:color="auto"/>
            </w:tcBorders>
            <w:shd w:val="clear" w:color="auto" w:fill="auto"/>
            <w:noWrap/>
            <w:vAlign w:val="center"/>
          </w:tcPr>
          <w:p w14:paraId="7BEEACCB" w14:textId="72AE44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43.4</w:t>
            </w:r>
          </w:p>
        </w:tc>
        <w:tc>
          <w:tcPr>
            <w:tcW w:w="1173" w:type="dxa"/>
            <w:tcBorders>
              <w:top w:val="nil"/>
              <w:left w:val="nil"/>
              <w:bottom w:val="single" w:sz="4" w:space="0" w:color="auto"/>
              <w:right w:val="single" w:sz="4" w:space="0" w:color="auto"/>
            </w:tcBorders>
            <w:shd w:val="clear" w:color="auto" w:fill="auto"/>
            <w:noWrap/>
            <w:vAlign w:val="center"/>
          </w:tcPr>
          <w:p w14:paraId="0E67EE3F" w14:textId="4697A8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54.9</w:t>
            </w:r>
          </w:p>
        </w:tc>
      </w:tr>
      <w:tr w:rsidR="005A3FC1" w:rsidRPr="00646B6F" w14:paraId="0514512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812B05A" w14:textId="0C022DD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2" w:type="dxa"/>
            <w:tcBorders>
              <w:top w:val="nil"/>
              <w:left w:val="nil"/>
              <w:bottom w:val="single" w:sz="4" w:space="0" w:color="auto"/>
              <w:right w:val="single" w:sz="4" w:space="0" w:color="auto"/>
            </w:tcBorders>
            <w:shd w:val="clear" w:color="000000" w:fill="E7E6E6"/>
            <w:noWrap/>
            <w:vAlign w:val="center"/>
          </w:tcPr>
          <w:p w14:paraId="60045645" w14:textId="4A6010EB"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000000" w:fill="E7E6E6"/>
            <w:vAlign w:val="center"/>
          </w:tcPr>
          <w:p w14:paraId="216E6C49" w14:textId="5E8D0EF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243CF07B" w14:textId="24F5D41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36.0–38.3</w:t>
            </w:r>
          </w:p>
        </w:tc>
        <w:tc>
          <w:tcPr>
            <w:tcW w:w="841" w:type="dxa"/>
            <w:tcBorders>
              <w:top w:val="nil"/>
              <w:left w:val="nil"/>
              <w:bottom w:val="single" w:sz="4" w:space="0" w:color="auto"/>
              <w:right w:val="single" w:sz="4" w:space="0" w:color="auto"/>
            </w:tcBorders>
            <w:shd w:val="clear" w:color="000000" w:fill="E7E6E6"/>
            <w:noWrap/>
            <w:vAlign w:val="center"/>
          </w:tcPr>
          <w:p w14:paraId="50E26EDB" w14:textId="6BD1994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41.9</w:t>
            </w:r>
          </w:p>
        </w:tc>
        <w:tc>
          <w:tcPr>
            <w:tcW w:w="1126" w:type="dxa"/>
            <w:tcBorders>
              <w:top w:val="nil"/>
              <w:left w:val="nil"/>
              <w:bottom w:val="single" w:sz="4" w:space="0" w:color="auto"/>
              <w:right w:val="single" w:sz="4" w:space="0" w:color="auto"/>
            </w:tcBorders>
            <w:shd w:val="clear" w:color="000000" w:fill="E7E6E6"/>
            <w:noWrap/>
            <w:vAlign w:val="center"/>
          </w:tcPr>
          <w:p w14:paraId="19C3AF0A" w14:textId="6A010F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34.8</w:t>
            </w:r>
          </w:p>
        </w:tc>
        <w:tc>
          <w:tcPr>
            <w:tcW w:w="850" w:type="dxa"/>
            <w:tcBorders>
              <w:top w:val="nil"/>
              <w:left w:val="nil"/>
              <w:bottom w:val="single" w:sz="4" w:space="0" w:color="auto"/>
              <w:right w:val="single" w:sz="4" w:space="0" w:color="auto"/>
            </w:tcBorders>
            <w:shd w:val="clear" w:color="000000" w:fill="E7E6E6"/>
            <w:vAlign w:val="center"/>
          </w:tcPr>
          <w:p w14:paraId="031EC031" w14:textId="553DABF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w:t>
            </w:r>
          </w:p>
        </w:tc>
        <w:tc>
          <w:tcPr>
            <w:tcW w:w="1295" w:type="dxa"/>
            <w:tcBorders>
              <w:top w:val="nil"/>
              <w:left w:val="nil"/>
              <w:bottom w:val="single" w:sz="4" w:space="0" w:color="auto"/>
              <w:right w:val="single" w:sz="4" w:space="0" w:color="auto"/>
            </w:tcBorders>
            <w:shd w:val="clear" w:color="000000" w:fill="E7E6E6"/>
            <w:noWrap/>
            <w:vAlign w:val="center"/>
          </w:tcPr>
          <w:p w14:paraId="4DBFDC0F" w14:textId="76F8A8A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53.5</w:t>
            </w:r>
          </w:p>
        </w:tc>
        <w:tc>
          <w:tcPr>
            <w:tcW w:w="1173" w:type="dxa"/>
            <w:tcBorders>
              <w:top w:val="nil"/>
              <w:left w:val="nil"/>
              <w:bottom w:val="single" w:sz="4" w:space="0" w:color="auto"/>
              <w:right w:val="single" w:sz="4" w:space="0" w:color="auto"/>
            </w:tcBorders>
            <w:shd w:val="clear" w:color="000000" w:fill="E7E6E6"/>
            <w:noWrap/>
            <w:vAlign w:val="center"/>
          </w:tcPr>
          <w:p w14:paraId="546A177F" w14:textId="54E643B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w:t>
            </w:r>
          </w:p>
        </w:tc>
      </w:tr>
      <w:tr w:rsidR="005A3FC1" w:rsidRPr="00646B6F" w14:paraId="5FF9331D"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7951B3" w14:textId="2AB0718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auto" w:fill="auto"/>
            <w:noWrap/>
            <w:vAlign w:val="center"/>
          </w:tcPr>
          <w:p w14:paraId="044043C1" w14:textId="7AA158E9"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Campinas</w:t>
            </w:r>
          </w:p>
        </w:tc>
        <w:tc>
          <w:tcPr>
            <w:tcW w:w="834" w:type="dxa"/>
            <w:tcBorders>
              <w:top w:val="nil"/>
              <w:left w:val="nil"/>
              <w:bottom w:val="single" w:sz="4" w:space="0" w:color="auto"/>
              <w:right w:val="single" w:sz="4" w:space="0" w:color="auto"/>
            </w:tcBorders>
            <w:shd w:val="clear" w:color="auto" w:fill="auto"/>
            <w:vAlign w:val="center"/>
          </w:tcPr>
          <w:p w14:paraId="3074032E" w14:textId="2676167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6DAABACC" w14:textId="5AB4EC7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33.6–35.9</w:t>
            </w:r>
          </w:p>
        </w:tc>
        <w:tc>
          <w:tcPr>
            <w:tcW w:w="841" w:type="dxa"/>
            <w:tcBorders>
              <w:top w:val="nil"/>
              <w:left w:val="nil"/>
              <w:bottom w:val="single" w:sz="4" w:space="0" w:color="auto"/>
              <w:right w:val="single" w:sz="4" w:space="0" w:color="auto"/>
            </w:tcBorders>
            <w:shd w:val="clear" w:color="auto" w:fill="auto"/>
            <w:noWrap/>
            <w:vAlign w:val="center"/>
          </w:tcPr>
          <w:p w14:paraId="49CD2210" w14:textId="0E373FD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41.4</w:t>
            </w:r>
          </w:p>
        </w:tc>
        <w:tc>
          <w:tcPr>
            <w:tcW w:w="1126" w:type="dxa"/>
            <w:tcBorders>
              <w:top w:val="nil"/>
              <w:left w:val="nil"/>
              <w:bottom w:val="single" w:sz="4" w:space="0" w:color="auto"/>
              <w:right w:val="single" w:sz="4" w:space="0" w:color="auto"/>
            </w:tcBorders>
            <w:shd w:val="clear" w:color="auto" w:fill="auto"/>
            <w:noWrap/>
            <w:vAlign w:val="center"/>
          </w:tcPr>
          <w:p w14:paraId="5DA0A6B0" w14:textId="29F7DAF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28.6</w:t>
            </w:r>
          </w:p>
        </w:tc>
        <w:tc>
          <w:tcPr>
            <w:tcW w:w="850" w:type="dxa"/>
            <w:tcBorders>
              <w:top w:val="nil"/>
              <w:left w:val="nil"/>
              <w:bottom w:val="single" w:sz="4" w:space="0" w:color="auto"/>
              <w:right w:val="single" w:sz="4" w:space="0" w:color="auto"/>
            </w:tcBorders>
            <w:shd w:val="clear" w:color="auto" w:fill="auto"/>
            <w:vAlign w:val="center"/>
          </w:tcPr>
          <w:p w14:paraId="772796D6" w14:textId="08D6AAB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25.2</w:t>
            </w:r>
          </w:p>
        </w:tc>
        <w:tc>
          <w:tcPr>
            <w:tcW w:w="1295" w:type="dxa"/>
            <w:tcBorders>
              <w:top w:val="nil"/>
              <w:left w:val="nil"/>
              <w:bottom w:val="single" w:sz="4" w:space="0" w:color="auto"/>
              <w:right w:val="single" w:sz="4" w:space="0" w:color="auto"/>
            </w:tcBorders>
            <w:shd w:val="clear" w:color="auto" w:fill="auto"/>
            <w:noWrap/>
            <w:vAlign w:val="center"/>
          </w:tcPr>
          <w:p w14:paraId="44D274F8" w14:textId="27B29EA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81.1</w:t>
            </w:r>
          </w:p>
        </w:tc>
        <w:tc>
          <w:tcPr>
            <w:tcW w:w="1173" w:type="dxa"/>
            <w:tcBorders>
              <w:top w:val="nil"/>
              <w:left w:val="nil"/>
              <w:bottom w:val="single" w:sz="4" w:space="0" w:color="auto"/>
              <w:right w:val="single" w:sz="4" w:space="0" w:color="auto"/>
            </w:tcBorders>
            <w:shd w:val="clear" w:color="auto" w:fill="auto"/>
            <w:noWrap/>
            <w:vAlign w:val="center"/>
          </w:tcPr>
          <w:p w14:paraId="58DE3738" w14:textId="026B81E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20.4</w:t>
            </w:r>
          </w:p>
        </w:tc>
      </w:tr>
      <w:tr w:rsidR="005A3FC1" w:rsidRPr="00646B6F" w14:paraId="70CC3E3A"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62ABC38" w14:textId="6CC2413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000000" w:fill="E7E6E6"/>
            <w:noWrap/>
            <w:vAlign w:val="center"/>
          </w:tcPr>
          <w:p w14:paraId="6083A4A1" w14:textId="3F5CEEA7"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000000" w:fill="E7E6E6"/>
            <w:vAlign w:val="center"/>
          </w:tcPr>
          <w:p w14:paraId="354FB118" w14:textId="02C4627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4D49C22E" w14:textId="1ED5773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30.5–33.3</w:t>
            </w:r>
          </w:p>
        </w:tc>
        <w:tc>
          <w:tcPr>
            <w:tcW w:w="841" w:type="dxa"/>
            <w:tcBorders>
              <w:top w:val="nil"/>
              <w:left w:val="nil"/>
              <w:bottom w:val="single" w:sz="4" w:space="0" w:color="auto"/>
              <w:right w:val="single" w:sz="4" w:space="0" w:color="auto"/>
            </w:tcBorders>
            <w:shd w:val="clear" w:color="000000" w:fill="E7E6E6"/>
            <w:noWrap/>
            <w:vAlign w:val="center"/>
          </w:tcPr>
          <w:p w14:paraId="21AB3E19" w14:textId="4CDA6AA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38.6</w:t>
            </w:r>
          </w:p>
        </w:tc>
        <w:tc>
          <w:tcPr>
            <w:tcW w:w="1126" w:type="dxa"/>
            <w:tcBorders>
              <w:top w:val="nil"/>
              <w:left w:val="nil"/>
              <w:bottom w:val="single" w:sz="4" w:space="0" w:color="auto"/>
              <w:right w:val="single" w:sz="4" w:space="0" w:color="auto"/>
            </w:tcBorders>
            <w:shd w:val="clear" w:color="000000" w:fill="E7E6E6"/>
            <w:noWrap/>
            <w:vAlign w:val="center"/>
          </w:tcPr>
          <w:p w14:paraId="417A0153" w14:textId="6EF7822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24.5</w:t>
            </w:r>
          </w:p>
        </w:tc>
        <w:tc>
          <w:tcPr>
            <w:tcW w:w="850" w:type="dxa"/>
            <w:tcBorders>
              <w:top w:val="nil"/>
              <w:left w:val="nil"/>
              <w:bottom w:val="single" w:sz="4" w:space="0" w:color="auto"/>
              <w:right w:val="single" w:sz="4" w:space="0" w:color="auto"/>
            </w:tcBorders>
            <w:shd w:val="clear" w:color="000000" w:fill="E7E6E6"/>
            <w:vAlign w:val="center"/>
          </w:tcPr>
          <w:p w14:paraId="0091A87E" w14:textId="40B8AFE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31.3</w:t>
            </w:r>
          </w:p>
        </w:tc>
        <w:tc>
          <w:tcPr>
            <w:tcW w:w="1295" w:type="dxa"/>
            <w:tcBorders>
              <w:top w:val="nil"/>
              <w:left w:val="nil"/>
              <w:bottom w:val="single" w:sz="4" w:space="0" w:color="auto"/>
              <w:right w:val="single" w:sz="4" w:space="0" w:color="auto"/>
            </w:tcBorders>
            <w:shd w:val="clear" w:color="000000" w:fill="E7E6E6"/>
            <w:noWrap/>
            <w:vAlign w:val="center"/>
          </w:tcPr>
          <w:p w14:paraId="6EF9AD5B" w14:textId="622736F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37.1</w:t>
            </w:r>
          </w:p>
        </w:tc>
        <w:tc>
          <w:tcPr>
            <w:tcW w:w="1173" w:type="dxa"/>
            <w:tcBorders>
              <w:top w:val="nil"/>
              <w:left w:val="nil"/>
              <w:bottom w:val="single" w:sz="4" w:space="0" w:color="auto"/>
              <w:right w:val="single" w:sz="4" w:space="0" w:color="auto"/>
            </w:tcBorders>
            <w:shd w:val="clear" w:color="000000" w:fill="E7E6E6"/>
            <w:noWrap/>
            <w:vAlign w:val="center"/>
          </w:tcPr>
          <w:p w14:paraId="7B7C761D" w14:textId="590D71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39.1</w:t>
            </w:r>
          </w:p>
        </w:tc>
      </w:tr>
      <w:tr w:rsidR="005A3FC1" w:rsidRPr="00646B6F" w14:paraId="1FDA9C3F"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7C3579" w14:textId="3D655DF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auto" w:fill="auto"/>
            <w:noWrap/>
            <w:vAlign w:val="center"/>
          </w:tcPr>
          <w:p w14:paraId="461C4D48" w14:textId="77717DE1"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Navarra</w:t>
            </w:r>
          </w:p>
        </w:tc>
        <w:tc>
          <w:tcPr>
            <w:tcW w:w="834" w:type="dxa"/>
            <w:tcBorders>
              <w:top w:val="nil"/>
              <w:left w:val="nil"/>
              <w:bottom w:val="single" w:sz="4" w:space="0" w:color="auto"/>
              <w:right w:val="single" w:sz="4" w:space="0" w:color="auto"/>
            </w:tcBorders>
            <w:shd w:val="clear" w:color="auto" w:fill="auto"/>
            <w:vAlign w:val="center"/>
          </w:tcPr>
          <w:p w14:paraId="46CD9354" w14:textId="3BEEAF5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799E4FE" w14:textId="4EB8DFE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30.5–33.3</w:t>
            </w:r>
          </w:p>
        </w:tc>
        <w:tc>
          <w:tcPr>
            <w:tcW w:w="841" w:type="dxa"/>
            <w:tcBorders>
              <w:top w:val="nil"/>
              <w:left w:val="nil"/>
              <w:bottom w:val="single" w:sz="4" w:space="0" w:color="auto"/>
              <w:right w:val="single" w:sz="4" w:space="0" w:color="auto"/>
            </w:tcBorders>
            <w:shd w:val="clear" w:color="auto" w:fill="auto"/>
            <w:noWrap/>
            <w:vAlign w:val="center"/>
          </w:tcPr>
          <w:p w14:paraId="45F2B831" w14:textId="41B476B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34.4</w:t>
            </w:r>
          </w:p>
        </w:tc>
        <w:tc>
          <w:tcPr>
            <w:tcW w:w="1126" w:type="dxa"/>
            <w:tcBorders>
              <w:top w:val="nil"/>
              <w:left w:val="nil"/>
              <w:bottom w:val="single" w:sz="4" w:space="0" w:color="auto"/>
              <w:right w:val="single" w:sz="4" w:space="0" w:color="auto"/>
            </w:tcBorders>
            <w:shd w:val="clear" w:color="auto" w:fill="auto"/>
            <w:noWrap/>
            <w:vAlign w:val="center"/>
          </w:tcPr>
          <w:p w14:paraId="0B911A6D" w14:textId="29C57B6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22.3</w:t>
            </w:r>
          </w:p>
        </w:tc>
        <w:tc>
          <w:tcPr>
            <w:tcW w:w="850" w:type="dxa"/>
            <w:tcBorders>
              <w:top w:val="nil"/>
              <w:left w:val="nil"/>
              <w:bottom w:val="single" w:sz="4" w:space="0" w:color="auto"/>
              <w:right w:val="single" w:sz="4" w:space="0" w:color="auto"/>
            </w:tcBorders>
            <w:shd w:val="clear" w:color="auto" w:fill="auto"/>
            <w:vAlign w:val="center"/>
          </w:tcPr>
          <w:p w14:paraId="58AF8D48" w14:textId="00E2524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w:t>
            </w:r>
          </w:p>
        </w:tc>
        <w:tc>
          <w:tcPr>
            <w:tcW w:w="1295" w:type="dxa"/>
            <w:tcBorders>
              <w:top w:val="nil"/>
              <w:left w:val="nil"/>
              <w:bottom w:val="single" w:sz="4" w:space="0" w:color="auto"/>
              <w:right w:val="single" w:sz="4" w:space="0" w:color="auto"/>
            </w:tcBorders>
            <w:shd w:val="clear" w:color="auto" w:fill="auto"/>
            <w:noWrap/>
            <w:vAlign w:val="center"/>
          </w:tcPr>
          <w:p w14:paraId="61CBDA25" w14:textId="39B5FB8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38.6</w:t>
            </w:r>
          </w:p>
        </w:tc>
        <w:tc>
          <w:tcPr>
            <w:tcW w:w="1173" w:type="dxa"/>
            <w:tcBorders>
              <w:top w:val="nil"/>
              <w:left w:val="nil"/>
              <w:bottom w:val="single" w:sz="4" w:space="0" w:color="auto"/>
              <w:right w:val="single" w:sz="4" w:space="0" w:color="auto"/>
            </w:tcBorders>
            <w:shd w:val="clear" w:color="auto" w:fill="auto"/>
            <w:noWrap/>
            <w:vAlign w:val="center"/>
          </w:tcPr>
          <w:p w14:paraId="647CB939" w14:textId="311A59C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46.6</w:t>
            </w:r>
          </w:p>
        </w:tc>
      </w:tr>
      <w:tr w:rsidR="002708D4" w:rsidRPr="00646B6F" w14:paraId="32B0FDAF"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0A8DCE1" w14:textId="3BFAED09"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251–300</w:t>
            </w:r>
          </w:p>
        </w:tc>
        <w:tc>
          <w:tcPr>
            <w:tcW w:w="3452" w:type="dxa"/>
            <w:tcBorders>
              <w:top w:val="nil"/>
              <w:left w:val="nil"/>
              <w:bottom w:val="single" w:sz="4" w:space="0" w:color="auto"/>
              <w:right w:val="single" w:sz="4" w:space="0" w:color="auto"/>
            </w:tcBorders>
            <w:shd w:val="clear" w:color="000000" w:fill="E7E6E6"/>
            <w:noWrap/>
            <w:vAlign w:val="center"/>
          </w:tcPr>
          <w:p w14:paraId="092E5BDD" w14:textId="24643EC6" w:rsidR="002708D4" w:rsidRPr="00646B6F" w:rsidRDefault="002708D4" w:rsidP="00CB24EA">
            <w:pPr>
              <w:spacing w:line="240" w:lineRule="auto"/>
              <w:rPr>
                <w:rFonts w:ascii="Calibri" w:eastAsia="Times New Roman" w:hAnsi="Calibri" w:cs="Calibri"/>
                <w:color w:val="000000"/>
                <w:sz w:val="18"/>
                <w:szCs w:val="18"/>
                <w:lang w:eastAsia="es-MX"/>
              </w:rPr>
            </w:pPr>
            <w:r w:rsidRPr="00646B6F">
              <w:rPr>
                <w:rFonts w:ascii="Calibri" w:hAnsi="Calibri" w:cs="Calibri"/>
                <w:color w:val="000000"/>
                <w:sz w:val="18"/>
                <w:szCs w:val="18"/>
              </w:rPr>
              <w:t>Universidad de Lisboa</w:t>
            </w:r>
          </w:p>
        </w:tc>
        <w:tc>
          <w:tcPr>
            <w:tcW w:w="834" w:type="dxa"/>
            <w:tcBorders>
              <w:top w:val="nil"/>
              <w:left w:val="nil"/>
              <w:bottom w:val="single" w:sz="4" w:space="0" w:color="auto"/>
              <w:right w:val="single" w:sz="4" w:space="0" w:color="auto"/>
            </w:tcBorders>
            <w:shd w:val="clear" w:color="000000" w:fill="E7E6E6"/>
            <w:vAlign w:val="center"/>
          </w:tcPr>
          <w:p w14:paraId="5286E2A2" w14:textId="34C8F6DD"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1BB14748" w14:textId="1CB35A53"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27.3–30.4</w:t>
            </w:r>
          </w:p>
        </w:tc>
        <w:tc>
          <w:tcPr>
            <w:tcW w:w="841" w:type="dxa"/>
            <w:tcBorders>
              <w:top w:val="nil"/>
              <w:left w:val="nil"/>
              <w:bottom w:val="single" w:sz="4" w:space="0" w:color="auto"/>
              <w:right w:val="single" w:sz="4" w:space="0" w:color="auto"/>
            </w:tcBorders>
            <w:shd w:val="clear" w:color="000000" w:fill="E7E6E6"/>
            <w:noWrap/>
            <w:vAlign w:val="center"/>
          </w:tcPr>
          <w:p w14:paraId="7B08543E" w14:textId="279CD40E"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23.3</w:t>
            </w:r>
          </w:p>
        </w:tc>
        <w:tc>
          <w:tcPr>
            <w:tcW w:w="1126" w:type="dxa"/>
            <w:tcBorders>
              <w:top w:val="nil"/>
              <w:left w:val="nil"/>
              <w:bottom w:val="single" w:sz="4" w:space="0" w:color="auto"/>
              <w:right w:val="single" w:sz="4" w:space="0" w:color="auto"/>
            </w:tcBorders>
            <w:shd w:val="clear" w:color="000000" w:fill="E7E6E6"/>
            <w:noWrap/>
            <w:vAlign w:val="center"/>
          </w:tcPr>
          <w:p w14:paraId="0994CC7B" w14:textId="467FF5E0"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19.1</w:t>
            </w:r>
          </w:p>
        </w:tc>
        <w:tc>
          <w:tcPr>
            <w:tcW w:w="850" w:type="dxa"/>
            <w:tcBorders>
              <w:top w:val="nil"/>
              <w:left w:val="nil"/>
              <w:bottom w:val="single" w:sz="4" w:space="0" w:color="auto"/>
              <w:right w:val="single" w:sz="4" w:space="0" w:color="auto"/>
            </w:tcBorders>
            <w:shd w:val="clear" w:color="000000" w:fill="E7E6E6"/>
            <w:vAlign w:val="center"/>
          </w:tcPr>
          <w:p w14:paraId="2C754B33" w14:textId="36087595"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47.4</w:t>
            </w:r>
          </w:p>
        </w:tc>
        <w:tc>
          <w:tcPr>
            <w:tcW w:w="1295" w:type="dxa"/>
            <w:tcBorders>
              <w:top w:val="nil"/>
              <w:left w:val="nil"/>
              <w:bottom w:val="single" w:sz="4" w:space="0" w:color="auto"/>
              <w:right w:val="single" w:sz="4" w:space="0" w:color="auto"/>
            </w:tcBorders>
            <w:shd w:val="clear" w:color="000000" w:fill="E7E6E6"/>
            <w:noWrap/>
            <w:vAlign w:val="center"/>
          </w:tcPr>
          <w:p w14:paraId="2AD2A611" w14:textId="7D939B7C"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45.7</w:t>
            </w:r>
          </w:p>
        </w:tc>
        <w:tc>
          <w:tcPr>
            <w:tcW w:w="1173" w:type="dxa"/>
            <w:tcBorders>
              <w:top w:val="nil"/>
              <w:left w:val="nil"/>
              <w:bottom w:val="single" w:sz="4" w:space="0" w:color="auto"/>
              <w:right w:val="single" w:sz="4" w:space="0" w:color="auto"/>
            </w:tcBorders>
            <w:shd w:val="clear" w:color="000000" w:fill="E7E6E6"/>
            <w:noWrap/>
            <w:vAlign w:val="center"/>
          </w:tcPr>
          <w:p w14:paraId="6E39990A" w14:textId="22C0D364" w:rsidR="002708D4" w:rsidRPr="00646B6F" w:rsidRDefault="002708D4" w:rsidP="00CB24EA">
            <w:pPr>
              <w:spacing w:line="240" w:lineRule="auto"/>
              <w:jc w:val="center"/>
              <w:rPr>
                <w:rFonts w:ascii="Calibri" w:eastAsia="Times New Roman" w:hAnsi="Calibri" w:cs="Calibri"/>
                <w:color w:val="000000"/>
                <w:sz w:val="18"/>
                <w:szCs w:val="18"/>
                <w:lang w:eastAsia="es-MX"/>
              </w:rPr>
            </w:pPr>
            <w:r w:rsidRPr="00646B6F">
              <w:rPr>
                <w:rFonts w:ascii="Calibri" w:hAnsi="Calibri" w:cs="Calibri"/>
                <w:color w:val="000000"/>
                <w:sz w:val="18"/>
                <w:szCs w:val="18"/>
              </w:rPr>
              <w:t>49.1</w:t>
            </w:r>
          </w:p>
        </w:tc>
      </w:tr>
    </w:tbl>
    <w:p w14:paraId="656F668C" w14:textId="77777777" w:rsidR="0081233E" w:rsidRPr="00646B6F" w:rsidRDefault="0081233E" w:rsidP="0078703F">
      <w:pPr>
        <w:spacing w:line="240" w:lineRule="auto"/>
      </w:pPr>
    </w:p>
    <w:tbl>
      <w:tblPr>
        <w:tblW w:w="11427" w:type="dxa"/>
        <w:jc w:val="center"/>
        <w:tblCellMar>
          <w:left w:w="70" w:type="dxa"/>
          <w:right w:w="70" w:type="dxa"/>
        </w:tblCellMar>
        <w:tblLook w:val="04A0" w:firstRow="1" w:lastRow="0" w:firstColumn="1" w:lastColumn="0" w:noHBand="0" w:noVBand="1"/>
      </w:tblPr>
      <w:tblGrid>
        <w:gridCol w:w="801"/>
        <w:gridCol w:w="3452"/>
        <w:gridCol w:w="834"/>
        <w:gridCol w:w="1044"/>
        <w:gridCol w:w="841"/>
        <w:gridCol w:w="1126"/>
        <w:gridCol w:w="850"/>
        <w:gridCol w:w="1295"/>
        <w:gridCol w:w="1173"/>
        <w:gridCol w:w="11"/>
      </w:tblGrid>
      <w:tr w:rsidR="00810B7C" w:rsidRPr="00646B6F" w14:paraId="132E12CF" w14:textId="77777777" w:rsidTr="00F27222">
        <w:trPr>
          <w:trHeight w:val="298"/>
          <w:tblHeader/>
          <w:jc w:val="center"/>
        </w:trPr>
        <w:tc>
          <w:tcPr>
            <w:tcW w:w="11427" w:type="dxa"/>
            <w:gridSpan w:val="10"/>
            <w:tcBorders>
              <w:top w:val="nil"/>
              <w:left w:val="nil"/>
              <w:bottom w:val="single" w:sz="4" w:space="0" w:color="auto"/>
              <w:right w:val="nil"/>
            </w:tcBorders>
            <w:shd w:val="clear" w:color="auto" w:fill="auto"/>
            <w:vAlign w:val="center"/>
            <w:hideMark/>
          </w:tcPr>
          <w:p w14:paraId="2FC4278D" w14:textId="2841BBC5"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 xml:space="preserve">Tabla </w:t>
            </w:r>
            <w:r w:rsidR="0024082E" w:rsidRPr="00646B6F">
              <w:rPr>
                <w:rFonts w:ascii="Calibri" w:eastAsia="Times New Roman" w:hAnsi="Calibri" w:cs="Calibri"/>
                <w:b/>
                <w:bCs/>
                <w:color w:val="000000"/>
                <w:sz w:val="20"/>
                <w:szCs w:val="20"/>
                <w:lang w:eastAsia="es-MX"/>
              </w:rPr>
              <w:t>3</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Pr="00646B6F">
              <w:rPr>
                <w:rFonts w:ascii="Calibri" w:eastAsia="Times New Roman" w:hAnsi="Calibri" w:cs="Calibri"/>
                <w:b/>
                <w:bCs/>
                <w:color w:val="000000"/>
                <w:sz w:val="20"/>
                <w:szCs w:val="20"/>
                <w:lang w:eastAsia="es-MX"/>
              </w:rPr>
              <w:t>Derecho, 202</w:t>
            </w:r>
            <w:r w:rsidR="001B5079"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1C8BDF5E" w14:textId="77777777" w:rsidTr="00F27222">
        <w:trPr>
          <w:gridAfter w:val="1"/>
          <w:wAfter w:w="11" w:type="dxa"/>
          <w:trHeight w:val="611"/>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699446B8"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7869F188"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1363F5C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7CD99C00"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4342A6B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6F034227"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6B0DB36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07A92DC0"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004CC771"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3D7F3F6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04DE29" w14:textId="53F5B2B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w:t>
            </w:r>
          </w:p>
        </w:tc>
        <w:tc>
          <w:tcPr>
            <w:tcW w:w="3452" w:type="dxa"/>
            <w:tcBorders>
              <w:top w:val="nil"/>
              <w:left w:val="nil"/>
              <w:bottom w:val="single" w:sz="4" w:space="0" w:color="auto"/>
              <w:right w:val="single" w:sz="4" w:space="0" w:color="auto"/>
            </w:tcBorders>
            <w:shd w:val="clear" w:color="auto" w:fill="auto"/>
            <w:noWrap/>
            <w:vAlign w:val="center"/>
          </w:tcPr>
          <w:p w14:paraId="7ECB97EB" w14:textId="245711CF"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Navarra</w:t>
            </w:r>
          </w:p>
        </w:tc>
        <w:tc>
          <w:tcPr>
            <w:tcW w:w="834" w:type="dxa"/>
            <w:tcBorders>
              <w:top w:val="nil"/>
              <w:left w:val="nil"/>
              <w:bottom w:val="single" w:sz="4" w:space="0" w:color="auto"/>
              <w:right w:val="single" w:sz="4" w:space="0" w:color="auto"/>
            </w:tcBorders>
            <w:shd w:val="clear" w:color="auto" w:fill="auto"/>
            <w:vAlign w:val="center"/>
          </w:tcPr>
          <w:p w14:paraId="63900815" w14:textId="7764427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792F542" w14:textId="78ED84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55.1</w:t>
            </w:r>
          </w:p>
        </w:tc>
        <w:tc>
          <w:tcPr>
            <w:tcW w:w="841" w:type="dxa"/>
            <w:tcBorders>
              <w:top w:val="nil"/>
              <w:left w:val="nil"/>
              <w:bottom w:val="single" w:sz="4" w:space="0" w:color="auto"/>
              <w:right w:val="single" w:sz="4" w:space="0" w:color="auto"/>
            </w:tcBorders>
            <w:shd w:val="clear" w:color="auto" w:fill="auto"/>
            <w:noWrap/>
            <w:vAlign w:val="center"/>
          </w:tcPr>
          <w:p w14:paraId="4BD7A078" w14:textId="1F40DBA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w:t>
            </w:r>
          </w:p>
        </w:tc>
        <w:tc>
          <w:tcPr>
            <w:tcW w:w="1126" w:type="dxa"/>
            <w:tcBorders>
              <w:top w:val="nil"/>
              <w:left w:val="nil"/>
              <w:bottom w:val="single" w:sz="4" w:space="0" w:color="auto"/>
              <w:right w:val="single" w:sz="4" w:space="0" w:color="auto"/>
            </w:tcBorders>
            <w:shd w:val="clear" w:color="auto" w:fill="auto"/>
            <w:noWrap/>
            <w:vAlign w:val="center"/>
          </w:tcPr>
          <w:p w14:paraId="2A33FDFA" w14:textId="5F1B235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39.7</w:t>
            </w:r>
          </w:p>
        </w:tc>
        <w:tc>
          <w:tcPr>
            <w:tcW w:w="850" w:type="dxa"/>
            <w:tcBorders>
              <w:top w:val="nil"/>
              <w:left w:val="nil"/>
              <w:bottom w:val="single" w:sz="4" w:space="0" w:color="auto"/>
              <w:right w:val="single" w:sz="4" w:space="0" w:color="auto"/>
            </w:tcBorders>
            <w:shd w:val="clear" w:color="auto" w:fill="auto"/>
            <w:vAlign w:val="center"/>
          </w:tcPr>
          <w:p w14:paraId="27A32641" w14:textId="2C490D3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59.5</w:t>
            </w:r>
          </w:p>
        </w:tc>
        <w:tc>
          <w:tcPr>
            <w:tcW w:w="1295" w:type="dxa"/>
            <w:tcBorders>
              <w:top w:val="nil"/>
              <w:left w:val="nil"/>
              <w:bottom w:val="single" w:sz="4" w:space="0" w:color="auto"/>
              <w:right w:val="single" w:sz="4" w:space="0" w:color="auto"/>
            </w:tcBorders>
            <w:shd w:val="clear" w:color="auto" w:fill="auto"/>
            <w:noWrap/>
            <w:vAlign w:val="center"/>
          </w:tcPr>
          <w:p w14:paraId="38FF5B90" w14:textId="75BEAD4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43.9</w:t>
            </w:r>
          </w:p>
        </w:tc>
        <w:tc>
          <w:tcPr>
            <w:tcW w:w="1173" w:type="dxa"/>
            <w:tcBorders>
              <w:top w:val="nil"/>
              <w:left w:val="nil"/>
              <w:bottom w:val="single" w:sz="4" w:space="0" w:color="auto"/>
              <w:right w:val="single" w:sz="4" w:space="0" w:color="auto"/>
            </w:tcBorders>
            <w:shd w:val="clear" w:color="auto" w:fill="auto"/>
            <w:noWrap/>
            <w:vAlign w:val="center"/>
          </w:tcPr>
          <w:p w14:paraId="376875E2" w14:textId="60CEFF3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66.9</w:t>
            </w:r>
          </w:p>
        </w:tc>
      </w:tr>
      <w:tr w:rsidR="005A3FC1" w:rsidRPr="00646B6F" w14:paraId="1D885F2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5AF7C19" w14:textId="1839BD9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72</w:t>
            </w:r>
          </w:p>
        </w:tc>
        <w:tc>
          <w:tcPr>
            <w:tcW w:w="3452" w:type="dxa"/>
            <w:tcBorders>
              <w:top w:val="nil"/>
              <w:left w:val="nil"/>
              <w:bottom w:val="single" w:sz="4" w:space="0" w:color="auto"/>
              <w:right w:val="single" w:sz="4" w:space="0" w:color="auto"/>
            </w:tcBorders>
            <w:shd w:val="clear" w:color="000000" w:fill="E7E6E6"/>
            <w:noWrap/>
            <w:vAlign w:val="center"/>
          </w:tcPr>
          <w:p w14:paraId="4838C1B1" w14:textId="3A9F0087"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Pompeu Fabra</w:t>
            </w:r>
          </w:p>
        </w:tc>
        <w:tc>
          <w:tcPr>
            <w:tcW w:w="834" w:type="dxa"/>
            <w:tcBorders>
              <w:top w:val="nil"/>
              <w:left w:val="nil"/>
              <w:bottom w:val="single" w:sz="4" w:space="0" w:color="auto"/>
              <w:right w:val="single" w:sz="4" w:space="0" w:color="auto"/>
            </w:tcBorders>
            <w:shd w:val="clear" w:color="000000" w:fill="E7E6E6"/>
            <w:vAlign w:val="center"/>
          </w:tcPr>
          <w:p w14:paraId="446B91BF" w14:textId="49C56AF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DC31C2F" w14:textId="397D8D4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47.8</w:t>
            </w:r>
          </w:p>
        </w:tc>
        <w:tc>
          <w:tcPr>
            <w:tcW w:w="841" w:type="dxa"/>
            <w:tcBorders>
              <w:top w:val="nil"/>
              <w:left w:val="nil"/>
              <w:bottom w:val="single" w:sz="4" w:space="0" w:color="auto"/>
              <w:right w:val="single" w:sz="4" w:space="0" w:color="auto"/>
            </w:tcBorders>
            <w:shd w:val="clear" w:color="000000" w:fill="E7E6E6"/>
            <w:noWrap/>
            <w:vAlign w:val="center"/>
          </w:tcPr>
          <w:p w14:paraId="711D2212" w14:textId="66B451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45.5</w:t>
            </w:r>
          </w:p>
        </w:tc>
        <w:tc>
          <w:tcPr>
            <w:tcW w:w="1126" w:type="dxa"/>
            <w:tcBorders>
              <w:top w:val="nil"/>
              <w:left w:val="nil"/>
              <w:bottom w:val="single" w:sz="4" w:space="0" w:color="auto"/>
              <w:right w:val="single" w:sz="4" w:space="0" w:color="auto"/>
            </w:tcBorders>
            <w:shd w:val="clear" w:color="000000" w:fill="E7E6E6"/>
            <w:noWrap/>
            <w:vAlign w:val="center"/>
          </w:tcPr>
          <w:p w14:paraId="05B0F511" w14:textId="586248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49.3</w:t>
            </w:r>
          </w:p>
        </w:tc>
        <w:tc>
          <w:tcPr>
            <w:tcW w:w="850" w:type="dxa"/>
            <w:tcBorders>
              <w:top w:val="nil"/>
              <w:left w:val="nil"/>
              <w:bottom w:val="single" w:sz="4" w:space="0" w:color="auto"/>
              <w:right w:val="single" w:sz="4" w:space="0" w:color="auto"/>
            </w:tcBorders>
            <w:shd w:val="clear" w:color="000000" w:fill="E7E6E6"/>
            <w:vAlign w:val="center"/>
          </w:tcPr>
          <w:p w14:paraId="70B64FA2" w14:textId="00E1DEF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48.1</w:t>
            </w:r>
          </w:p>
        </w:tc>
        <w:tc>
          <w:tcPr>
            <w:tcW w:w="1295" w:type="dxa"/>
            <w:tcBorders>
              <w:top w:val="nil"/>
              <w:left w:val="nil"/>
              <w:bottom w:val="single" w:sz="4" w:space="0" w:color="auto"/>
              <w:right w:val="single" w:sz="4" w:space="0" w:color="auto"/>
            </w:tcBorders>
            <w:shd w:val="clear" w:color="000000" w:fill="E7E6E6"/>
            <w:noWrap/>
            <w:vAlign w:val="center"/>
          </w:tcPr>
          <w:p w14:paraId="1D19FE7A" w14:textId="18346EA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51.8</w:t>
            </w:r>
          </w:p>
        </w:tc>
        <w:tc>
          <w:tcPr>
            <w:tcW w:w="1173" w:type="dxa"/>
            <w:tcBorders>
              <w:top w:val="nil"/>
              <w:left w:val="nil"/>
              <w:bottom w:val="single" w:sz="4" w:space="0" w:color="auto"/>
              <w:right w:val="single" w:sz="4" w:space="0" w:color="auto"/>
            </w:tcBorders>
            <w:shd w:val="clear" w:color="000000" w:fill="E7E6E6"/>
            <w:noWrap/>
            <w:vAlign w:val="center"/>
          </w:tcPr>
          <w:p w14:paraId="09445548" w14:textId="67C6ABB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43.2</w:t>
            </w:r>
          </w:p>
        </w:tc>
      </w:tr>
      <w:tr w:rsidR="005A3FC1" w:rsidRPr="00646B6F" w14:paraId="7712107A"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3B75D9F" w14:textId="2EEC916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101–125</w:t>
            </w:r>
          </w:p>
        </w:tc>
        <w:tc>
          <w:tcPr>
            <w:tcW w:w="3452" w:type="dxa"/>
            <w:tcBorders>
              <w:top w:val="nil"/>
              <w:left w:val="nil"/>
              <w:bottom w:val="single" w:sz="4" w:space="0" w:color="auto"/>
              <w:right w:val="single" w:sz="4" w:space="0" w:color="auto"/>
            </w:tcBorders>
            <w:shd w:val="clear" w:color="auto" w:fill="auto"/>
            <w:noWrap/>
            <w:vAlign w:val="center"/>
          </w:tcPr>
          <w:p w14:paraId="7C8F594D" w14:textId="2D275E8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Complutense de Madrid</w:t>
            </w:r>
          </w:p>
        </w:tc>
        <w:tc>
          <w:tcPr>
            <w:tcW w:w="834" w:type="dxa"/>
            <w:tcBorders>
              <w:top w:val="nil"/>
              <w:left w:val="nil"/>
              <w:bottom w:val="single" w:sz="4" w:space="0" w:color="auto"/>
              <w:right w:val="single" w:sz="4" w:space="0" w:color="auto"/>
            </w:tcBorders>
            <w:shd w:val="clear" w:color="auto" w:fill="auto"/>
            <w:vAlign w:val="center"/>
          </w:tcPr>
          <w:p w14:paraId="2261D630" w14:textId="582E0B7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E62A29E" w14:textId="7FD7200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37.8–41.5</w:t>
            </w:r>
          </w:p>
        </w:tc>
        <w:tc>
          <w:tcPr>
            <w:tcW w:w="841" w:type="dxa"/>
            <w:tcBorders>
              <w:top w:val="nil"/>
              <w:left w:val="nil"/>
              <w:bottom w:val="single" w:sz="4" w:space="0" w:color="auto"/>
              <w:right w:val="single" w:sz="4" w:space="0" w:color="auto"/>
            </w:tcBorders>
            <w:shd w:val="clear" w:color="auto" w:fill="auto"/>
            <w:noWrap/>
            <w:vAlign w:val="center"/>
          </w:tcPr>
          <w:p w14:paraId="49053D32" w14:textId="39C1E37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29.4</w:t>
            </w:r>
          </w:p>
        </w:tc>
        <w:tc>
          <w:tcPr>
            <w:tcW w:w="1126" w:type="dxa"/>
            <w:tcBorders>
              <w:top w:val="nil"/>
              <w:left w:val="nil"/>
              <w:bottom w:val="single" w:sz="4" w:space="0" w:color="auto"/>
              <w:right w:val="single" w:sz="4" w:space="0" w:color="auto"/>
            </w:tcBorders>
            <w:shd w:val="clear" w:color="auto" w:fill="auto"/>
            <w:noWrap/>
            <w:vAlign w:val="center"/>
          </w:tcPr>
          <w:p w14:paraId="69099109" w14:textId="5F09C65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44.5</w:t>
            </w:r>
          </w:p>
        </w:tc>
        <w:tc>
          <w:tcPr>
            <w:tcW w:w="850" w:type="dxa"/>
            <w:tcBorders>
              <w:top w:val="nil"/>
              <w:left w:val="nil"/>
              <w:bottom w:val="single" w:sz="4" w:space="0" w:color="auto"/>
              <w:right w:val="single" w:sz="4" w:space="0" w:color="auto"/>
            </w:tcBorders>
            <w:shd w:val="clear" w:color="auto" w:fill="auto"/>
            <w:vAlign w:val="center"/>
          </w:tcPr>
          <w:p w14:paraId="2F0DF95C" w14:textId="336EDC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48.2</w:t>
            </w:r>
          </w:p>
        </w:tc>
        <w:tc>
          <w:tcPr>
            <w:tcW w:w="1295" w:type="dxa"/>
            <w:tcBorders>
              <w:top w:val="nil"/>
              <w:left w:val="nil"/>
              <w:bottom w:val="single" w:sz="4" w:space="0" w:color="auto"/>
              <w:right w:val="single" w:sz="4" w:space="0" w:color="auto"/>
            </w:tcBorders>
            <w:shd w:val="clear" w:color="auto" w:fill="auto"/>
            <w:noWrap/>
            <w:vAlign w:val="center"/>
          </w:tcPr>
          <w:p w14:paraId="46241843" w14:textId="31B0771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50.4</w:t>
            </w:r>
          </w:p>
        </w:tc>
        <w:tc>
          <w:tcPr>
            <w:tcW w:w="1173" w:type="dxa"/>
            <w:tcBorders>
              <w:top w:val="nil"/>
              <w:left w:val="nil"/>
              <w:bottom w:val="single" w:sz="4" w:space="0" w:color="auto"/>
              <w:right w:val="single" w:sz="4" w:space="0" w:color="auto"/>
            </w:tcBorders>
            <w:shd w:val="clear" w:color="auto" w:fill="auto"/>
            <w:noWrap/>
            <w:vAlign w:val="center"/>
          </w:tcPr>
          <w:p w14:paraId="71C39402" w14:textId="4594FFC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w:t>
            </w:r>
          </w:p>
        </w:tc>
      </w:tr>
      <w:tr w:rsidR="005A3FC1" w:rsidRPr="00646B6F" w14:paraId="5972C2D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B0F0CFD" w14:textId="5F4F173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101–125</w:t>
            </w:r>
          </w:p>
        </w:tc>
        <w:tc>
          <w:tcPr>
            <w:tcW w:w="3452" w:type="dxa"/>
            <w:tcBorders>
              <w:top w:val="nil"/>
              <w:left w:val="nil"/>
              <w:bottom w:val="single" w:sz="4" w:space="0" w:color="auto"/>
              <w:right w:val="single" w:sz="4" w:space="0" w:color="auto"/>
            </w:tcBorders>
            <w:shd w:val="clear" w:color="000000" w:fill="E7E6E6"/>
            <w:noWrap/>
            <w:vAlign w:val="center"/>
          </w:tcPr>
          <w:p w14:paraId="5B71F257" w14:textId="6356D18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000000" w:fill="E7E6E6"/>
            <w:vAlign w:val="center"/>
          </w:tcPr>
          <w:p w14:paraId="3D6AE8CB" w14:textId="655D0FE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497190E2" w14:textId="5D39502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37.8–41.5</w:t>
            </w:r>
          </w:p>
        </w:tc>
        <w:tc>
          <w:tcPr>
            <w:tcW w:w="841" w:type="dxa"/>
            <w:tcBorders>
              <w:top w:val="nil"/>
              <w:left w:val="nil"/>
              <w:bottom w:val="single" w:sz="4" w:space="0" w:color="auto"/>
              <w:right w:val="single" w:sz="4" w:space="0" w:color="auto"/>
            </w:tcBorders>
            <w:shd w:val="clear" w:color="000000" w:fill="E7E6E6"/>
            <w:noWrap/>
            <w:vAlign w:val="center"/>
          </w:tcPr>
          <w:p w14:paraId="24CFFF7A" w14:textId="62A2657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26.9</w:t>
            </w:r>
          </w:p>
        </w:tc>
        <w:tc>
          <w:tcPr>
            <w:tcW w:w="1126" w:type="dxa"/>
            <w:tcBorders>
              <w:top w:val="nil"/>
              <w:left w:val="nil"/>
              <w:bottom w:val="single" w:sz="4" w:space="0" w:color="auto"/>
              <w:right w:val="single" w:sz="4" w:space="0" w:color="auto"/>
            </w:tcBorders>
            <w:shd w:val="clear" w:color="000000" w:fill="E7E6E6"/>
            <w:noWrap/>
            <w:vAlign w:val="center"/>
          </w:tcPr>
          <w:p w14:paraId="5A88A8D6" w14:textId="45979C8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48.9</w:t>
            </w:r>
          </w:p>
        </w:tc>
        <w:tc>
          <w:tcPr>
            <w:tcW w:w="850" w:type="dxa"/>
            <w:tcBorders>
              <w:top w:val="nil"/>
              <w:left w:val="nil"/>
              <w:bottom w:val="single" w:sz="4" w:space="0" w:color="auto"/>
              <w:right w:val="single" w:sz="4" w:space="0" w:color="auto"/>
            </w:tcBorders>
            <w:shd w:val="clear" w:color="000000" w:fill="E7E6E6"/>
            <w:vAlign w:val="center"/>
          </w:tcPr>
          <w:p w14:paraId="47C1F874" w14:textId="5BDDE50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51.5</w:t>
            </w:r>
          </w:p>
        </w:tc>
        <w:tc>
          <w:tcPr>
            <w:tcW w:w="1295" w:type="dxa"/>
            <w:tcBorders>
              <w:top w:val="nil"/>
              <w:left w:val="nil"/>
              <w:bottom w:val="single" w:sz="4" w:space="0" w:color="auto"/>
              <w:right w:val="single" w:sz="4" w:space="0" w:color="auto"/>
            </w:tcBorders>
            <w:shd w:val="clear" w:color="000000" w:fill="E7E6E6"/>
            <w:noWrap/>
            <w:vAlign w:val="center"/>
          </w:tcPr>
          <w:p w14:paraId="77654464" w14:textId="4740A53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42.7</w:t>
            </w:r>
          </w:p>
        </w:tc>
        <w:tc>
          <w:tcPr>
            <w:tcW w:w="1173" w:type="dxa"/>
            <w:tcBorders>
              <w:top w:val="nil"/>
              <w:left w:val="nil"/>
              <w:bottom w:val="single" w:sz="4" w:space="0" w:color="auto"/>
              <w:right w:val="single" w:sz="4" w:space="0" w:color="auto"/>
            </w:tcBorders>
            <w:shd w:val="clear" w:color="000000" w:fill="E7E6E6"/>
            <w:noWrap/>
            <w:vAlign w:val="center"/>
          </w:tcPr>
          <w:p w14:paraId="02FDB0C2" w14:textId="575F8E2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28.6</w:t>
            </w:r>
          </w:p>
        </w:tc>
      </w:tr>
      <w:tr w:rsidR="005A3FC1" w:rsidRPr="00646B6F" w14:paraId="722DE8E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2A98D13" w14:textId="51762B7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52" w:type="dxa"/>
            <w:tcBorders>
              <w:top w:val="nil"/>
              <w:left w:val="nil"/>
              <w:bottom w:val="single" w:sz="4" w:space="0" w:color="auto"/>
              <w:right w:val="single" w:sz="4" w:space="0" w:color="auto"/>
            </w:tcBorders>
            <w:shd w:val="clear" w:color="auto" w:fill="auto"/>
            <w:noWrap/>
            <w:vAlign w:val="center"/>
          </w:tcPr>
          <w:p w14:paraId="5D95C9A6" w14:textId="7D685DD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Lisboa</w:t>
            </w:r>
          </w:p>
        </w:tc>
        <w:tc>
          <w:tcPr>
            <w:tcW w:w="834" w:type="dxa"/>
            <w:tcBorders>
              <w:top w:val="nil"/>
              <w:left w:val="nil"/>
              <w:bottom w:val="single" w:sz="4" w:space="0" w:color="auto"/>
              <w:right w:val="single" w:sz="4" w:space="0" w:color="auto"/>
            </w:tcBorders>
            <w:shd w:val="clear" w:color="auto" w:fill="auto"/>
            <w:vAlign w:val="center"/>
          </w:tcPr>
          <w:p w14:paraId="5665C48A" w14:textId="6C8B737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auto" w:fill="auto"/>
            <w:noWrap/>
            <w:vAlign w:val="center"/>
          </w:tcPr>
          <w:p w14:paraId="1931B6CE" w14:textId="06529D9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33.8–37.6</w:t>
            </w:r>
          </w:p>
        </w:tc>
        <w:tc>
          <w:tcPr>
            <w:tcW w:w="841" w:type="dxa"/>
            <w:tcBorders>
              <w:top w:val="nil"/>
              <w:left w:val="nil"/>
              <w:bottom w:val="single" w:sz="4" w:space="0" w:color="auto"/>
              <w:right w:val="single" w:sz="4" w:space="0" w:color="auto"/>
            </w:tcBorders>
            <w:shd w:val="clear" w:color="auto" w:fill="auto"/>
            <w:noWrap/>
            <w:vAlign w:val="center"/>
          </w:tcPr>
          <w:p w14:paraId="233EBA0E" w14:textId="79457BA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64</w:t>
            </w:r>
          </w:p>
        </w:tc>
        <w:tc>
          <w:tcPr>
            <w:tcW w:w="1126" w:type="dxa"/>
            <w:tcBorders>
              <w:top w:val="nil"/>
              <w:left w:val="nil"/>
              <w:bottom w:val="single" w:sz="4" w:space="0" w:color="auto"/>
              <w:right w:val="single" w:sz="4" w:space="0" w:color="auto"/>
            </w:tcBorders>
            <w:shd w:val="clear" w:color="auto" w:fill="auto"/>
            <w:noWrap/>
            <w:vAlign w:val="center"/>
          </w:tcPr>
          <w:p w14:paraId="38746DEC" w14:textId="140EC28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38.7</w:t>
            </w:r>
          </w:p>
        </w:tc>
        <w:tc>
          <w:tcPr>
            <w:tcW w:w="850" w:type="dxa"/>
            <w:tcBorders>
              <w:top w:val="nil"/>
              <w:left w:val="nil"/>
              <w:bottom w:val="single" w:sz="4" w:space="0" w:color="auto"/>
              <w:right w:val="single" w:sz="4" w:space="0" w:color="auto"/>
            </w:tcBorders>
            <w:shd w:val="clear" w:color="auto" w:fill="auto"/>
            <w:vAlign w:val="center"/>
          </w:tcPr>
          <w:p w14:paraId="65A9D178" w14:textId="3D15FE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27.9</w:t>
            </w:r>
          </w:p>
        </w:tc>
        <w:tc>
          <w:tcPr>
            <w:tcW w:w="1295" w:type="dxa"/>
            <w:tcBorders>
              <w:top w:val="nil"/>
              <w:left w:val="nil"/>
              <w:bottom w:val="single" w:sz="4" w:space="0" w:color="auto"/>
              <w:right w:val="single" w:sz="4" w:space="0" w:color="auto"/>
            </w:tcBorders>
            <w:shd w:val="clear" w:color="auto" w:fill="auto"/>
            <w:noWrap/>
            <w:vAlign w:val="center"/>
          </w:tcPr>
          <w:p w14:paraId="3ED5E786" w14:textId="768AFD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16.2</w:t>
            </w:r>
          </w:p>
        </w:tc>
        <w:tc>
          <w:tcPr>
            <w:tcW w:w="1173" w:type="dxa"/>
            <w:tcBorders>
              <w:top w:val="nil"/>
              <w:left w:val="nil"/>
              <w:bottom w:val="single" w:sz="4" w:space="0" w:color="auto"/>
              <w:right w:val="single" w:sz="4" w:space="0" w:color="auto"/>
            </w:tcBorders>
            <w:shd w:val="clear" w:color="auto" w:fill="auto"/>
            <w:noWrap/>
            <w:vAlign w:val="center"/>
          </w:tcPr>
          <w:p w14:paraId="2F1FCDFB" w14:textId="48D5411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55.8</w:t>
            </w:r>
          </w:p>
        </w:tc>
      </w:tr>
      <w:tr w:rsidR="005A3FC1" w:rsidRPr="00646B6F" w14:paraId="02BC214C"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64CD423" w14:textId="06A48B5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2" w:type="dxa"/>
            <w:tcBorders>
              <w:top w:val="nil"/>
              <w:left w:val="nil"/>
              <w:bottom w:val="single" w:sz="4" w:space="0" w:color="auto"/>
              <w:right w:val="single" w:sz="4" w:space="0" w:color="auto"/>
            </w:tcBorders>
            <w:shd w:val="clear" w:color="000000" w:fill="E7E6E6"/>
            <w:noWrap/>
            <w:vAlign w:val="center"/>
          </w:tcPr>
          <w:p w14:paraId="2C73240C" w14:textId="535DE11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Valencia</w:t>
            </w:r>
          </w:p>
        </w:tc>
        <w:tc>
          <w:tcPr>
            <w:tcW w:w="834" w:type="dxa"/>
            <w:tcBorders>
              <w:top w:val="nil"/>
              <w:left w:val="nil"/>
              <w:bottom w:val="single" w:sz="4" w:space="0" w:color="auto"/>
              <w:right w:val="single" w:sz="4" w:space="0" w:color="auto"/>
            </w:tcBorders>
            <w:shd w:val="clear" w:color="000000" w:fill="E7E6E6"/>
            <w:vAlign w:val="center"/>
          </w:tcPr>
          <w:p w14:paraId="583AB853" w14:textId="26A941B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FBE2B6E" w14:textId="3C2315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30.1–33.7</w:t>
            </w:r>
          </w:p>
        </w:tc>
        <w:tc>
          <w:tcPr>
            <w:tcW w:w="841" w:type="dxa"/>
            <w:tcBorders>
              <w:top w:val="nil"/>
              <w:left w:val="nil"/>
              <w:bottom w:val="single" w:sz="4" w:space="0" w:color="auto"/>
              <w:right w:val="single" w:sz="4" w:space="0" w:color="auto"/>
            </w:tcBorders>
            <w:shd w:val="clear" w:color="000000" w:fill="E7E6E6"/>
            <w:noWrap/>
            <w:vAlign w:val="center"/>
          </w:tcPr>
          <w:p w14:paraId="1D950EA7" w14:textId="323632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18.7</w:t>
            </w:r>
          </w:p>
        </w:tc>
        <w:tc>
          <w:tcPr>
            <w:tcW w:w="1126" w:type="dxa"/>
            <w:tcBorders>
              <w:top w:val="nil"/>
              <w:left w:val="nil"/>
              <w:bottom w:val="single" w:sz="4" w:space="0" w:color="auto"/>
              <w:right w:val="single" w:sz="4" w:space="0" w:color="auto"/>
            </w:tcBorders>
            <w:shd w:val="clear" w:color="000000" w:fill="E7E6E6"/>
            <w:noWrap/>
            <w:vAlign w:val="center"/>
          </w:tcPr>
          <w:p w14:paraId="7A5FE186" w14:textId="22D832C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39.1</w:t>
            </w:r>
          </w:p>
        </w:tc>
        <w:tc>
          <w:tcPr>
            <w:tcW w:w="850" w:type="dxa"/>
            <w:tcBorders>
              <w:top w:val="nil"/>
              <w:left w:val="nil"/>
              <w:bottom w:val="single" w:sz="4" w:space="0" w:color="auto"/>
              <w:right w:val="single" w:sz="4" w:space="0" w:color="auto"/>
            </w:tcBorders>
            <w:shd w:val="clear" w:color="000000" w:fill="E7E6E6"/>
            <w:vAlign w:val="center"/>
          </w:tcPr>
          <w:p w14:paraId="4B5BCF1C" w14:textId="7744874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34.6</w:t>
            </w:r>
          </w:p>
        </w:tc>
        <w:tc>
          <w:tcPr>
            <w:tcW w:w="1295" w:type="dxa"/>
            <w:tcBorders>
              <w:top w:val="nil"/>
              <w:left w:val="nil"/>
              <w:bottom w:val="single" w:sz="4" w:space="0" w:color="auto"/>
              <w:right w:val="single" w:sz="4" w:space="0" w:color="auto"/>
            </w:tcBorders>
            <w:shd w:val="clear" w:color="000000" w:fill="E7E6E6"/>
            <w:noWrap/>
            <w:vAlign w:val="center"/>
          </w:tcPr>
          <w:p w14:paraId="1C2541B6" w14:textId="5D7F13A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33.6</w:t>
            </w:r>
          </w:p>
        </w:tc>
        <w:tc>
          <w:tcPr>
            <w:tcW w:w="1173" w:type="dxa"/>
            <w:tcBorders>
              <w:top w:val="nil"/>
              <w:left w:val="nil"/>
              <w:bottom w:val="single" w:sz="4" w:space="0" w:color="auto"/>
              <w:right w:val="single" w:sz="4" w:space="0" w:color="auto"/>
            </w:tcBorders>
            <w:shd w:val="clear" w:color="000000" w:fill="E7E6E6"/>
            <w:noWrap/>
            <w:vAlign w:val="center"/>
          </w:tcPr>
          <w:p w14:paraId="5C56A31B" w14:textId="5677BE7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27.9</w:t>
            </w:r>
          </w:p>
        </w:tc>
      </w:tr>
      <w:tr w:rsidR="005A3FC1" w:rsidRPr="00646B6F" w14:paraId="516F553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5615F6" w14:textId="250B584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auto" w:fill="auto"/>
            <w:noWrap/>
            <w:vAlign w:val="center"/>
          </w:tcPr>
          <w:p w14:paraId="2F953E6F" w14:textId="19B4C86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Católica de Chile</w:t>
            </w:r>
          </w:p>
        </w:tc>
        <w:tc>
          <w:tcPr>
            <w:tcW w:w="834" w:type="dxa"/>
            <w:tcBorders>
              <w:top w:val="nil"/>
              <w:left w:val="nil"/>
              <w:bottom w:val="single" w:sz="4" w:space="0" w:color="auto"/>
              <w:right w:val="single" w:sz="4" w:space="0" w:color="auto"/>
            </w:tcBorders>
            <w:shd w:val="clear" w:color="auto" w:fill="auto"/>
            <w:vAlign w:val="center"/>
          </w:tcPr>
          <w:p w14:paraId="0B88FE69" w14:textId="1F719B4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2194C16C" w14:textId="1647110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25.3–30.0</w:t>
            </w:r>
          </w:p>
        </w:tc>
        <w:tc>
          <w:tcPr>
            <w:tcW w:w="841" w:type="dxa"/>
            <w:tcBorders>
              <w:top w:val="nil"/>
              <w:left w:val="nil"/>
              <w:bottom w:val="single" w:sz="4" w:space="0" w:color="auto"/>
              <w:right w:val="single" w:sz="4" w:space="0" w:color="auto"/>
            </w:tcBorders>
            <w:shd w:val="clear" w:color="auto" w:fill="auto"/>
            <w:noWrap/>
            <w:vAlign w:val="center"/>
          </w:tcPr>
          <w:p w14:paraId="62CD2210" w14:textId="06B8B56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20.9</w:t>
            </w:r>
          </w:p>
        </w:tc>
        <w:tc>
          <w:tcPr>
            <w:tcW w:w="1126" w:type="dxa"/>
            <w:tcBorders>
              <w:top w:val="nil"/>
              <w:left w:val="nil"/>
              <w:bottom w:val="single" w:sz="4" w:space="0" w:color="auto"/>
              <w:right w:val="single" w:sz="4" w:space="0" w:color="auto"/>
            </w:tcBorders>
            <w:shd w:val="clear" w:color="auto" w:fill="auto"/>
            <w:noWrap/>
            <w:vAlign w:val="center"/>
          </w:tcPr>
          <w:p w14:paraId="72A0AF7E" w14:textId="6C2A222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38.9</w:t>
            </w:r>
          </w:p>
        </w:tc>
        <w:tc>
          <w:tcPr>
            <w:tcW w:w="850" w:type="dxa"/>
            <w:tcBorders>
              <w:top w:val="nil"/>
              <w:left w:val="nil"/>
              <w:bottom w:val="single" w:sz="4" w:space="0" w:color="auto"/>
              <w:right w:val="single" w:sz="4" w:space="0" w:color="auto"/>
            </w:tcBorders>
            <w:shd w:val="clear" w:color="auto" w:fill="auto"/>
            <w:vAlign w:val="center"/>
          </w:tcPr>
          <w:p w14:paraId="197957AE" w14:textId="51C59FD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18.3</w:t>
            </w:r>
          </w:p>
        </w:tc>
        <w:tc>
          <w:tcPr>
            <w:tcW w:w="1295" w:type="dxa"/>
            <w:tcBorders>
              <w:top w:val="nil"/>
              <w:left w:val="nil"/>
              <w:bottom w:val="single" w:sz="4" w:space="0" w:color="auto"/>
              <w:right w:val="single" w:sz="4" w:space="0" w:color="auto"/>
            </w:tcBorders>
            <w:shd w:val="clear" w:color="auto" w:fill="auto"/>
            <w:noWrap/>
            <w:vAlign w:val="center"/>
          </w:tcPr>
          <w:p w14:paraId="5F257F0F" w14:textId="41C0626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31.2</w:t>
            </w:r>
          </w:p>
        </w:tc>
        <w:tc>
          <w:tcPr>
            <w:tcW w:w="1173" w:type="dxa"/>
            <w:tcBorders>
              <w:top w:val="nil"/>
              <w:left w:val="nil"/>
              <w:bottom w:val="single" w:sz="4" w:space="0" w:color="auto"/>
              <w:right w:val="single" w:sz="4" w:space="0" w:color="auto"/>
            </w:tcBorders>
            <w:shd w:val="clear" w:color="auto" w:fill="auto"/>
            <w:noWrap/>
            <w:vAlign w:val="center"/>
          </w:tcPr>
          <w:p w14:paraId="3C883BEA" w14:textId="09984A3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27.4</w:t>
            </w:r>
          </w:p>
        </w:tc>
      </w:tr>
      <w:tr w:rsidR="005A3FC1" w:rsidRPr="00646B6F" w14:paraId="6F009175"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7247386" w14:textId="6403456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000000" w:fill="E7E6E6"/>
            <w:noWrap/>
            <w:vAlign w:val="center"/>
          </w:tcPr>
          <w:p w14:paraId="0C70A809" w14:textId="7A775ED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000000" w:fill="E7E6E6"/>
            <w:vAlign w:val="center"/>
          </w:tcPr>
          <w:p w14:paraId="58EB1844" w14:textId="3735091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4E0ECEFB" w14:textId="69BA733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25.3–30.0</w:t>
            </w:r>
          </w:p>
        </w:tc>
        <w:tc>
          <w:tcPr>
            <w:tcW w:w="841" w:type="dxa"/>
            <w:tcBorders>
              <w:top w:val="nil"/>
              <w:left w:val="nil"/>
              <w:bottom w:val="single" w:sz="4" w:space="0" w:color="auto"/>
              <w:right w:val="single" w:sz="4" w:space="0" w:color="auto"/>
            </w:tcBorders>
            <w:shd w:val="clear" w:color="000000" w:fill="E7E6E6"/>
            <w:noWrap/>
            <w:vAlign w:val="center"/>
          </w:tcPr>
          <w:p w14:paraId="29274AB4" w14:textId="6BF7B0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25.6</w:t>
            </w:r>
          </w:p>
        </w:tc>
        <w:tc>
          <w:tcPr>
            <w:tcW w:w="1126" w:type="dxa"/>
            <w:tcBorders>
              <w:top w:val="nil"/>
              <w:left w:val="nil"/>
              <w:bottom w:val="single" w:sz="4" w:space="0" w:color="auto"/>
              <w:right w:val="single" w:sz="4" w:space="0" w:color="auto"/>
            </w:tcBorders>
            <w:shd w:val="clear" w:color="000000" w:fill="E7E6E6"/>
            <w:noWrap/>
            <w:vAlign w:val="center"/>
          </w:tcPr>
          <w:p w14:paraId="636994DC" w14:textId="730C8DB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58.2</w:t>
            </w:r>
          </w:p>
        </w:tc>
        <w:tc>
          <w:tcPr>
            <w:tcW w:w="850" w:type="dxa"/>
            <w:tcBorders>
              <w:top w:val="nil"/>
              <w:left w:val="nil"/>
              <w:bottom w:val="single" w:sz="4" w:space="0" w:color="auto"/>
              <w:right w:val="single" w:sz="4" w:space="0" w:color="auto"/>
            </w:tcBorders>
            <w:shd w:val="clear" w:color="000000" w:fill="E7E6E6"/>
            <w:vAlign w:val="center"/>
          </w:tcPr>
          <w:p w14:paraId="6480A1F9" w14:textId="44959F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25.5</w:t>
            </w:r>
          </w:p>
        </w:tc>
        <w:tc>
          <w:tcPr>
            <w:tcW w:w="1295" w:type="dxa"/>
            <w:tcBorders>
              <w:top w:val="nil"/>
              <w:left w:val="nil"/>
              <w:bottom w:val="single" w:sz="4" w:space="0" w:color="auto"/>
              <w:right w:val="single" w:sz="4" w:space="0" w:color="auto"/>
            </w:tcBorders>
            <w:shd w:val="clear" w:color="000000" w:fill="E7E6E6"/>
            <w:noWrap/>
            <w:vAlign w:val="center"/>
          </w:tcPr>
          <w:p w14:paraId="35D2B66F" w14:textId="6C616F8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25.7</w:t>
            </w:r>
          </w:p>
        </w:tc>
        <w:tc>
          <w:tcPr>
            <w:tcW w:w="1173" w:type="dxa"/>
            <w:tcBorders>
              <w:top w:val="nil"/>
              <w:left w:val="nil"/>
              <w:bottom w:val="single" w:sz="4" w:space="0" w:color="auto"/>
              <w:right w:val="single" w:sz="4" w:space="0" w:color="auto"/>
            </w:tcBorders>
            <w:shd w:val="clear" w:color="000000" w:fill="E7E6E6"/>
            <w:noWrap/>
            <w:vAlign w:val="center"/>
          </w:tcPr>
          <w:p w14:paraId="6FAD8628" w14:textId="4C330DB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21.5</w:t>
            </w:r>
          </w:p>
        </w:tc>
      </w:tr>
      <w:tr w:rsidR="005A3FC1" w:rsidRPr="00646B6F" w14:paraId="431CFEE4"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D9291F" w14:textId="310AF68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auto" w:fill="auto"/>
            <w:noWrap/>
            <w:vAlign w:val="center"/>
          </w:tcPr>
          <w:p w14:paraId="3D0B483A" w14:textId="2C2378F1"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Carlos III de Madrid</w:t>
            </w:r>
          </w:p>
        </w:tc>
        <w:tc>
          <w:tcPr>
            <w:tcW w:w="834" w:type="dxa"/>
            <w:tcBorders>
              <w:top w:val="nil"/>
              <w:left w:val="nil"/>
              <w:bottom w:val="single" w:sz="4" w:space="0" w:color="auto"/>
              <w:right w:val="single" w:sz="4" w:space="0" w:color="auto"/>
            </w:tcBorders>
            <w:shd w:val="clear" w:color="auto" w:fill="auto"/>
            <w:vAlign w:val="center"/>
          </w:tcPr>
          <w:p w14:paraId="74DEBB39" w14:textId="1DAADBE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FC177F7" w14:textId="570FFE6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25.3–30.0</w:t>
            </w:r>
          </w:p>
        </w:tc>
        <w:tc>
          <w:tcPr>
            <w:tcW w:w="841" w:type="dxa"/>
            <w:tcBorders>
              <w:top w:val="nil"/>
              <w:left w:val="nil"/>
              <w:bottom w:val="single" w:sz="4" w:space="0" w:color="auto"/>
              <w:right w:val="single" w:sz="4" w:space="0" w:color="auto"/>
            </w:tcBorders>
            <w:shd w:val="clear" w:color="auto" w:fill="auto"/>
            <w:noWrap/>
            <w:vAlign w:val="center"/>
          </w:tcPr>
          <w:p w14:paraId="5C23F4C1" w14:textId="2F36C8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w:t>
            </w:r>
          </w:p>
        </w:tc>
        <w:tc>
          <w:tcPr>
            <w:tcW w:w="1126" w:type="dxa"/>
            <w:tcBorders>
              <w:top w:val="nil"/>
              <w:left w:val="nil"/>
              <w:bottom w:val="single" w:sz="4" w:space="0" w:color="auto"/>
              <w:right w:val="single" w:sz="4" w:space="0" w:color="auto"/>
            </w:tcBorders>
            <w:shd w:val="clear" w:color="auto" w:fill="auto"/>
            <w:noWrap/>
            <w:vAlign w:val="center"/>
          </w:tcPr>
          <w:p w14:paraId="6A716887" w14:textId="521E4C9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54.1</w:t>
            </w:r>
          </w:p>
        </w:tc>
        <w:tc>
          <w:tcPr>
            <w:tcW w:w="850" w:type="dxa"/>
            <w:tcBorders>
              <w:top w:val="nil"/>
              <w:left w:val="nil"/>
              <w:bottom w:val="single" w:sz="4" w:space="0" w:color="auto"/>
              <w:right w:val="single" w:sz="4" w:space="0" w:color="auto"/>
            </w:tcBorders>
            <w:shd w:val="clear" w:color="auto" w:fill="auto"/>
            <w:vAlign w:val="center"/>
          </w:tcPr>
          <w:p w14:paraId="1BC3E9C6" w14:textId="5B14959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22.9</w:t>
            </w:r>
          </w:p>
        </w:tc>
        <w:tc>
          <w:tcPr>
            <w:tcW w:w="1295" w:type="dxa"/>
            <w:tcBorders>
              <w:top w:val="nil"/>
              <w:left w:val="nil"/>
              <w:bottom w:val="single" w:sz="4" w:space="0" w:color="auto"/>
              <w:right w:val="single" w:sz="4" w:space="0" w:color="auto"/>
            </w:tcBorders>
            <w:shd w:val="clear" w:color="auto" w:fill="auto"/>
            <w:noWrap/>
            <w:vAlign w:val="center"/>
          </w:tcPr>
          <w:p w14:paraId="45EC0588" w14:textId="4594668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24.5</w:t>
            </w:r>
          </w:p>
        </w:tc>
        <w:tc>
          <w:tcPr>
            <w:tcW w:w="1173" w:type="dxa"/>
            <w:tcBorders>
              <w:top w:val="nil"/>
              <w:left w:val="nil"/>
              <w:bottom w:val="single" w:sz="4" w:space="0" w:color="auto"/>
              <w:right w:val="single" w:sz="4" w:space="0" w:color="auto"/>
            </w:tcBorders>
            <w:shd w:val="clear" w:color="auto" w:fill="auto"/>
            <w:noWrap/>
            <w:vAlign w:val="center"/>
          </w:tcPr>
          <w:p w14:paraId="0A9CF984" w14:textId="503B914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30.2</w:t>
            </w:r>
          </w:p>
        </w:tc>
      </w:tr>
      <w:tr w:rsidR="005A3FC1" w:rsidRPr="00646B6F" w14:paraId="4CC06C2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A6B44AC" w14:textId="28ED8C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000000" w:fill="E7E6E6"/>
            <w:noWrap/>
            <w:vAlign w:val="center"/>
          </w:tcPr>
          <w:p w14:paraId="10365E24" w14:textId="76DA6391"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000000" w:fill="E7E6E6"/>
            <w:vAlign w:val="center"/>
          </w:tcPr>
          <w:p w14:paraId="10C654E3" w14:textId="050B78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23B338B9" w14:textId="6E32722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25.3–30.0</w:t>
            </w:r>
          </w:p>
        </w:tc>
        <w:tc>
          <w:tcPr>
            <w:tcW w:w="841" w:type="dxa"/>
            <w:tcBorders>
              <w:top w:val="nil"/>
              <w:left w:val="nil"/>
              <w:bottom w:val="single" w:sz="4" w:space="0" w:color="auto"/>
              <w:right w:val="single" w:sz="4" w:space="0" w:color="auto"/>
            </w:tcBorders>
            <w:shd w:val="clear" w:color="000000" w:fill="E7E6E6"/>
            <w:noWrap/>
            <w:vAlign w:val="center"/>
          </w:tcPr>
          <w:p w14:paraId="2D93C3C9" w14:textId="1D36C20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38.1</w:t>
            </w:r>
          </w:p>
        </w:tc>
        <w:tc>
          <w:tcPr>
            <w:tcW w:w="1126" w:type="dxa"/>
            <w:tcBorders>
              <w:top w:val="nil"/>
              <w:left w:val="nil"/>
              <w:bottom w:val="single" w:sz="4" w:space="0" w:color="auto"/>
              <w:right w:val="single" w:sz="4" w:space="0" w:color="auto"/>
            </w:tcBorders>
            <w:shd w:val="clear" w:color="000000" w:fill="E7E6E6"/>
            <w:noWrap/>
            <w:vAlign w:val="center"/>
          </w:tcPr>
          <w:p w14:paraId="18CAC0CD" w14:textId="71FE540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44.7</w:t>
            </w:r>
          </w:p>
        </w:tc>
        <w:tc>
          <w:tcPr>
            <w:tcW w:w="850" w:type="dxa"/>
            <w:tcBorders>
              <w:top w:val="nil"/>
              <w:left w:val="nil"/>
              <w:bottom w:val="single" w:sz="4" w:space="0" w:color="auto"/>
              <w:right w:val="single" w:sz="4" w:space="0" w:color="auto"/>
            </w:tcBorders>
            <w:shd w:val="clear" w:color="000000" w:fill="E7E6E6"/>
            <w:vAlign w:val="center"/>
          </w:tcPr>
          <w:p w14:paraId="35533697" w14:textId="572101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23.1</w:t>
            </w:r>
          </w:p>
        </w:tc>
        <w:tc>
          <w:tcPr>
            <w:tcW w:w="1295" w:type="dxa"/>
            <w:tcBorders>
              <w:top w:val="nil"/>
              <w:left w:val="nil"/>
              <w:bottom w:val="single" w:sz="4" w:space="0" w:color="auto"/>
              <w:right w:val="single" w:sz="4" w:space="0" w:color="auto"/>
            </w:tcBorders>
            <w:shd w:val="clear" w:color="000000" w:fill="E7E6E6"/>
            <w:noWrap/>
            <w:vAlign w:val="center"/>
          </w:tcPr>
          <w:p w14:paraId="54620896" w14:textId="0F59EE6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26.5</w:t>
            </w:r>
          </w:p>
        </w:tc>
        <w:tc>
          <w:tcPr>
            <w:tcW w:w="1173" w:type="dxa"/>
            <w:tcBorders>
              <w:top w:val="nil"/>
              <w:left w:val="nil"/>
              <w:bottom w:val="single" w:sz="4" w:space="0" w:color="auto"/>
              <w:right w:val="single" w:sz="4" w:space="0" w:color="auto"/>
            </w:tcBorders>
            <w:shd w:val="clear" w:color="000000" w:fill="E7E6E6"/>
            <w:noWrap/>
            <w:vAlign w:val="center"/>
          </w:tcPr>
          <w:p w14:paraId="4FF03224" w14:textId="144F83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w:t>
            </w:r>
          </w:p>
        </w:tc>
      </w:tr>
      <w:tr w:rsidR="002708D4" w:rsidRPr="00F46F74" w14:paraId="09C4E3A6"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393C5D1" w14:textId="7495FA7D"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176–200</w:t>
            </w:r>
          </w:p>
        </w:tc>
        <w:tc>
          <w:tcPr>
            <w:tcW w:w="3452" w:type="dxa"/>
            <w:tcBorders>
              <w:top w:val="nil"/>
              <w:left w:val="nil"/>
              <w:bottom w:val="single" w:sz="4" w:space="0" w:color="auto"/>
              <w:right w:val="single" w:sz="4" w:space="0" w:color="auto"/>
            </w:tcBorders>
            <w:shd w:val="clear" w:color="auto" w:fill="auto"/>
            <w:noWrap/>
            <w:vAlign w:val="center"/>
          </w:tcPr>
          <w:p w14:paraId="6718B246" w14:textId="38B77603" w:rsidR="002708D4" w:rsidRPr="00F27222" w:rsidRDefault="002708D4"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auto" w:fill="auto"/>
            <w:vAlign w:val="center"/>
          </w:tcPr>
          <w:p w14:paraId="397C0EFB" w14:textId="71371A71"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67578E12" w14:textId="69FE5A95"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25.3–30.0</w:t>
            </w:r>
          </w:p>
        </w:tc>
        <w:tc>
          <w:tcPr>
            <w:tcW w:w="841" w:type="dxa"/>
            <w:tcBorders>
              <w:top w:val="nil"/>
              <w:left w:val="nil"/>
              <w:bottom w:val="single" w:sz="4" w:space="0" w:color="auto"/>
              <w:right w:val="single" w:sz="4" w:space="0" w:color="auto"/>
            </w:tcBorders>
            <w:shd w:val="clear" w:color="auto" w:fill="auto"/>
            <w:noWrap/>
            <w:vAlign w:val="center"/>
          </w:tcPr>
          <w:p w14:paraId="24F22F0B" w14:textId="5DE5F7F2"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22.9</w:t>
            </w:r>
          </w:p>
        </w:tc>
        <w:tc>
          <w:tcPr>
            <w:tcW w:w="1126" w:type="dxa"/>
            <w:tcBorders>
              <w:top w:val="nil"/>
              <w:left w:val="nil"/>
              <w:bottom w:val="single" w:sz="4" w:space="0" w:color="auto"/>
              <w:right w:val="single" w:sz="4" w:space="0" w:color="auto"/>
            </w:tcBorders>
            <w:shd w:val="clear" w:color="auto" w:fill="auto"/>
            <w:noWrap/>
            <w:vAlign w:val="center"/>
          </w:tcPr>
          <w:p w14:paraId="7A037F0D" w14:textId="5A65D561"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84.9</w:t>
            </w:r>
          </w:p>
        </w:tc>
        <w:tc>
          <w:tcPr>
            <w:tcW w:w="850" w:type="dxa"/>
            <w:tcBorders>
              <w:top w:val="nil"/>
              <w:left w:val="nil"/>
              <w:bottom w:val="single" w:sz="4" w:space="0" w:color="auto"/>
              <w:right w:val="single" w:sz="4" w:space="0" w:color="auto"/>
            </w:tcBorders>
            <w:shd w:val="clear" w:color="auto" w:fill="auto"/>
            <w:vAlign w:val="center"/>
          </w:tcPr>
          <w:p w14:paraId="732E0F8E" w14:textId="0FB7DB9C"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31.5</w:t>
            </w:r>
          </w:p>
        </w:tc>
        <w:tc>
          <w:tcPr>
            <w:tcW w:w="1295" w:type="dxa"/>
            <w:tcBorders>
              <w:top w:val="nil"/>
              <w:left w:val="nil"/>
              <w:bottom w:val="single" w:sz="4" w:space="0" w:color="auto"/>
              <w:right w:val="single" w:sz="4" w:space="0" w:color="auto"/>
            </w:tcBorders>
            <w:shd w:val="clear" w:color="auto" w:fill="auto"/>
            <w:noWrap/>
            <w:vAlign w:val="center"/>
          </w:tcPr>
          <w:p w14:paraId="4917A1E9" w14:textId="1B709C55"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25.9</w:t>
            </w:r>
          </w:p>
        </w:tc>
        <w:tc>
          <w:tcPr>
            <w:tcW w:w="1173" w:type="dxa"/>
            <w:tcBorders>
              <w:top w:val="nil"/>
              <w:left w:val="nil"/>
              <w:bottom w:val="single" w:sz="4" w:space="0" w:color="auto"/>
              <w:right w:val="single" w:sz="4" w:space="0" w:color="auto"/>
            </w:tcBorders>
            <w:shd w:val="clear" w:color="auto" w:fill="auto"/>
            <w:noWrap/>
            <w:vAlign w:val="center"/>
          </w:tcPr>
          <w:p w14:paraId="2AAB5411" w14:textId="4A2A263F"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19.9</w:t>
            </w:r>
          </w:p>
        </w:tc>
      </w:tr>
    </w:tbl>
    <w:p w14:paraId="2E71B4C7" w14:textId="3105E5B9" w:rsidR="002708D4" w:rsidRDefault="002708D4" w:rsidP="0078703F">
      <w:pPr>
        <w:spacing w:line="240" w:lineRule="auto"/>
      </w:pPr>
    </w:p>
    <w:p w14:paraId="4A4AB6C9" w14:textId="77777777" w:rsidR="00322A4C" w:rsidRPr="00646B6F" w:rsidRDefault="00322A4C" w:rsidP="0078703F">
      <w:pPr>
        <w:spacing w:line="240" w:lineRule="auto"/>
      </w:pPr>
    </w:p>
    <w:tbl>
      <w:tblPr>
        <w:tblW w:w="11401" w:type="dxa"/>
        <w:jc w:val="center"/>
        <w:tblCellMar>
          <w:left w:w="70" w:type="dxa"/>
          <w:right w:w="70" w:type="dxa"/>
        </w:tblCellMar>
        <w:tblLook w:val="04A0" w:firstRow="1" w:lastRow="0" w:firstColumn="1" w:lastColumn="0" w:noHBand="0" w:noVBand="1"/>
      </w:tblPr>
      <w:tblGrid>
        <w:gridCol w:w="806"/>
        <w:gridCol w:w="3381"/>
        <w:gridCol w:w="839"/>
        <w:gridCol w:w="1051"/>
        <w:gridCol w:w="847"/>
        <w:gridCol w:w="1134"/>
        <w:gridCol w:w="856"/>
        <w:gridCol w:w="1304"/>
        <w:gridCol w:w="1183"/>
      </w:tblGrid>
      <w:tr w:rsidR="00810B7C" w:rsidRPr="00646B6F" w14:paraId="417CF027" w14:textId="77777777" w:rsidTr="005A3FC1">
        <w:trPr>
          <w:trHeight w:val="279"/>
          <w:jc w:val="center"/>
        </w:trPr>
        <w:tc>
          <w:tcPr>
            <w:tcW w:w="11401" w:type="dxa"/>
            <w:gridSpan w:val="9"/>
            <w:tcBorders>
              <w:top w:val="nil"/>
              <w:left w:val="nil"/>
              <w:bottom w:val="single" w:sz="4" w:space="0" w:color="auto"/>
              <w:right w:val="nil"/>
            </w:tcBorders>
            <w:shd w:val="clear" w:color="auto" w:fill="auto"/>
            <w:vAlign w:val="center"/>
            <w:hideMark/>
          </w:tcPr>
          <w:p w14:paraId="4F887853" w14:textId="69741267" w:rsidR="00810B7C" w:rsidRPr="00646B6F" w:rsidRDefault="0024082E"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4</w:t>
            </w:r>
            <w:r w:rsidR="00810B7C"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00810B7C"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00810B7C" w:rsidRPr="00646B6F">
              <w:rPr>
                <w:rFonts w:ascii="Calibri" w:eastAsia="Times New Roman" w:hAnsi="Calibri" w:cs="Calibri"/>
                <w:b/>
                <w:bCs/>
                <w:color w:val="000000"/>
                <w:sz w:val="20"/>
                <w:szCs w:val="20"/>
                <w:lang w:eastAsia="es-MX"/>
              </w:rPr>
              <w:t>Educación, 202</w:t>
            </w:r>
            <w:r w:rsidR="001B5079" w:rsidRPr="00646B6F">
              <w:rPr>
                <w:rFonts w:ascii="Calibri" w:eastAsia="Times New Roman" w:hAnsi="Calibri" w:cs="Calibri"/>
                <w:b/>
                <w:bCs/>
                <w:color w:val="000000"/>
                <w:sz w:val="20"/>
                <w:szCs w:val="20"/>
                <w:lang w:eastAsia="es-MX"/>
              </w:rPr>
              <w:t>1</w:t>
            </w:r>
            <w:r w:rsidR="00810B7C" w:rsidRPr="00646B6F">
              <w:rPr>
                <w:rFonts w:ascii="Calibri" w:eastAsia="Times New Roman" w:hAnsi="Calibri" w:cs="Calibri"/>
                <w:b/>
                <w:bCs/>
                <w:color w:val="000000"/>
                <w:sz w:val="20"/>
                <w:szCs w:val="20"/>
                <w:lang w:eastAsia="es-MX"/>
              </w:rPr>
              <w:t>.</w:t>
            </w:r>
          </w:p>
        </w:tc>
      </w:tr>
      <w:tr w:rsidR="00810B7C" w:rsidRPr="00646B6F" w14:paraId="064FC60D" w14:textId="77777777" w:rsidTr="005A3FC1">
        <w:trPr>
          <w:trHeight w:val="446"/>
          <w:jc w:val="center"/>
        </w:trPr>
        <w:tc>
          <w:tcPr>
            <w:tcW w:w="806" w:type="dxa"/>
            <w:tcBorders>
              <w:top w:val="nil"/>
              <w:left w:val="single" w:sz="4" w:space="0" w:color="auto"/>
              <w:bottom w:val="single" w:sz="4" w:space="0" w:color="auto"/>
              <w:right w:val="single" w:sz="4" w:space="0" w:color="auto"/>
            </w:tcBorders>
            <w:shd w:val="clear" w:color="000000" w:fill="BDD6EE"/>
            <w:vAlign w:val="center"/>
            <w:hideMark/>
          </w:tcPr>
          <w:p w14:paraId="7115E680"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381" w:type="dxa"/>
            <w:tcBorders>
              <w:top w:val="nil"/>
              <w:left w:val="nil"/>
              <w:bottom w:val="single" w:sz="4" w:space="0" w:color="auto"/>
              <w:right w:val="single" w:sz="4" w:space="0" w:color="auto"/>
            </w:tcBorders>
            <w:shd w:val="clear" w:color="000000" w:fill="BDD6EE"/>
            <w:vAlign w:val="center"/>
            <w:hideMark/>
          </w:tcPr>
          <w:p w14:paraId="7038B0A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39" w:type="dxa"/>
            <w:tcBorders>
              <w:top w:val="nil"/>
              <w:left w:val="nil"/>
              <w:bottom w:val="single" w:sz="4" w:space="0" w:color="auto"/>
              <w:right w:val="single" w:sz="4" w:space="0" w:color="auto"/>
            </w:tcBorders>
            <w:shd w:val="clear" w:color="000000" w:fill="BDD6EE"/>
            <w:vAlign w:val="center"/>
            <w:hideMark/>
          </w:tcPr>
          <w:p w14:paraId="49DD4C0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51" w:type="dxa"/>
            <w:tcBorders>
              <w:top w:val="nil"/>
              <w:left w:val="nil"/>
              <w:bottom w:val="single" w:sz="4" w:space="0" w:color="auto"/>
              <w:right w:val="single" w:sz="4" w:space="0" w:color="auto"/>
            </w:tcBorders>
            <w:shd w:val="clear" w:color="000000" w:fill="BDD6EE"/>
            <w:vAlign w:val="center"/>
            <w:hideMark/>
          </w:tcPr>
          <w:p w14:paraId="49BAC19F"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7" w:type="dxa"/>
            <w:tcBorders>
              <w:top w:val="nil"/>
              <w:left w:val="nil"/>
              <w:bottom w:val="single" w:sz="4" w:space="0" w:color="auto"/>
              <w:right w:val="single" w:sz="4" w:space="0" w:color="auto"/>
            </w:tcBorders>
            <w:shd w:val="clear" w:color="000000" w:fill="BDD6EE"/>
            <w:vAlign w:val="center"/>
            <w:hideMark/>
          </w:tcPr>
          <w:p w14:paraId="1CA2CE20"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34" w:type="dxa"/>
            <w:tcBorders>
              <w:top w:val="nil"/>
              <w:left w:val="nil"/>
              <w:bottom w:val="single" w:sz="4" w:space="0" w:color="auto"/>
              <w:right w:val="single" w:sz="4" w:space="0" w:color="auto"/>
            </w:tcBorders>
            <w:shd w:val="clear" w:color="000000" w:fill="BDD6EE"/>
            <w:vAlign w:val="center"/>
            <w:hideMark/>
          </w:tcPr>
          <w:p w14:paraId="2CCA618A"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856" w:type="dxa"/>
            <w:tcBorders>
              <w:top w:val="nil"/>
              <w:left w:val="nil"/>
              <w:bottom w:val="single" w:sz="4" w:space="0" w:color="auto"/>
              <w:right w:val="single" w:sz="4" w:space="0" w:color="auto"/>
            </w:tcBorders>
            <w:shd w:val="clear" w:color="000000" w:fill="BDD6EE"/>
            <w:vAlign w:val="center"/>
            <w:hideMark/>
          </w:tcPr>
          <w:p w14:paraId="6B0CC2A6"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304" w:type="dxa"/>
            <w:tcBorders>
              <w:top w:val="nil"/>
              <w:left w:val="nil"/>
              <w:bottom w:val="single" w:sz="4" w:space="0" w:color="auto"/>
              <w:right w:val="single" w:sz="4" w:space="0" w:color="auto"/>
            </w:tcBorders>
            <w:shd w:val="clear" w:color="000000" w:fill="BDD6EE"/>
            <w:vAlign w:val="center"/>
            <w:hideMark/>
          </w:tcPr>
          <w:p w14:paraId="63943A2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81" w:type="dxa"/>
            <w:tcBorders>
              <w:top w:val="nil"/>
              <w:left w:val="nil"/>
              <w:bottom w:val="single" w:sz="4" w:space="0" w:color="auto"/>
              <w:right w:val="single" w:sz="4" w:space="0" w:color="auto"/>
            </w:tcBorders>
            <w:shd w:val="clear" w:color="000000" w:fill="BDD6EE"/>
            <w:vAlign w:val="center"/>
            <w:hideMark/>
          </w:tcPr>
          <w:p w14:paraId="488736D8"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3930BBE8"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3D6DA26F" w14:textId="0D3BC38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88</w:t>
            </w:r>
          </w:p>
        </w:tc>
        <w:tc>
          <w:tcPr>
            <w:tcW w:w="3381" w:type="dxa"/>
            <w:tcBorders>
              <w:top w:val="nil"/>
              <w:left w:val="nil"/>
              <w:bottom w:val="single" w:sz="4" w:space="0" w:color="auto"/>
              <w:right w:val="single" w:sz="4" w:space="0" w:color="auto"/>
            </w:tcBorders>
            <w:shd w:val="clear" w:color="auto" w:fill="auto"/>
            <w:noWrap/>
            <w:vAlign w:val="center"/>
          </w:tcPr>
          <w:p w14:paraId="31FD61A1" w14:textId="5C92CB5A"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de Sao Paulo</w:t>
            </w:r>
          </w:p>
        </w:tc>
        <w:tc>
          <w:tcPr>
            <w:tcW w:w="839" w:type="dxa"/>
            <w:tcBorders>
              <w:top w:val="nil"/>
              <w:left w:val="nil"/>
              <w:bottom w:val="single" w:sz="4" w:space="0" w:color="auto"/>
              <w:right w:val="single" w:sz="4" w:space="0" w:color="auto"/>
            </w:tcBorders>
            <w:shd w:val="clear" w:color="auto" w:fill="auto"/>
            <w:vAlign w:val="center"/>
          </w:tcPr>
          <w:p w14:paraId="60972724" w14:textId="64C72A33"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Brasil</w:t>
            </w:r>
          </w:p>
        </w:tc>
        <w:tc>
          <w:tcPr>
            <w:tcW w:w="1051" w:type="dxa"/>
            <w:tcBorders>
              <w:top w:val="nil"/>
              <w:left w:val="nil"/>
              <w:bottom w:val="single" w:sz="4" w:space="0" w:color="auto"/>
              <w:right w:val="single" w:sz="4" w:space="0" w:color="auto"/>
            </w:tcBorders>
            <w:shd w:val="clear" w:color="auto" w:fill="auto"/>
            <w:noWrap/>
            <w:vAlign w:val="center"/>
          </w:tcPr>
          <w:p w14:paraId="21C57F20" w14:textId="01EC8AE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51.1</w:t>
            </w:r>
          </w:p>
        </w:tc>
        <w:tc>
          <w:tcPr>
            <w:tcW w:w="847" w:type="dxa"/>
            <w:tcBorders>
              <w:top w:val="nil"/>
              <w:left w:val="nil"/>
              <w:bottom w:val="single" w:sz="4" w:space="0" w:color="auto"/>
              <w:right w:val="single" w:sz="4" w:space="0" w:color="auto"/>
            </w:tcBorders>
            <w:shd w:val="clear" w:color="auto" w:fill="auto"/>
            <w:noWrap/>
            <w:vAlign w:val="center"/>
          </w:tcPr>
          <w:p w14:paraId="30AAA972" w14:textId="29ADFCF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23</w:t>
            </w:r>
          </w:p>
        </w:tc>
        <w:tc>
          <w:tcPr>
            <w:tcW w:w="1134" w:type="dxa"/>
            <w:tcBorders>
              <w:top w:val="nil"/>
              <w:left w:val="nil"/>
              <w:bottom w:val="single" w:sz="4" w:space="0" w:color="auto"/>
              <w:right w:val="single" w:sz="4" w:space="0" w:color="auto"/>
            </w:tcBorders>
            <w:shd w:val="clear" w:color="auto" w:fill="auto"/>
            <w:noWrap/>
            <w:vAlign w:val="center"/>
          </w:tcPr>
          <w:p w14:paraId="1E334472" w14:textId="7130A542"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47.1</w:t>
            </w:r>
          </w:p>
        </w:tc>
        <w:tc>
          <w:tcPr>
            <w:tcW w:w="856" w:type="dxa"/>
            <w:tcBorders>
              <w:top w:val="nil"/>
              <w:left w:val="nil"/>
              <w:bottom w:val="single" w:sz="4" w:space="0" w:color="auto"/>
              <w:right w:val="single" w:sz="4" w:space="0" w:color="auto"/>
            </w:tcBorders>
            <w:shd w:val="clear" w:color="auto" w:fill="auto"/>
            <w:vAlign w:val="center"/>
          </w:tcPr>
          <w:p w14:paraId="2FD58E93" w14:textId="37AA4C3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69.7</w:t>
            </w:r>
          </w:p>
        </w:tc>
        <w:tc>
          <w:tcPr>
            <w:tcW w:w="1304" w:type="dxa"/>
            <w:tcBorders>
              <w:top w:val="nil"/>
              <w:left w:val="nil"/>
              <w:bottom w:val="single" w:sz="4" w:space="0" w:color="auto"/>
              <w:right w:val="single" w:sz="4" w:space="0" w:color="auto"/>
            </w:tcBorders>
            <w:shd w:val="clear" w:color="auto" w:fill="auto"/>
            <w:noWrap/>
            <w:vAlign w:val="center"/>
          </w:tcPr>
          <w:p w14:paraId="2ECB69FB" w14:textId="4190CC88"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62.5</w:t>
            </w:r>
          </w:p>
        </w:tc>
        <w:tc>
          <w:tcPr>
            <w:tcW w:w="1181" w:type="dxa"/>
            <w:tcBorders>
              <w:top w:val="nil"/>
              <w:left w:val="nil"/>
              <w:bottom w:val="single" w:sz="4" w:space="0" w:color="auto"/>
              <w:right w:val="single" w:sz="4" w:space="0" w:color="auto"/>
            </w:tcBorders>
            <w:shd w:val="clear" w:color="auto" w:fill="auto"/>
            <w:noWrap/>
            <w:vAlign w:val="center"/>
          </w:tcPr>
          <w:p w14:paraId="4CAD8E16" w14:textId="7A259E5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24.5</w:t>
            </w:r>
          </w:p>
        </w:tc>
      </w:tr>
      <w:tr w:rsidR="005A3FC1" w:rsidRPr="00646B6F" w14:paraId="7FAB9D5B"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1DA58BED" w14:textId="528A46B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101–125</w:t>
            </w:r>
          </w:p>
        </w:tc>
        <w:tc>
          <w:tcPr>
            <w:tcW w:w="3381" w:type="dxa"/>
            <w:tcBorders>
              <w:top w:val="nil"/>
              <w:left w:val="nil"/>
              <w:bottom w:val="single" w:sz="4" w:space="0" w:color="auto"/>
              <w:right w:val="single" w:sz="4" w:space="0" w:color="auto"/>
            </w:tcBorders>
            <w:shd w:val="clear" w:color="000000" w:fill="E7E6E6"/>
            <w:noWrap/>
            <w:vAlign w:val="center"/>
          </w:tcPr>
          <w:p w14:paraId="72F5B200" w14:textId="6B38D6C7"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Autónoma de Barcelona</w:t>
            </w:r>
          </w:p>
        </w:tc>
        <w:tc>
          <w:tcPr>
            <w:tcW w:w="839" w:type="dxa"/>
            <w:tcBorders>
              <w:top w:val="nil"/>
              <w:left w:val="nil"/>
              <w:bottom w:val="single" w:sz="4" w:space="0" w:color="auto"/>
              <w:right w:val="single" w:sz="4" w:space="0" w:color="auto"/>
            </w:tcBorders>
            <w:shd w:val="clear" w:color="000000" w:fill="E7E6E6"/>
            <w:vAlign w:val="center"/>
          </w:tcPr>
          <w:p w14:paraId="56BA9EF6" w14:textId="23E59068"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España</w:t>
            </w:r>
          </w:p>
        </w:tc>
        <w:tc>
          <w:tcPr>
            <w:tcW w:w="1051" w:type="dxa"/>
            <w:tcBorders>
              <w:top w:val="nil"/>
              <w:left w:val="nil"/>
              <w:bottom w:val="single" w:sz="4" w:space="0" w:color="auto"/>
              <w:right w:val="single" w:sz="4" w:space="0" w:color="auto"/>
            </w:tcBorders>
            <w:shd w:val="clear" w:color="000000" w:fill="E7E6E6"/>
            <w:noWrap/>
            <w:vAlign w:val="center"/>
          </w:tcPr>
          <w:p w14:paraId="50713209" w14:textId="44732B9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45.7–49.1</w:t>
            </w:r>
          </w:p>
        </w:tc>
        <w:tc>
          <w:tcPr>
            <w:tcW w:w="847" w:type="dxa"/>
            <w:tcBorders>
              <w:top w:val="nil"/>
              <w:left w:val="nil"/>
              <w:bottom w:val="single" w:sz="4" w:space="0" w:color="auto"/>
              <w:right w:val="single" w:sz="4" w:space="0" w:color="auto"/>
            </w:tcBorders>
            <w:shd w:val="clear" w:color="000000" w:fill="E7E6E6"/>
            <w:noWrap/>
            <w:vAlign w:val="center"/>
          </w:tcPr>
          <w:p w14:paraId="219967FA" w14:textId="3341FA8E"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52.7</w:t>
            </w:r>
          </w:p>
        </w:tc>
        <w:tc>
          <w:tcPr>
            <w:tcW w:w="1134" w:type="dxa"/>
            <w:tcBorders>
              <w:top w:val="nil"/>
              <w:left w:val="nil"/>
              <w:bottom w:val="single" w:sz="4" w:space="0" w:color="auto"/>
              <w:right w:val="single" w:sz="4" w:space="0" w:color="auto"/>
            </w:tcBorders>
            <w:shd w:val="clear" w:color="000000" w:fill="E7E6E6"/>
            <w:noWrap/>
            <w:vAlign w:val="center"/>
          </w:tcPr>
          <w:p w14:paraId="15369A18" w14:textId="7F7E08A6"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41.5</w:t>
            </w:r>
          </w:p>
        </w:tc>
        <w:tc>
          <w:tcPr>
            <w:tcW w:w="856" w:type="dxa"/>
            <w:tcBorders>
              <w:top w:val="nil"/>
              <w:left w:val="nil"/>
              <w:bottom w:val="single" w:sz="4" w:space="0" w:color="auto"/>
              <w:right w:val="single" w:sz="4" w:space="0" w:color="auto"/>
            </w:tcBorders>
            <w:shd w:val="clear" w:color="000000" w:fill="E7E6E6"/>
            <w:vAlign w:val="center"/>
          </w:tcPr>
          <w:p w14:paraId="6AC24E01" w14:textId="346F3B7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43.6</w:t>
            </w:r>
          </w:p>
        </w:tc>
        <w:tc>
          <w:tcPr>
            <w:tcW w:w="1304" w:type="dxa"/>
            <w:tcBorders>
              <w:top w:val="nil"/>
              <w:left w:val="nil"/>
              <w:bottom w:val="single" w:sz="4" w:space="0" w:color="auto"/>
              <w:right w:val="single" w:sz="4" w:space="0" w:color="auto"/>
            </w:tcBorders>
            <w:shd w:val="clear" w:color="000000" w:fill="E7E6E6"/>
            <w:noWrap/>
            <w:vAlign w:val="center"/>
          </w:tcPr>
          <w:p w14:paraId="3B375A8C" w14:textId="2CF175E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46</w:t>
            </w:r>
          </w:p>
        </w:tc>
        <w:tc>
          <w:tcPr>
            <w:tcW w:w="1181" w:type="dxa"/>
            <w:tcBorders>
              <w:top w:val="nil"/>
              <w:left w:val="nil"/>
              <w:bottom w:val="single" w:sz="4" w:space="0" w:color="auto"/>
              <w:right w:val="single" w:sz="4" w:space="0" w:color="auto"/>
            </w:tcBorders>
            <w:shd w:val="clear" w:color="000000" w:fill="E7E6E6"/>
            <w:noWrap/>
            <w:vAlign w:val="center"/>
          </w:tcPr>
          <w:p w14:paraId="55999310" w14:textId="4F1ED36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47.8</w:t>
            </w:r>
          </w:p>
        </w:tc>
      </w:tr>
      <w:tr w:rsidR="005A3FC1" w:rsidRPr="00646B6F" w14:paraId="7762463E"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5C0B660" w14:textId="765BB81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126–150</w:t>
            </w:r>
          </w:p>
        </w:tc>
        <w:tc>
          <w:tcPr>
            <w:tcW w:w="3381" w:type="dxa"/>
            <w:tcBorders>
              <w:top w:val="nil"/>
              <w:left w:val="nil"/>
              <w:bottom w:val="single" w:sz="4" w:space="0" w:color="auto"/>
              <w:right w:val="single" w:sz="4" w:space="0" w:color="auto"/>
            </w:tcBorders>
            <w:shd w:val="clear" w:color="auto" w:fill="auto"/>
            <w:noWrap/>
            <w:vAlign w:val="center"/>
          </w:tcPr>
          <w:p w14:paraId="7D2166B3" w14:textId="29BB4221"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de Lisboa</w:t>
            </w:r>
          </w:p>
        </w:tc>
        <w:tc>
          <w:tcPr>
            <w:tcW w:w="839" w:type="dxa"/>
            <w:tcBorders>
              <w:top w:val="nil"/>
              <w:left w:val="nil"/>
              <w:bottom w:val="single" w:sz="4" w:space="0" w:color="auto"/>
              <w:right w:val="single" w:sz="4" w:space="0" w:color="auto"/>
            </w:tcBorders>
            <w:shd w:val="clear" w:color="auto" w:fill="auto"/>
            <w:vAlign w:val="center"/>
          </w:tcPr>
          <w:p w14:paraId="056DDB8A" w14:textId="512B056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Portugal</w:t>
            </w:r>
          </w:p>
        </w:tc>
        <w:tc>
          <w:tcPr>
            <w:tcW w:w="1051" w:type="dxa"/>
            <w:tcBorders>
              <w:top w:val="nil"/>
              <w:left w:val="nil"/>
              <w:bottom w:val="single" w:sz="4" w:space="0" w:color="auto"/>
              <w:right w:val="single" w:sz="4" w:space="0" w:color="auto"/>
            </w:tcBorders>
            <w:shd w:val="clear" w:color="auto" w:fill="auto"/>
            <w:noWrap/>
            <w:vAlign w:val="center"/>
          </w:tcPr>
          <w:p w14:paraId="628BF002" w14:textId="38BD4806"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43.3–45.6</w:t>
            </w:r>
          </w:p>
        </w:tc>
        <w:tc>
          <w:tcPr>
            <w:tcW w:w="847" w:type="dxa"/>
            <w:tcBorders>
              <w:top w:val="nil"/>
              <w:left w:val="nil"/>
              <w:bottom w:val="single" w:sz="4" w:space="0" w:color="auto"/>
              <w:right w:val="single" w:sz="4" w:space="0" w:color="auto"/>
            </w:tcBorders>
            <w:shd w:val="clear" w:color="auto" w:fill="auto"/>
            <w:noWrap/>
            <w:vAlign w:val="center"/>
          </w:tcPr>
          <w:p w14:paraId="2D836361" w14:textId="78FEFFC4"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61</w:t>
            </w:r>
          </w:p>
        </w:tc>
        <w:tc>
          <w:tcPr>
            <w:tcW w:w="1134" w:type="dxa"/>
            <w:tcBorders>
              <w:top w:val="nil"/>
              <w:left w:val="nil"/>
              <w:bottom w:val="single" w:sz="4" w:space="0" w:color="auto"/>
              <w:right w:val="single" w:sz="4" w:space="0" w:color="auto"/>
            </w:tcBorders>
            <w:shd w:val="clear" w:color="auto" w:fill="auto"/>
            <w:noWrap/>
            <w:vAlign w:val="center"/>
          </w:tcPr>
          <w:p w14:paraId="2488543C" w14:textId="45D7EFC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48.1</w:t>
            </w:r>
          </w:p>
        </w:tc>
        <w:tc>
          <w:tcPr>
            <w:tcW w:w="856" w:type="dxa"/>
            <w:tcBorders>
              <w:top w:val="nil"/>
              <w:left w:val="nil"/>
              <w:bottom w:val="single" w:sz="4" w:space="0" w:color="auto"/>
              <w:right w:val="single" w:sz="4" w:space="0" w:color="auto"/>
            </w:tcBorders>
            <w:shd w:val="clear" w:color="auto" w:fill="auto"/>
            <w:vAlign w:val="center"/>
          </w:tcPr>
          <w:p w14:paraId="1D144D07" w14:textId="3F857B38"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45.9</w:t>
            </w:r>
          </w:p>
        </w:tc>
        <w:tc>
          <w:tcPr>
            <w:tcW w:w="1304" w:type="dxa"/>
            <w:tcBorders>
              <w:top w:val="nil"/>
              <w:left w:val="nil"/>
              <w:bottom w:val="single" w:sz="4" w:space="0" w:color="auto"/>
              <w:right w:val="single" w:sz="4" w:space="0" w:color="auto"/>
            </w:tcBorders>
            <w:shd w:val="clear" w:color="auto" w:fill="auto"/>
            <w:noWrap/>
            <w:vAlign w:val="center"/>
          </w:tcPr>
          <w:p w14:paraId="2EDBC71B" w14:textId="481DA6F2"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43.8</w:t>
            </w:r>
          </w:p>
        </w:tc>
        <w:tc>
          <w:tcPr>
            <w:tcW w:w="1181" w:type="dxa"/>
            <w:tcBorders>
              <w:top w:val="nil"/>
              <w:left w:val="nil"/>
              <w:bottom w:val="single" w:sz="4" w:space="0" w:color="auto"/>
              <w:right w:val="single" w:sz="4" w:space="0" w:color="auto"/>
            </w:tcBorders>
            <w:shd w:val="clear" w:color="auto" w:fill="auto"/>
            <w:noWrap/>
            <w:vAlign w:val="center"/>
          </w:tcPr>
          <w:p w14:paraId="40722E2D" w14:textId="24BCCA6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37.2</w:t>
            </w:r>
          </w:p>
        </w:tc>
      </w:tr>
      <w:tr w:rsidR="005A3FC1" w:rsidRPr="00646B6F" w14:paraId="28B66214"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102DA6D2" w14:textId="31C79B2A"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151–175</w:t>
            </w:r>
          </w:p>
        </w:tc>
        <w:tc>
          <w:tcPr>
            <w:tcW w:w="3381" w:type="dxa"/>
            <w:tcBorders>
              <w:top w:val="nil"/>
              <w:left w:val="nil"/>
              <w:bottom w:val="single" w:sz="4" w:space="0" w:color="auto"/>
              <w:right w:val="single" w:sz="4" w:space="0" w:color="auto"/>
            </w:tcBorders>
            <w:shd w:val="clear" w:color="000000" w:fill="E7E6E6"/>
            <w:noWrap/>
            <w:vAlign w:val="center"/>
          </w:tcPr>
          <w:p w14:paraId="42658827" w14:textId="5E604F23"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Pontificia Universidad Católica de Río de Janeiro</w:t>
            </w:r>
          </w:p>
        </w:tc>
        <w:tc>
          <w:tcPr>
            <w:tcW w:w="839" w:type="dxa"/>
            <w:tcBorders>
              <w:top w:val="nil"/>
              <w:left w:val="nil"/>
              <w:bottom w:val="single" w:sz="4" w:space="0" w:color="auto"/>
              <w:right w:val="single" w:sz="4" w:space="0" w:color="auto"/>
            </w:tcBorders>
            <w:shd w:val="clear" w:color="000000" w:fill="E7E6E6"/>
            <w:vAlign w:val="center"/>
          </w:tcPr>
          <w:p w14:paraId="4C250D0B" w14:textId="44A61EB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Brasil</w:t>
            </w:r>
          </w:p>
        </w:tc>
        <w:tc>
          <w:tcPr>
            <w:tcW w:w="1051" w:type="dxa"/>
            <w:tcBorders>
              <w:top w:val="nil"/>
              <w:left w:val="nil"/>
              <w:bottom w:val="single" w:sz="4" w:space="0" w:color="auto"/>
              <w:right w:val="single" w:sz="4" w:space="0" w:color="auto"/>
            </w:tcBorders>
            <w:shd w:val="clear" w:color="000000" w:fill="E7E6E6"/>
            <w:noWrap/>
            <w:vAlign w:val="center"/>
          </w:tcPr>
          <w:p w14:paraId="447246C6" w14:textId="6D427B3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40.2–42.9</w:t>
            </w:r>
          </w:p>
        </w:tc>
        <w:tc>
          <w:tcPr>
            <w:tcW w:w="847" w:type="dxa"/>
            <w:tcBorders>
              <w:top w:val="nil"/>
              <w:left w:val="nil"/>
              <w:bottom w:val="single" w:sz="4" w:space="0" w:color="auto"/>
              <w:right w:val="single" w:sz="4" w:space="0" w:color="auto"/>
            </w:tcBorders>
            <w:shd w:val="clear" w:color="000000" w:fill="E7E6E6"/>
            <w:noWrap/>
            <w:vAlign w:val="center"/>
          </w:tcPr>
          <w:p w14:paraId="6F11E35B" w14:textId="54479E38"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54.8</w:t>
            </w:r>
          </w:p>
        </w:tc>
        <w:tc>
          <w:tcPr>
            <w:tcW w:w="1134" w:type="dxa"/>
            <w:tcBorders>
              <w:top w:val="nil"/>
              <w:left w:val="nil"/>
              <w:bottom w:val="single" w:sz="4" w:space="0" w:color="auto"/>
              <w:right w:val="single" w:sz="4" w:space="0" w:color="auto"/>
            </w:tcBorders>
            <w:shd w:val="clear" w:color="000000" w:fill="E7E6E6"/>
            <w:noWrap/>
            <w:vAlign w:val="center"/>
          </w:tcPr>
          <w:p w14:paraId="1C4C1A90" w14:textId="067055CB"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37.7</w:t>
            </w:r>
          </w:p>
        </w:tc>
        <w:tc>
          <w:tcPr>
            <w:tcW w:w="856" w:type="dxa"/>
            <w:tcBorders>
              <w:top w:val="nil"/>
              <w:left w:val="nil"/>
              <w:bottom w:val="single" w:sz="4" w:space="0" w:color="auto"/>
              <w:right w:val="single" w:sz="4" w:space="0" w:color="auto"/>
            </w:tcBorders>
            <w:shd w:val="clear" w:color="000000" w:fill="E7E6E6"/>
            <w:vAlign w:val="center"/>
          </w:tcPr>
          <w:p w14:paraId="2EA3CD92" w14:textId="4952F09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27.1</w:t>
            </w:r>
          </w:p>
        </w:tc>
        <w:tc>
          <w:tcPr>
            <w:tcW w:w="1304" w:type="dxa"/>
            <w:tcBorders>
              <w:top w:val="nil"/>
              <w:left w:val="nil"/>
              <w:bottom w:val="single" w:sz="4" w:space="0" w:color="auto"/>
              <w:right w:val="single" w:sz="4" w:space="0" w:color="auto"/>
            </w:tcBorders>
            <w:shd w:val="clear" w:color="000000" w:fill="E7E6E6"/>
            <w:noWrap/>
            <w:vAlign w:val="center"/>
          </w:tcPr>
          <w:p w14:paraId="5D1229E9" w14:textId="366D472B"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18.7</w:t>
            </w:r>
          </w:p>
        </w:tc>
        <w:tc>
          <w:tcPr>
            <w:tcW w:w="1181" w:type="dxa"/>
            <w:tcBorders>
              <w:top w:val="nil"/>
              <w:left w:val="nil"/>
              <w:bottom w:val="single" w:sz="4" w:space="0" w:color="auto"/>
              <w:right w:val="single" w:sz="4" w:space="0" w:color="auto"/>
            </w:tcBorders>
            <w:shd w:val="clear" w:color="000000" w:fill="E7E6E6"/>
            <w:noWrap/>
            <w:vAlign w:val="center"/>
          </w:tcPr>
          <w:p w14:paraId="1CDEC19D" w14:textId="2C55CE43"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84.6</w:t>
            </w:r>
          </w:p>
        </w:tc>
      </w:tr>
      <w:tr w:rsidR="005A3FC1" w:rsidRPr="00646B6F" w14:paraId="30E2DEA7"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7DD5C06" w14:textId="308C4116"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151–175</w:t>
            </w:r>
          </w:p>
        </w:tc>
        <w:tc>
          <w:tcPr>
            <w:tcW w:w="3381" w:type="dxa"/>
            <w:tcBorders>
              <w:top w:val="nil"/>
              <w:left w:val="nil"/>
              <w:bottom w:val="single" w:sz="4" w:space="0" w:color="auto"/>
              <w:right w:val="single" w:sz="4" w:space="0" w:color="auto"/>
            </w:tcBorders>
            <w:shd w:val="clear" w:color="auto" w:fill="auto"/>
            <w:noWrap/>
            <w:vAlign w:val="center"/>
          </w:tcPr>
          <w:p w14:paraId="02204C51" w14:textId="7BCFD7A3"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de Campinas</w:t>
            </w:r>
          </w:p>
        </w:tc>
        <w:tc>
          <w:tcPr>
            <w:tcW w:w="839" w:type="dxa"/>
            <w:tcBorders>
              <w:top w:val="nil"/>
              <w:left w:val="nil"/>
              <w:bottom w:val="single" w:sz="4" w:space="0" w:color="auto"/>
              <w:right w:val="single" w:sz="4" w:space="0" w:color="auto"/>
            </w:tcBorders>
            <w:shd w:val="clear" w:color="auto" w:fill="auto"/>
            <w:vAlign w:val="center"/>
          </w:tcPr>
          <w:p w14:paraId="2C1C75E6" w14:textId="17247EBE"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Brasil</w:t>
            </w:r>
          </w:p>
        </w:tc>
        <w:tc>
          <w:tcPr>
            <w:tcW w:w="1051" w:type="dxa"/>
            <w:tcBorders>
              <w:top w:val="nil"/>
              <w:left w:val="nil"/>
              <w:bottom w:val="single" w:sz="4" w:space="0" w:color="auto"/>
              <w:right w:val="single" w:sz="4" w:space="0" w:color="auto"/>
            </w:tcBorders>
            <w:shd w:val="clear" w:color="auto" w:fill="auto"/>
            <w:noWrap/>
            <w:vAlign w:val="center"/>
          </w:tcPr>
          <w:p w14:paraId="5AE3D46B" w14:textId="33FF2D8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40.2–42.9</w:t>
            </w:r>
          </w:p>
        </w:tc>
        <w:tc>
          <w:tcPr>
            <w:tcW w:w="847" w:type="dxa"/>
            <w:tcBorders>
              <w:top w:val="nil"/>
              <w:left w:val="nil"/>
              <w:bottom w:val="single" w:sz="4" w:space="0" w:color="auto"/>
              <w:right w:val="single" w:sz="4" w:space="0" w:color="auto"/>
            </w:tcBorders>
            <w:shd w:val="clear" w:color="auto" w:fill="auto"/>
            <w:noWrap/>
            <w:vAlign w:val="center"/>
          </w:tcPr>
          <w:p w14:paraId="7158F1DF" w14:textId="33FBD2D4"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23.9</w:t>
            </w:r>
          </w:p>
        </w:tc>
        <w:tc>
          <w:tcPr>
            <w:tcW w:w="1134" w:type="dxa"/>
            <w:tcBorders>
              <w:top w:val="nil"/>
              <w:left w:val="nil"/>
              <w:bottom w:val="single" w:sz="4" w:space="0" w:color="auto"/>
              <w:right w:val="single" w:sz="4" w:space="0" w:color="auto"/>
            </w:tcBorders>
            <w:shd w:val="clear" w:color="auto" w:fill="auto"/>
            <w:noWrap/>
            <w:vAlign w:val="center"/>
          </w:tcPr>
          <w:p w14:paraId="7C43F284" w14:textId="02B5A9F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57.5</w:t>
            </w:r>
          </w:p>
        </w:tc>
        <w:tc>
          <w:tcPr>
            <w:tcW w:w="856" w:type="dxa"/>
            <w:tcBorders>
              <w:top w:val="nil"/>
              <w:left w:val="nil"/>
              <w:bottom w:val="single" w:sz="4" w:space="0" w:color="auto"/>
              <w:right w:val="single" w:sz="4" w:space="0" w:color="auto"/>
            </w:tcBorders>
            <w:shd w:val="clear" w:color="auto" w:fill="auto"/>
            <w:vAlign w:val="center"/>
          </w:tcPr>
          <w:p w14:paraId="55BBB18E" w14:textId="0FB801E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55</w:t>
            </w:r>
          </w:p>
        </w:tc>
        <w:tc>
          <w:tcPr>
            <w:tcW w:w="1304" w:type="dxa"/>
            <w:tcBorders>
              <w:top w:val="nil"/>
              <w:left w:val="nil"/>
              <w:bottom w:val="single" w:sz="4" w:space="0" w:color="auto"/>
              <w:right w:val="single" w:sz="4" w:space="0" w:color="auto"/>
            </w:tcBorders>
            <w:shd w:val="clear" w:color="auto" w:fill="auto"/>
            <w:noWrap/>
            <w:vAlign w:val="center"/>
          </w:tcPr>
          <w:p w14:paraId="1C977B51" w14:textId="7DD6711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42.5</w:t>
            </w:r>
          </w:p>
        </w:tc>
        <w:tc>
          <w:tcPr>
            <w:tcW w:w="1181" w:type="dxa"/>
            <w:tcBorders>
              <w:top w:val="nil"/>
              <w:left w:val="nil"/>
              <w:bottom w:val="single" w:sz="4" w:space="0" w:color="auto"/>
              <w:right w:val="single" w:sz="4" w:space="0" w:color="auto"/>
            </w:tcBorders>
            <w:shd w:val="clear" w:color="auto" w:fill="auto"/>
            <w:noWrap/>
            <w:vAlign w:val="center"/>
          </w:tcPr>
          <w:p w14:paraId="7A628706" w14:textId="69CECC0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23.8</w:t>
            </w:r>
          </w:p>
        </w:tc>
      </w:tr>
      <w:tr w:rsidR="005A3FC1" w:rsidRPr="00646B6F" w14:paraId="1762EA37"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0A846EAF" w14:textId="4C471C6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176–200</w:t>
            </w:r>
          </w:p>
        </w:tc>
        <w:tc>
          <w:tcPr>
            <w:tcW w:w="3381" w:type="dxa"/>
            <w:tcBorders>
              <w:top w:val="nil"/>
              <w:left w:val="nil"/>
              <w:bottom w:val="single" w:sz="4" w:space="0" w:color="auto"/>
              <w:right w:val="single" w:sz="4" w:space="0" w:color="auto"/>
            </w:tcBorders>
            <w:shd w:val="clear" w:color="000000" w:fill="E7E6E6"/>
            <w:noWrap/>
            <w:vAlign w:val="center"/>
          </w:tcPr>
          <w:p w14:paraId="1596E407" w14:textId="0BD1C74F"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Autónoma de Madrid</w:t>
            </w:r>
          </w:p>
        </w:tc>
        <w:tc>
          <w:tcPr>
            <w:tcW w:w="839" w:type="dxa"/>
            <w:tcBorders>
              <w:top w:val="nil"/>
              <w:left w:val="nil"/>
              <w:bottom w:val="single" w:sz="4" w:space="0" w:color="auto"/>
              <w:right w:val="single" w:sz="4" w:space="0" w:color="auto"/>
            </w:tcBorders>
            <w:shd w:val="clear" w:color="000000" w:fill="E7E6E6"/>
            <w:vAlign w:val="center"/>
          </w:tcPr>
          <w:p w14:paraId="58B699B6" w14:textId="3AA673AA"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España</w:t>
            </w:r>
          </w:p>
        </w:tc>
        <w:tc>
          <w:tcPr>
            <w:tcW w:w="1051" w:type="dxa"/>
            <w:tcBorders>
              <w:top w:val="nil"/>
              <w:left w:val="nil"/>
              <w:bottom w:val="single" w:sz="4" w:space="0" w:color="auto"/>
              <w:right w:val="single" w:sz="4" w:space="0" w:color="auto"/>
            </w:tcBorders>
            <w:shd w:val="clear" w:color="000000" w:fill="E7E6E6"/>
            <w:noWrap/>
            <w:vAlign w:val="center"/>
          </w:tcPr>
          <w:p w14:paraId="7033CBA8" w14:textId="62B1AB8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38.6–40.1</w:t>
            </w:r>
          </w:p>
        </w:tc>
        <w:tc>
          <w:tcPr>
            <w:tcW w:w="847" w:type="dxa"/>
            <w:tcBorders>
              <w:top w:val="nil"/>
              <w:left w:val="nil"/>
              <w:bottom w:val="single" w:sz="4" w:space="0" w:color="auto"/>
              <w:right w:val="single" w:sz="4" w:space="0" w:color="auto"/>
            </w:tcBorders>
            <w:shd w:val="clear" w:color="000000" w:fill="E7E6E6"/>
            <w:noWrap/>
            <w:vAlign w:val="center"/>
          </w:tcPr>
          <w:p w14:paraId="0E18E57E" w14:textId="7EFCAF6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40.2</w:t>
            </w:r>
          </w:p>
        </w:tc>
        <w:tc>
          <w:tcPr>
            <w:tcW w:w="1134" w:type="dxa"/>
            <w:tcBorders>
              <w:top w:val="nil"/>
              <w:left w:val="nil"/>
              <w:bottom w:val="single" w:sz="4" w:space="0" w:color="auto"/>
              <w:right w:val="single" w:sz="4" w:space="0" w:color="auto"/>
            </w:tcBorders>
            <w:shd w:val="clear" w:color="000000" w:fill="E7E6E6"/>
            <w:noWrap/>
            <w:vAlign w:val="center"/>
          </w:tcPr>
          <w:p w14:paraId="6C28D72E" w14:textId="1DD3E2A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w:t>
            </w:r>
          </w:p>
        </w:tc>
        <w:tc>
          <w:tcPr>
            <w:tcW w:w="856" w:type="dxa"/>
            <w:tcBorders>
              <w:top w:val="nil"/>
              <w:left w:val="nil"/>
              <w:bottom w:val="single" w:sz="4" w:space="0" w:color="auto"/>
              <w:right w:val="single" w:sz="4" w:space="0" w:color="auto"/>
            </w:tcBorders>
            <w:shd w:val="clear" w:color="000000" w:fill="E7E6E6"/>
            <w:vAlign w:val="center"/>
          </w:tcPr>
          <w:p w14:paraId="75D3F9B1" w14:textId="7EA9739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31.9</w:t>
            </w:r>
          </w:p>
        </w:tc>
        <w:tc>
          <w:tcPr>
            <w:tcW w:w="1304" w:type="dxa"/>
            <w:tcBorders>
              <w:top w:val="nil"/>
              <w:left w:val="nil"/>
              <w:bottom w:val="single" w:sz="4" w:space="0" w:color="auto"/>
              <w:right w:val="single" w:sz="4" w:space="0" w:color="auto"/>
            </w:tcBorders>
            <w:shd w:val="clear" w:color="000000" w:fill="E7E6E6"/>
            <w:noWrap/>
            <w:vAlign w:val="center"/>
          </w:tcPr>
          <w:p w14:paraId="601EF069" w14:textId="72EE04DF"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37.4</w:t>
            </w:r>
          </w:p>
        </w:tc>
        <w:tc>
          <w:tcPr>
            <w:tcW w:w="1181" w:type="dxa"/>
            <w:tcBorders>
              <w:top w:val="nil"/>
              <w:left w:val="nil"/>
              <w:bottom w:val="single" w:sz="4" w:space="0" w:color="auto"/>
              <w:right w:val="single" w:sz="4" w:space="0" w:color="auto"/>
            </w:tcBorders>
            <w:shd w:val="clear" w:color="000000" w:fill="E7E6E6"/>
            <w:noWrap/>
            <w:vAlign w:val="center"/>
          </w:tcPr>
          <w:p w14:paraId="1DF9E8C1" w14:textId="4FEE3B3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49.8</w:t>
            </w:r>
          </w:p>
        </w:tc>
      </w:tr>
      <w:tr w:rsidR="005A3FC1" w:rsidRPr="00646B6F" w14:paraId="35824DCD"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48BFF900" w14:textId="3247064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176–200</w:t>
            </w:r>
          </w:p>
        </w:tc>
        <w:tc>
          <w:tcPr>
            <w:tcW w:w="3381" w:type="dxa"/>
            <w:tcBorders>
              <w:top w:val="nil"/>
              <w:left w:val="nil"/>
              <w:bottom w:val="single" w:sz="4" w:space="0" w:color="auto"/>
              <w:right w:val="single" w:sz="4" w:space="0" w:color="auto"/>
            </w:tcBorders>
            <w:shd w:val="clear" w:color="auto" w:fill="auto"/>
            <w:noWrap/>
            <w:vAlign w:val="center"/>
          </w:tcPr>
          <w:p w14:paraId="07C0579C" w14:textId="503CBC3E"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de Deusto</w:t>
            </w:r>
          </w:p>
        </w:tc>
        <w:tc>
          <w:tcPr>
            <w:tcW w:w="839" w:type="dxa"/>
            <w:tcBorders>
              <w:top w:val="nil"/>
              <w:left w:val="nil"/>
              <w:bottom w:val="single" w:sz="4" w:space="0" w:color="auto"/>
              <w:right w:val="single" w:sz="4" w:space="0" w:color="auto"/>
            </w:tcBorders>
            <w:shd w:val="clear" w:color="auto" w:fill="auto"/>
            <w:vAlign w:val="center"/>
          </w:tcPr>
          <w:p w14:paraId="78EDB0A5" w14:textId="57CDFC6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España</w:t>
            </w:r>
          </w:p>
        </w:tc>
        <w:tc>
          <w:tcPr>
            <w:tcW w:w="1051" w:type="dxa"/>
            <w:tcBorders>
              <w:top w:val="nil"/>
              <w:left w:val="nil"/>
              <w:bottom w:val="single" w:sz="4" w:space="0" w:color="auto"/>
              <w:right w:val="single" w:sz="4" w:space="0" w:color="auto"/>
            </w:tcBorders>
            <w:shd w:val="clear" w:color="auto" w:fill="auto"/>
            <w:noWrap/>
            <w:vAlign w:val="center"/>
          </w:tcPr>
          <w:p w14:paraId="519E93E4" w14:textId="097C267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38.6–40.1</w:t>
            </w:r>
          </w:p>
        </w:tc>
        <w:tc>
          <w:tcPr>
            <w:tcW w:w="847" w:type="dxa"/>
            <w:tcBorders>
              <w:top w:val="nil"/>
              <w:left w:val="nil"/>
              <w:bottom w:val="single" w:sz="4" w:space="0" w:color="auto"/>
              <w:right w:val="single" w:sz="4" w:space="0" w:color="auto"/>
            </w:tcBorders>
            <w:shd w:val="clear" w:color="auto" w:fill="auto"/>
            <w:noWrap/>
            <w:vAlign w:val="center"/>
          </w:tcPr>
          <w:p w14:paraId="4B9C65AC" w14:textId="7B90E0D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42.6</w:t>
            </w:r>
          </w:p>
        </w:tc>
        <w:tc>
          <w:tcPr>
            <w:tcW w:w="1134" w:type="dxa"/>
            <w:tcBorders>
              <w:top w:val="nil"/>
              <w:left w:val="nil"/>
              <w:bottom w:val="single" w:sz="4" w:space="0" w:color="auto"/>
              <w:right w:val="single" w:sz="4" w:space="0" w:color="auto"/>
            </w:tcBorders>
            <w:shd w:val="clear" w:color="auto" w:fill="auto"/>
            <w:noWrap/>
            <w:vAlign w:val="center"/>
          </w:tcPr>
          <w:p w14:paraId="49F55B24" w14:textId="574A1272"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37.9</w:t>
            </w:r>
          </w:p>
        </w:tc>
        <w:tc>
          <w:tcPr>
            <w:tcW w:w="856" w:type="dxa"/>
            <w:tcBorders>
              <w:top w:val="nil"/>
              <w:left w:val="nil"/>
              <w:bottom w:val="single" w:sz="4" w:space="0" w:color="auto"/>
              <w:right w:val="single" w:sz="4" w:space="0" w:color="auto"/>
            </w:tcBorders>
            <w:shd w:val="clear" w:color="auto" w:fill="auto"/>
            <w:vAlign w:val="center"/>
          </w:tcPr>
          <w:p w14:paraId="64B63DE1" w14:textId="0E276350"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14.9</w:t>
            </w:r>
          </w:p>
        </w:tc>
        <w:tc>
          <w:tcPr>
            <w:tcW w:w="1304" w:type="dxa"/>
            <w:tcBorders>
              <w:top w:val="nil"/>
              <w:left w:val="nil"/>
              <w:bottom w:val="single" w:sz="4" w:space="0" w:color="auto"/>
              <w:right w:val="single" w:sz="4" w:space="0" w:color="auto"/>
            </w:tcBorders>
            <w:shd w:val="clear" w:color="auto" w:fill="auto"/>
            <w:noWrap/>
            <w:vAlign w:val="center"/>
          </w:tcPr>
          <w:p w14:paraId="3E70DDB8" w14:textId="2AB610E2"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13.1</w:t>
            </w:r>
          </w:p>
        </w:tc>
        <w:tc>
          <w:tcPr>
            <w:tcW w:w="1181" w:type="dxa"/>
            <w:tcBorders>
              <w:top w:val="nil"/>
              <w:left w:val="nil"/>
              <w:bottom w:val="single" w:sz="4" w:space="0" w:color="auto"/>
              <w:right w:val="single" w:sz="4" w:space="0" w:color="auto"/>
            </w:tcBorders>
            <w:shd w:val="clear" w:color="auto" w:fill="auto"/>
            <w:noWrap/>
            <w:vAlign w:val="center"/>
          </w:tcPr>
          <w:p w14:paraId="0AF6B4CA" w14:textId="4D4C97C4"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93.3</w:t>
            </w:r>
          </w:p>
        </w:tc>
      </w:tr>
      <w:tr w:rsidR="005A3FC1" w:rsidRPr="00646B6F" w14:paraId="3D5BD8A6"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62EF6F96" w14:textId="232B1F2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176–200</w:t>
            </w:r>
          </w:p>
        </w:tc>
        <w:tc>
          <w:tcPr>
            <w:tcW w:w="3381" w:type="dxa"/>
            <w:tcBorders>
              <w:top w:val="nil"/>
              <w:left w:val="nil"/>
              <w:bottom w:val="single" w:sz="4" w:space="0" w:color="auto"/>
              <w:right w:val="single" w:sz="4" w:space="0" w:color="auto"/>
            </w:tcBorders>
            <w:shd w:val="clear" w:color="000000" w:fill="E7E6E6"/>
            <w:noWrap/>
            <w:vAlign w:val="center"/>
          </w:tcPr>
          <w:p w14:paraId="1698BD96" w14:textId="55DDC257"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de Salamanca</w:t>
            </w:r>
          </w:p>
        </w:tc>
        <w:tc>
          <w:tcPr>
            <w:tcW w:w="839" w:type="dxa"/>
            <w:tcBorders>
              <w:top w:val="nil"/>
              <w:left w:val="nil"/>
              <w:bottom w:val="single" w:sz="4" w:space="0" w:color="auto"/>
              <w:right w:val="single" w:sz="4" w:space="0" w:color="auto"/>
            </w:tcBorders>
            <w:shd w:val="clear" w:color="000000" w:fill="E7E6E6"/>
            <w:vAlign w:val="center"/>
          </w:tcPr>
          <w:p w14:paraId="7CADF323" w14:textId="2D3288B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España</w:t>
            </w:r>
          </w:p>
        </w:tc>
        <w:tc>
          <w:tcPr>
            <w:tcW w:w="1051" w:type="dxa"/>
            <w:tcBorders>
              <w:top w:val="nil"/>
              <w:left w:val="nil"/>
              <w:bottom w:val="single" w:sz="4" w:space="0" w:color="auto"/>
              <w:right w:val="single" w:sz="4" w:space="0" w:color="auto"/>
            </w:tcBorders>
            <w:shd w:val="clear" w:color="000000" w:fill="E7E6E6"/>
            <w:noWrap/>
            <w:vAlign w:val="center"/>
          </w:tcPr>
          <w:p w14:paraId="38558924" w14:textId="356CFA63"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38.6–40.1</w:t>
            </w:r>
          </w:p>
        </w:tc>
        <w:tc>
          <w:tcPr>
            <w:tcW w:w="847" w:type="dxa"/>
            <w:tcBorders>
              <w:top w:val="nil"/>
              <w:left w:val="nil"/>
              <w:bottom w:val="single" w:sz="4" w:space="0" w:color="auto"/>
              <w:right w:val="single" w:sz="4" w:space="0" w:color="auto"/>
            </w:tcBorders>
            <w:shd w:val="clear" w:color="000000" w:fill="E7E6E6"/>
            <w:noWrap/>
            <w:vAlign w:val="center"/>
          </w:tcPr>
          <w:p w14:paraId="447AF4A2" w14:textId="79E4153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48.7</w:t>
            </w:r>
          </w:p>
        </w:tc>
        <w:tc>
          <w:tcPr>
            <w:tcW w:w="1134" w:type="dxa"/>
            <w:tcBorders>
              <w:top w:val="nil"/>
              <w:left w:val="nil"/>
              <w:bottom w:val="single" w:sz="4" w:space="0" w:color="auto"/>
              <w:right w:val="single" w:sz="4" w:space="0" w:color="auto"/>
            </w:tcBorders>
            <w:shd w:val="clear" w:color="000000" w:fill="E7E6E6"/>
            <w:noWrap/>
            <w:vAlign w:val="center"/>
          </w:tcPr>
          <w:p w14:paraId="3C07BA6D" w14:textId="4FE48686"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37.7</w:t>
            </w:r>
          </w:p>
        </w:tc>
        <w:tc>
          <w:tcPr>
            <w:tcW w:w="856" w:type="dxa"/>
            <w:tcBorders>
              <w:top w:val="nil"/>
              <w:left w:val="nil"/>
              <w:bottom w:val="single" w:sz="4" w:space="0" w:color="auto"/>
              <w:right w:val="single" w:sz="4" w:space="0" w:color="auto"/>
            </w:tcBorders>
            <w:shd w:val="clear" w:color="000000" w:fill="E7E6E6"/>
            <w:vAlign w:val="center"/>
          </w:tcPr>
          <w:p w14:paraId="0F87BDB2" w14:textId="45CC0038"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27.6</w:t>
            </w:r>
          </w:p>
        </w:tc>
        <w:tc>
          <w:tcPr>
            <w:tcW w:w="1304" w:type="dxa"/>
            <w:tcBorders>
              <w:top w:val="nil"/>
              <w:left w:val="nil"/>
              <w:bottom w:val="single" w:sz="4" w:space="0" w:color="auto"/>
              <w:right w:val="single" w:sz="4" w:space="0" w:color="auto"/>
            </w:tcBorders>
            <w:shd w:val="clear" w:color="000000" w:fill="E7E6E6"/>
            <w:noWrap/>
            <w:vAlign w:val="center"/>
          </w:tcPr>
          <w:p w14:paraId="6584FDD3" w14:textId="0364B4A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27.6</w:t>
            </w:r>
          </w:p>
        </w:tc>
        <w:tc>
          <w:tcPr>
            <w:tcW w:w="1181" w:type="dxa"/>
            <w:tcBorders>
              <w:top w:val="nil"/>
              <w:left w:val="nil"/>
              <w:bottom w:val="single" w:sz="4" w:space="0" w:color="auto"/>
              <w:right w:val="single" w:sz="4" w:space="0" w:color="auto"/>
            </w:tcBorders>
            <w:shd w:val="clear" w:color="000000" w:fill="E7E6E6"/>
            <w:noWrap/>
            <w:vAlign w:val="center"/>
          </w:tcPr>
          <w:p w14:paraId="3A0A6F47" w14:textId="61F3509E"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66.2</w:t>
            </w:r>
          </w:p>
        </w:tc>
      </w:tr>
      <w:tr w:rsidR="005A3FC1" w:rsidRPr="00F46F74" w14:paraId="3EFBD6F0"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07933AB0" w14:textId="21198752"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176–200</w:t>
            </w:r>
          </w:p>
        </w:tc>
        <w:tc>
          <w:tcPr>
            <w:tcW w:w="3381" w:type="dxa"/>
            <w:tcBorders>
              <w:top w:val="nil"/>
              <w:left w:val="nil"/>
              <w:bottom w:val="single" w:sz="4" w:space="0" w:color="auto"/>
              <w:right w:val="single" w:sz="4" w:space="0" w:color="auto"/>
            </w:tcBorders>
            <w:shd w:val="clear" w:color="auto" w:fill="auto"/>
            <w:noWrap/>
            <w:vAlign w:val="center"/>
          </w:tcPr>
          <w:p w14:paraId="363F385F" w14:textId="3A5768E1" w:rsidR="005A3FC1" w:rsidRPr="00F27222" w:rsidRDefault="005A3FC1" w:rsidP="00CB24EA">
            <w:pPr>
              <w:spacing w:line="240" w:lineRule="auto"/>
              <w:rPr>
                <w:rFonts w:eastAsia="Times New Roman" w:cstheme="minorHAns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39" w:type="dxa"/>
            <w:tcBorders>
              <w:top w:val="nil"/>
              <w:left w:val="nil"/>
              <w:bottom w:val="single" w:sz="4" w:space="0" w:color="auto"/>
              <w:right w:val="single" w:sz="4" w:space="0" w:color="auto"/>
            </w:tcBorders>
            <w:shd w:val="clear" w:color="auto" w:fill="auto"/>
            <w:vAlign w:val="center"/>
          </w:tcPr>
          <w:p w14:paraId="32626476" w14:textId="53F38951"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México</w:t>
            </w:r>
          </w:p>
        </w:tc>
        <w:tc>
          <w:tcPr>
            <w:tcW w:w="1051" w:type="dxa"/>
            <w:tcBorders>
              <w:top w:val="nil"/>
              <w:left w:val="nil"/>
              <w:bottom w:val="single" w:sz="4" w:space="0" w:color="auto"/>
              <w:right w:val="single" w:sz="4" w:space="0" w:color="auto"/>
            </w:tcBorders>
            <w:shd w:val="clear" w:color="auto" w:fill="auto"/>
            <w:noWrap/>
            <w:vAlign w:val="center"/>
          </w:tcPr>
          <w:p w14:paraId="03B4D571" w14:textId="14A48CEF"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38.6–40.1</w:t>
            </w:r>
          </w:p>
        </w:tc>
        <w:tc>
          <w:tcPr>
            <w:tcW w:w="847" w:type="dxa"/>
            <w:tcBorders>
              <w:top w:val="nil"/>
              <w:left w:val="nil"/>
              <w:bottom w:val="single" w:sz="4" w:space="0" w:color="auto"/>
              <w:right w:val="single" w:sz="4" w:space="0" w:color="auto"/>
            </w:tcBorders>
            <w:shd w:val="clear" w:color="auto" w:fill="auto"/>
            <w:noWrap/>
            <w:vAlign w:val="center"/>
          </w:tcPr>
          <w:p w14:paraId="4B6D09F8" w14:textId="525D0CF9"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54.7</w:t>
            </w:r>
          </w:p>
        </w:tc>
        <w:tc>
          <w:tcPr>
            <w:tcW w:w="1134" w:type="dxa"/>
            <w:tcBorders>
              <w:top w:val="nil"/>
              <w:left w:val="nil"/>
              <w:bottom w:val="single" w:sz="4" w:space="0" w:color="auto"/>
              <w:right w:val="single" w:sz="4" w:space="0" w:color="auto"/>
            </w:tcBorders>
            <w:shd w:val="clear" w:color="auto" w:fill="auto"/>
            <w:noWrap/>
            <w:vAlign w:val="center"/>
          </w:tcPr>
          <w:p w14:paraId="31245898" w14:textId="41AB49EF"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81.3</w:t>
            </w:r>
          </w:p>
        </w:tc>
        <w:tc>
          <w:tcPr>
            <w:tcW w:w="856" w:type="dxa"/>
            <w:tcBorders>
              <w:top w:val="nil"/>
              <w:left w:val="nil"/>
              <w:bottom w:val="single" w:sz="4" w:space="0" w:color="auto"/>
              <w:right w:val="single" w:sz="4" w:space="0" w:color="auto"/>
            </w:tcBorders>
            <w:shd w:val="clear" w:color="auto" w:fill="auto"/>
            <w:vAlign w:val="center"/>
          </w:tcPr>
          <w:p w14:paraId="5A678F77" w14:textId="300FA2D4"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45.2</w:t>
            </w:r>
          </w:p>
        </w:tc>
        <w:tc>
          <w:tcPr>
            <w:tcW w:w="1304" w:type="dxa"/>
            <w:tcBorders>
              <w:top w:val="nil"/>
              <w:left w:val="nil"/>
              <w:bottom w:val="single" w:sz="4" w:space="0" w:color="auto"/>
              <w:right w:val="single" w:sz="4" w:space="0" w:color="auto"/>
            </w:tcBorders>
            <w:shd w:val="clear" w:color="auto" w:fill="auto"/>
            <w:noWrap/>
            <w:vAlign w:val="center"/>
          </w:tcPr>
          <w:p w14:paraId="51F7B6AD" w14:textId="3CA65307"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42.1</w:t>
            </w:r>
          </w:p>
        </w:tc>
        <w:tc>
          <w:tcPr>
            <w:tcW w:w="1181" w:type="dxa"/>
            <w:tcBorders>
              <w:top w:val="nil"/>
              <w:left w:val="nil"/>
              <w:bottom w:val="single" w:sz="4" w:space="0" w:color="auto"/>
              <w:right w:val="single" w:sz="4" w:space="0" w:color="auto"/>
            </w:tcBorders>
            <w:shd w:val="clear" w:color="auto" w:fill="auto"/>
            <w:noWrap/>
            <w:vAlign w:val="center"/>
          </w:tcPr>
          <w:p w14:paraId="2727DAA6" w14:textId="54C00A91" w:rsidR="005A3FC1" w:rsidRPr="00F27222" w:rsidRDefault="005A3FC1" w:rsidP="00CB24EA">
            <w:pPr>
              <w:spacing w:line="240" w:lineRule="auto"/>
              <w:jc w:val="center"/>
              <w:rPr>
                <w:rFonts w:eastAsia="Times New Roman" w:cstheme="minorHAnsi"/>
                <w:b/>
                <w:bCs/>
                <w:color w:val="000000"/>
                <w:sz w:val="18"/>
                <w:szCs w:val="18"/>
                <w:lang w:eastAsia="es-MX"/>
              </w:rPr>
            </w:pPr>
            <w:r w:rsidRPr="00F27222">
              <w:rPr>
                <w:rFonts w:ascii="Calibri" w:hAnsi="Calibri" w:cs="Calibri"/>
                <w:b/>
                <w:bCs/>
                <w:color w:val="000000"/>
                <w:sz w:val="18"/>
                <w:szCs w:val="18"/>
              </w:rPr>
              <w:t>19.2</w:t>
            </w:r>
          </w:p>
        </w:tc>
      </w:tr>
      <w:tr w:rsidR="005A3FC1" w:rsidRPr="00646B6F" w14:paraId="2652E047" w14:textId="77777777" w:rsidTr="00CB24EA">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5E719DB6" w14:textId="63D494F7"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176–200</w:t>
            </w:r>
          </w:p>
        </w:tc>
        <w:tc>
          <w:tcPr>
            <w:tcW w:w="3381" w:type="dxa"/>
            <w:tcBorders>
              <w:top w:val="nil"/>
              <w:left w:val="nil"/>
              <w:bottom w:val="single" w:sz="4" w:space="0" w:color="auto"/>
              <w:right w:val="single" w:sz="4" w:space="0" w:color="auto"/>
            </w:tcBorders>
            <w:shd w:val="clear" w:color="000000" w:fill="E7E6E6"/>
            <w:noWrap/>
            <w:vAlign w:val="center"/>
          </w:tcPr>
          <w:p w14:paraId="47BC37DE" w14:textId="235F6286" w:rsidR="005A3FC1" w:rsidRPr="005A3FC1" w:rsidRDefault="005A3FC1" w:rsidP="00CB24EA">
            <w:pPr>
              <w:spacing w:line="240" w:lineRule="auto"/>
              <w:rPr>
                <w:rFonts w:eastAsia="Times New Roman" w:cstheme="minorHAnsi"/>
                <w:color w:val="000000"/>
                <w:sz w:val="18"/>
                <w:szCs w:val="18"/>
                <w:lang w:eastAsia="es-MX"/>
              </w:rPr>
            </w:pPr>
            <w:r w:rsidRPr="005A3FC1">
              <w:rPr>
                <w:rFonts w:ascii="Calibri" w:hAnsi="Calibri" w:cs="Calibri"/>
                <w:color w:val="000000"/>
                <w:sz w:val="18"/>
                <w:szCs w:val="18"/>
              </w:rPr>
              <w:t>Universidad Nueva de Lisboa</w:t>
            </w:r>
          </w:p>
        </w:tc>
        <w:tc>
          <w:tcPr>
            <w:tcW w:w="839" w:type="dxa"/>
            <w:tcBorders>
              <w:top w:val="nil"/>
              <w:left w:val="nil"/>
              <w:bottom w:val="single" w:sz="4" w:space="0" w:color="auto"/>
              <w:right w:val="single" w:sz="4" w:space="0" w:color="auto"/>
            </w:tcBorders>
            <w:shd w:val="clear" w:color="000000" w:fill="E7E6E6"/>
            <w:vAlign w:val="center"/>
          </w:tcPr>
          <w:p w14:paraId="1AB816F1" w14:textId="23176823"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Portugal</w:t>
            </w:r>
          </w:p>
        </w:tc>
        <w:tc>
          <w:tcPr>
            <w:tcW w:w="1051" w:type="dxa"/>
            <w:tcBorders>
              <w:top w:val="nil"/>
              <w:left w:val="nil"/>
              <w:bottom w:val="single" w:sz="4" w:space="0" w:color="auto"/>
              <w:right w:val="single" w:sz="4" w:space="0" w:color="auto"/>
            </w:tcBorders>
            <w:shd w:val="clear" w:color="000000" w:fill="E7E6E6"/>
            <w:noWrap/>
            <w:vAlign w:val="center"/>
          </w:tcPr>
          <w:p w14:paraId="2354E67B" w14:textId="093A69A1"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38.6–40.1</w:t>
            </w:r>
          </w:p>
        </w:tc>
        <w:tc>
          <w:tcPr>
            <w:tcW w:w="847" w:type="dxa"/>
            <w:tcBorders>
              <w:top w:val="nil"/>
              <w:left w:val="nil"/>
              <w:bottom w:val="single" w:sz="4" w:space="0" w:color="auto"/>
              <w:right w:val="single" w:sz="4" w:space="0" w:color="auto"/>
            </w:tcBorders>
            <w:shd w:val="clear" w:color="000000" w:fill="E7E6E6"/>
            <w:noWrap/>
            <w:vAlign w:val="center"/>
          </w:tcPr>
          <w:p w14:paraId="0B1AC8BD" w14:textId="2537628A"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66.8</w:t>
            </w:r>
          </w:p>
        </w:tc>
        <w:tc>
          <w:tcPr>
            <w:tcW w:w="1134" w:type="dxa"/>
            <w:tcBorders>
              <w:top w:val="nil"/>
              <w:left w:val="nil"/>
              <w:bottom w:val="single" w:sz="4" w:space="0" w:color="auto"/>
              <w:right w:val="single" w:sz="4" w:space="0" w:color="auto"/>
            </w:tcBorders>
            <w:shd w:val="clear" w:color="000000" w:fill="E7E6E6"/>
            <w:noWrap/>
            <w:vAlign w:val="center"/>
          </w:tcPr>
          <w:p w14:paraId="1D93BC26" w14:textId="2A0C6175"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39.3</w:t>
            </w:r>
          </w:p>
        </w:tc>
        <w:tc>
          <w:tcPr>
            <w:tcW w:w="856" w:type="dxa"/>
            <w:tcBorders>
              <w:top w:val="nil"/>
              <w:left w:val="nil"/>
              <w:bottom w:val="single" w:sz="4" w:space="0" w:color="auto"/>
              <w:right w:val="single" w:sz="4" w:space="0" w:color="auto"/>
            </w:tcBorders>
            <w:shd w:val="clear" w:color="000000" w:fill="E7E6E6"/>
            <w:vAlign w:val="center"/>
          </w:tcPr>
          <w:p w14:paraId="47A5CE34" w14:textId="7D91C9CF"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30.5</w:t>
            </w:r>
          </w:p>
        </w:tc>
        <w:tc>
          <w:tcPr>
            <w:tcW w:w="1304" w:type="dxa"/>
            <w:tcBorders>
              <w:top w:val="nil"/>
              <w:left w:val="nil"/>
              <w:bottom w:val="single" w:sz="4" w:space="0" w:color="auto"/>
              <w:right w:val="single" w:sz="4" w:space="0" w:color="auto"/>
            </w:tcBorders>
            <w:shd w:val="clear" w:color="000000" w:fill="E7E6E6"/>
            <w:noWrap/>
            <w:vAlign w:val="center"/>
          </w:tcPr>
          <w:p w14:paraId="3EE476E9" w14:textId="34579049"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32.3</w:t>
            </w:r>
          </w:p>
        </w:tc>
        <w:tc>
          <w:tcPr>
            <w:tcW w:w="1181" w:type="dxa"/>
            <w:tcBorders>
              <w:top w:val="nil"/>
              <w:left w:val="nil"/>
              <w:bottom w:val="single" w:sz="4" w:space="0" w:color="auto"/>
              <w:right w:val="single" w:sz="4" w:space="0" w:color="auto"/>
            </w:tcBorders>
            <w:shd w:val="clear" w:color="000000" w:fill="E7E6E6"/>
            <w:noWrap/>
            <w:vAlign w:val="center"/>
          </w:tcPr>
          <w:p w14:paraId="5DB29033" w14:textId="25D70F1C" w:rsidR="005A3FC1" w:rsidRPr="005A3FC1" w:rsidRDefault="005A3FC1" w:rsidP="00CB24EA">
            <w:pPr>
              <w:spacing w:line="240" w:lineRule="auto"/>
              <w:jc w:val="center"/>
              <w:rPr>
                <w:rFonts w:eastAsia="Times New Roman" w:cstheme="minorHAnsi"/>
                <w:color w:val="000000"/>
                <w:sz w:val="18"/>
                <w:szCs w:val="18"/>
                <w:lang w:eastAsia="es-MX"/>
              </w:rPr>
            </w:pPr>
            <w:r w:rsidRPr="005A3FC1">
              <w:rPr>
                <w:rFonts w:ascii="Calibri" w:hAnsi="Calibri" w:cs="Calibri"/>
                <w:color w:val="000000"/>
                <w:sz w:val="18"/>
                <w:szCs w:val="18"/>
              </w:rPr>
              <w:t>47.2</w:t>
            </w:r>
          </w:p>
        </w:tc>
      </w:tr>
    </w:tbl>
    <w:p w14:paraId="78EDFBDA" w14:textId="77777777" w:rsidR="0081233E" w:rsidRPr="00646B6F" w:rsidRDefault="0081233E" w:rsidP="0078703F">
      <w:pPr>
        <w:spacing w:line="240" w:lineRule="auto"/>
      </w:pPr>
    </w:p>
    <w:tbl>
      <w:tblPr>
        <w:tblW w:w="11466" w:type="dxa"/>
        <w:jc w:val="center"/>
        <w:tblCellMar>
          <w:left w:w="70" w:type="dxa"/>
          <w:right w:w="70" w:type="dxa"/>
        </w:tblCellMar>
        <w:tblLook w:val="04A0" w:firstRow="1" w:lastRow="0" w:firstColumn="1" w:lastColumn="0" w:noHBand="0" w:noVBand="1"/>
      </w:tblPr>
      <w:tblGrid>
        <w:gridCol w:w="805"/>
        <w:gridCol w:w="3448"/>
        <w:gridCol w:w="839"/>
        <w:gridCol w:w="1050"/>
        <w:gridCol w:w="846"/>
        <w:gridCol w:w="1132"/>
        <w:gridCol w:w="855"/>
        <w:gridCol w:w="1303"/>
        <w:gridCol w:w="1188"/>
      </w:tblGrid>
      <w:tr w:rsidR="00810B7C" w:rsidRPr="00646B6F" w14:paraId="787705AF" w14:textId="77777777" w:rsidTr="00F27222">
        <w:trPr>
          <w:trHeight w:val="289"/>
          <w:jc w:val="center"/>
        </w:trPr>
        <w:tc>
          <w:tcPr>
            <w:tcW w:w="11466" w:type="dxa"/>
            <w:gridSpan w:val="9"/>
            <w:tcBorders>
              <w:top w:val="nil"/>
              <w:left w:val="nil"/>
              <w:bottom w:val="single" w:sz="4" w:space="0" w:color="auto"/>
              <w:right w:val="nil"/>
            </w:tcBorders>
            <w:shd w:val="clear" w:color="auto" w:fill="auto"/>
            <w:vAlign w:val="center"/>
            <w:hideMark/>
          </w:tcPr>
          <w:p w14:paraId="26146BC4" w14:textId="14DE42C9"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 xml:space="preserve">Tabla </w:t>
            </w:r>
            <w:r w:rsidR="0024082E" w:rsidRPr="00646B6F">
              <w:rPr>
                <w:rFonts w:ascii="Calibri" w:eastAsia="Times New Roman" w:hAnsi="Calibri" w:cs="Calibri"/>
                <w:b/>
                <w:bCs/>
                <w:color w:val="000000"/>
                <w:sz w:val="20"/>
                <w:szCs w:val="20"/>
                <w:lang w:eastAsia="es-MX"/>
              </w:rPr>
              <w:t>5</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Pr="00646B6F">
              <w:rPr>
                <w:rFonts w:ascii="Calibri" w:eastAsia="Times New Roman" w:hAnsi="Calibri" w:cs="Calibri"/>
                <w:b/>
                <w:bCs/>
                <w:color w:val="000000"/>
                <w:sz w:val="20"/>
                <w:szCs w:val="20"/>
                <w:lang w:eastAsia="es-MX"/>
              </w:rPr>
              <w:t>Ciencias Sociales, 202</w:t>
            </w:r>
            <w:r w:rsidR="001B5079"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6616DC74" w14:textId="77777777" w:rsidTr="00F27222">
        <w:trPr>
          <w:trHeight w:val="463"/>
          <w:jc w:val="center"/>
        </w:trPr>
        <w:tc>
          <w:tcPr>
            <w:tcW w:w="805" w:type="dxa"/>
            <w:tcBorders>
              <w:top w:val="nil"/>
              <w:left w:val="single" w:sz="4" w:space="0" w:color="auto"/>
              <w:bottom w:val="single" w:sz="4" w:space="0" w:color="auto"/>
              <w:right w:val="single" w:sz="4" w:space="0" w:color="auto"/>
            </w:tcBorders>
            <w:shd w:val="clear" w:color="000000" w:fill="BDD6EE"/>
            <w:vAlign w:val="center"/>
            <w:hideMark/>
          </w:tcPr>
          <w:p w14:paraId="0921FAD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48" w:type="dxa"/>
            <w:tcBorders>
              <w:top w:val="nil"/>
              <w:left w:val="nil"/>
              <w:bottom w:val="single" w:sz="4" w:space="0" w:color="auto"/>
              <w:right w:val="single" w:sz="4" w:space="0" w:color="auto"/>
            </w:tcBorders>
            <w:shd w:val="clear" w:color="000000" w:fill="BDD6EE"/>
            <w:vAlign w:val="center"/>
            <w:hideMark/>
          </w:tcPr>
          <w:p w14:paraId="77A1718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39" w:type="dxa"/>
            <w:tcBorders>
              <w:top w:val="nil"/>
              <w:left w:val="nil"/>
              <w:bottom w:val="single" w:sz="4" w:space="0" w:color="auto"/>
              <w:right w:val="single" w:sz="4" w:space="0" w:color="auto"/>
            </w:tcBorders>
            <w:shd w:val="clear" w:color="000000" w:fill="BDD6EE"/>
            <w:vAlign w:val="center"/>
            <w:hideMark/>
          </w:tcPr>
          <w:p w14:paraId="078E582A"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50" w:type="dxa"/>
            <w:tcBorders>
              <w:top w:val="nil"/>
              <w:left w:val="nil"/>
              <w:bottom w:val="single" w:sz="4" w:space="0" w:color="auto"/>
              <w:right w:val="single" w:sz="4" w:space="0" w:color="auto"/>
            </w:tcBorders>
            <w:shd w:val="clear" w:color="000000" w:fill="BDD6EE"/>
            <w:vAlign w:val="center"/>
            <w:hideMark/>
          </w:tcPr>
          <w:p w14:paraId="7AD8F53B"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6" w:type="dxa"/>
            <w:tcBorders>
              <w:top w:val="nil"/>
              <w:left w:val="nil"/>
              <w:bottom w:val="single" w:sz="4" w:space="0" w:color="auto"/>
              <w:right w:val="single" w:sz="4" w:space="0" w:color="auto"/>
            </w:tcBorders>
            <w:shd w:val="clear" w:color="000000" w:fill="BDD6EE"/>
            <w:vAlign w:val="center"/>
            <w:hideMark/>
          </w:tcPr>
          <w:p w14:paraId="7044DE8D"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32" w:type="dxa"/>
            <w:tcBorders>
              <w:top w:val="nil"/>
              <w:left w:val="nil"/>
              <w:bottom w:val="single" w:sz="4" w:space="0" w:color="auto"/>
              <w:right w:val="single" w:sz="4" w:space="0" w:color="auto"/>
            </w:tcBorders>
            <w:shd w:val="clear" w:color="000000" w:fill="BDD6EE"/>
            <w:vAlign w:val="center"/>
            <w:hideMark/>
          </w:tcPr>
          <w:p w14:paraId="1D1ACCD2"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855" w:type="dxa"/>
            <w:tcBorders>
              <w:top w:val="nil"/>
              <w:left w:val="nil"/>
              <w:bottom w:val="single" w:sz="4" w:space="0" w:color="auto"/>
              <w:right w:val="single" w:sz="4" w:space="0" w:color="auto"/>
            </w:tcBorders>
            <w:shd w:val="clear" w:color="000000" w:fill="BDD6EE"/>
            <w:vAlign w:val="center"/>
            <w:hideMark/>
          </w:tcPr>
          <w:p w14:paraId="2830690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303" w:type="dxa"/>
            <w:tcBorders>
              <w:top w:val="nil"/>
              <w:left w:val="nil"/>
              <w:bottom w:val="single" w:sz="4" w:space="0" w:color="auto"/>
              <w:right w:val="single" w:sz="4" w:space="0" w:color="auto"/>
            </w:tcBorders>
            <w:shd w:val="clear" w:color="000000" w:fill="BDD6EE"/>
            <w:vAlign w:val="center"/>
            <w:hideMark/>
          </w:tcPr>
          <w:p w14:paraId="643A4274"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83" w:type="dxa"/>
            <w:tcBorders>
              <w:top w:val="nil"/>
              <w:left w:val="nil"/>
              <w:bottom w:val="single" w:sz="4" w:space="0" w:color="auto"/>
              <w:right w:val="single" w:sz="4" w:space="0" w:color="auto"/>
            </w:tcBorders>
            <w:shd w:val="clear" w:color="000000" w:fill="BDD6EE"/>
            <w:vAlign w:val="center"/>
            <w:hideMark/>
          </w:tcPr>
          <w:p w14:paraId="2A144138"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3DFDA63E"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614498D" w14:textId="154C2A9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101–125</w:t>
            </w:r>
          </w:p>
        </w:tc>
        <w:tc>
          <w:tcPr>
            <w:tcW w:w="3448" w:type="dxa"/>
            <w:tcBorders>
              <w:top w:val="nil"/>
              <w:left w:val="nil"/>
              <w:bottom w:val="single" w:sz="4" w:space="0" w:color="auto"/>
              <w:right w:val="single" w:sz="4" w:space="0" w:color="auto"/>
            </w:tcBorders>
            <w:shd w:val="clear" w:color="auto" w:fill="auto"/>
            <w:noWrap/>
            <w:vAlign w:val="center"/>
          </w:tcPr>
          <w:p w14:paraId="23565FEB" w14:textId="77096AB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39" w:type="dxa"/>
            <w:tcBorders>
              <w:top w:val="nil"/>
              <w:left w:val="nil"/>
              <w:bottom w:val="single" w:sz="4" w:space="0" w:color="auto"/>
              <w:right w:val="single" w:sz="4" w:space="0" w:color="auto"/>
            </w:tcBorders>
            <w:shd w:val="clear" w:color="auto" w:fill="auto"/>
            <w:vAlign w:val="center"/>
          </w:tcPr>
          <w:p w14:paraId="43AA8EF7" w14:textId="5CDF7FB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50" w:type="dxa"/>
            <w:tcBorders>
              <w:top w:val="nil"/>
              <w:left w:val="nil"/>
              <w:bottom w:val="single" w:sz="4" w:space="0" w:color="auto"/>
              <w:right w:val="single" w:sz="4" w:space="0" w:color="auto"/>
            </w:tcBorders>
            <w:shd w:val="clear" w:color="auto" w:fill="auto"/>
            <w:noWrap/>
            <w:vAlign w:val="center"/>
          </w:tcPr>
          <w:p w14:paraId="013B7659" w14:textId="29CDB3B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49.0–53.1</w:t>
            </w:r>
          </w:p>
        </w:tc>
        <w:tc>
          <w:tcPr>
            <w:tcW w:w="846" w:type="dxa"/>
            <w:tcBorders>
              <w:top w:val="nil"/>
              <w:left w:val="nil"/>
              <w:bottom w:val="single" w:sz="4" w:space="0" w:color="auto"/>
              <w:right w:val="single" w:sz="4" w:space="0" w:color="auto"/>
            </w:tcBorders>
            <w:shd w:val="clear" w:color="auto" w:fill="auto"/>
            <w:noWrap/>
            <w:vAlign w:val="center"/>
          </w:tcPr>
          <w:p w14:paraId="6137D4ED" w14:textId="16BFD4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45.2</w:t>
            </w:r>
          </w:p>
        </w:tc>
        <w:tc>
          <w:tcPr>
            <w:tcW w:w="1132" w:type="dxa"/>
            <w:tcBorders>
              <w:top w:val="nil"/>
              <w:left w:val="nil"/>
              <w:bottom w:val="single" w:sz="4" w:space="0" w:color="auto"/>
              <w:right w:val="single" w:sz="4" w:space="0" w:color="auto"/>
            </w:tcBorders>
            <w:shd w:val="clear" w:color="auto" w:fill="auto"/>
            <w:noWrap/>
            <w:vAlign w:val="center"/>
          </w:tcPr>
          <w:p w14:paraId="35F06277" w14:textId="2EFA7A3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32.3</w:t>
            </w:r>
          </w:p>
        </w:tc>
        <w:tc>
          <w:tcPr>
            <w:tcW w:w="855" w:type="dxa"/>
            <w:tcBorders>
              <w:top w:val="nil"/>
              <w:left w:val="nil"/>
              <w:bottom w:val="single" w:sz="4" w:space="0" w:color="auto"/>
              <w:right w:val="single" w:sz="4" w:space="0" w:color="auto"/>
            </w:tcBorders>
            <w:shd w:val="clear" w:color="auto" w:fill="auto"/>
            <w:vAlign w:val="center"/>
          </w:tcPr>
          <w:p w14:paraId="61FE306B" w14:textId="0627337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80.7</w:t>
            </w:r>
          </w:p>
        </w:tc>
        <w:tc>
          <w:tcPr>
            <w:tcW w:w="1303" w:type="dxa"/>
            <w:tcBorders>
              <w:top w:val="nil"/>
              <w:left w:val="nil"/>
              <w:bottom w:val="single" w:sz="4" w:space="0" w:color="auto"/>
              <w:right w:val="single" w:sz="4" w:space="0" w:color="auto"/>
            </w:tcBorders>
            <w:shd w:val="clear" w:color="auto" w:fill="auto"/>
            <w:noWrap/>
            <w:vAlign w:val="center"/>
          </w:tcPr>
          <w:p w14:paraId="6F9453C2" w14:textId="51DA2D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41.3</w:t>
            </w:r>
          </w:p>
        </w:tc>
        <w:tc>
          <w:tcPr>
            <w:tcW w:w="1183" w:type="dxa"/>
            <w:tcBorders>
              <w:top w:val="nil"/>
              <w:left w:val="nil"/>
              <w:bottom w:val="single" w:sz="4" w:space="0" w:color="auto"/>
              <w:right w:val="single" w:sz="4" w:space="0" w:color="auto"/>
            </w:tcBorders>
            <w:shd w:val="clear" w:color="auto" w:fill="auto"/>
            <w:noWrap/>
            <w:vAlign w:val="center"/>
          </w:tcPr>
          <w:p w14:paraId="285E1FFB" w14:textId="550B660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65.9</w:t>
            </w:r>
          </w:p>
        </w:tc>
      </w:tr>
      <w:tr w:rsidR="005A3FC1" w:rsidRPr="00646B6F" w14:paraId="3A4AC295"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46DF6BFE" w14:textId="4603AE0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48" w:type="dxa"/>
            <w:tcBorders>
              <w:top w:val="nil"/>
              <w:left w:val="nil"/>
              <w:bottom w:val="single" w:sz="4" w:space="0" w:color="auto"/>
              <w:right w:val="single" w:sz="4" w:space="0" w:color="auto"/>
            </w:tcBorders>
            <w:shd w:val="clear" w:color="000000" w:fill="E7E6E6"/>
            <w:noWrap/>
            <w:vAlign w:val="center"/>
          </w:tcPr>
          <w:p w14:paraId="043ED674" w14:textId="69A6E1A4"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39" w:type="dxa"/>
            <w:tcBorders>
              <w:top w:val="nil"/>
              <w:left w:val="nil"/>
              <w:bottom w:val="single" w:sz="4" w:space="0" w:color="auto"/>
              <w:right w:val="single" w:sz="4" w:space="0" w:color="auto"/>
            </w:tcBorders>
            <w:shd w:val="clear" w:color="000000" w:fill="E7E6E6"/>
            <w:vAlign w:val="center"/>
          </w:tcPr>
          <w:p w14:paraId="79B5D82F" w14:textId="102ED83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50" w:type="dxa"/>
            <w:tcBorders>
              <w:top w:val="nil"/>
              <w:left w:val="nil"/>
              <w:bottom w:val="single" w:sz="4" w:space="0" w:color="auto"/>
              <w:right w:val="single" w:sz="4" w:space="0" w:color="auto"/>
            </w:tcBorders>
            <w:shd w:val="clear" w:color="000000" w:fill="E7E6E6"/>
            <w:noWrap/>
            <w:vAlign w:val="center"/>
          </w:tcPr>
          <w:p w14:paraId="50337E2E" w14:textId="731DB0A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45.9–48.5</w:t>
            </w:r>
          </w:p>
        </w:tc>
        <w:tc>
          <w:tcPr>
            <w:tcW w:w="846" w:type="dxa"/>
            <w:tcBorders>
              <w:top w:val="nil"/>
              <w:left w:val="nil"/>
              <w:bottom w:val="single" w:sz="4" w:space="0" w:color="auto"/>
              <w:right w:val="single" w:sz="4" w:space="0" w:color="auto"/>
            </w:tcBorders>
            <w:shd w:val="clear" w:color="000000" w:fill="E7E6E6"/>
            <w:noWrap/>
            <w:vAlign w:val="center"/>
          </w:tcPr>
          <w:p w14:paraId="627C9555" w14:textId="4A751EB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55.8</w:t>
            </w:r>
          </w:p>
        </w:tc>
        <w:tc>
          <w:tcPr>
            <w:tcW w:w="1132" w:type="dxa"/>
            <w:tcBorders>
              <w:top w:val="nil"/>
              <w:left w:val="nil"/>
              <w:bottom w:val="single" w:sz="4" w:space="0" w:color="auto"/>
              <w:right w:val="single" w:sz="4" w:space="0" w:color="auto"/>
            </w:tcBorders>
            <w:shd w:val="clear" w:color="000000" w:fill="E7E6E6"/>
            <w:noWrap/>
            <w:vAlign w:val="center"/>
          </w:tcPr>
          <w:p w14:paraId="6079C9ED" w14:textId="47D936A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59.8</w:t>
            </w:r>
          </w:p>
        </w:tc>
        <w:tc>
          <w:tcPr>
            <w:tcW w:w="855" w:type="dxa"/>
            <w:tcBorders>
              <w:top w:val="nil"/>
              <w:left w:val="nil"/>
              <w:bottom w:val="single" w:sz="4" w:space="0" w:color="auto"/>
              <w:right w:val="single" w:sz="4" w:space="0" w:color="auto"/>
            </w:tcBorders>
            <w:shd w:val="clear" w:color="000000" w:fill="E7E6E6"/>
            <w:vAlign w:val="center"/>
          </w:tcPr>
          <w:p w14:paraId="3B446017" w14:textId="3F851EC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20.2</w:t>
            </w:r>
          </w:p>
        </w:tc>
        <w:tc>
          <w:tcPr>
            <w:tcW w:w="1303" w:type="dxa"/>
            <w:tcBorders>
              <w:top w:val="nil"/>
              <w:left w:val="nil"/>
              <w:bottom w:val="single" w:sz="4" w:space="0" w:color="auto"/>
              <w:right w:val="single" w:sz="4" w:space="0" w:color="auto"/>
            </w:tcBorders>
            <w:shd w:val="clear" w:color="000000" w:fill="E7E6E6"/>
            <w:noWrap/>
            <w:vAlign w:val="center"/>
          </w:tcPr>
          <w:p w14:paraId="492727C6" w14:textId="66F904E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60.5</w:t>
            </w:r>
          </w:p>
        </w:tc>
        <w:tc>
          <w:tcPr>
            <w:tcW w:w="1183" w:type="dxa"/>
            <w:tcBorders>
              <w:top w:val="nil"/>
              <w:left w:val="nil"/>
              <w:bottom w:val="single" w:sz="4" w:space="0" w:color="auto"/>
              <w:right w:val="single" w:sz="4" w:space="0" w:color="auto"/>
            </w:tcBorders>
            <w:shd w:val="clear" w:color="000000" w:fill="E7E6E6"/>
            <w:noWrap/>
            <w:vAlign w:val="center"/>
          </w:tcPr>
          <w:p w14:paraId="7E2DB376" w14:textId="48E2D8C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25.4</w:t>
            </w:r>
          </w:p>
        </w:tc>
      </w:tr>
      <w:tr w:rsidR="005A3FC1" w:rsidRPr="00646B6F" w14:paraId="0301B733"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117ACC3" w14:textId="5AA5D58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48" w:type="dxa"/>
            <w:tcBorders>
              <w:top w:val="nil"/>
              <w:left w:val="nil"/>
              <w:bottom w:val="single" w:sz="4" w:space="0" w:color="auto"/>
              <w:right w:val="single" w:sz="4" w:space="0" w:color="auto"/>
            </w:tcBorders>
            <w:shd w:val="clear" w:color="auto" w:fill="auto"/>
            <w:noWrap/>
            <w:vAlign w:val="center"/>
          </w:tcPr>
          <w:p w14:paraId="644B9E7D" w14:textId="7C17E27B"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Pompeu Fabra</w:t>
            </w:r>
          </w:p>
        </w:tc>
        <w:tc>
          <w:tcPr>
            <w:tcW w:w="839" w:type="dxa"/>
            <w:tcBorders>
              <w:top w:val="nil"/>
              <w:left w:val="nil"/>
              <w:bottom w:val="single" w:sz="4" w:space="0" w:color="auto"/>
              <w:right w:val="single" w:sz="4" w:space="0" w:color="auto"/>
            </w:tcBorders>
            <w:shd w:val="clear" w:color="auto" w:fill="auto"/>
            <w:vAlign w:val="center"/>
          </w:tcPr>
          <w:p w14:paraId="440BFF98" w14:textId="4B85E0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50" w:type="dxa"/>
            <w:tcBorders>
              <w:top w:val="nil"/>
              <w:left w:val="nil"/>
              <w:bottom w:val="single" w:sz="4" w:space="0" w:color="auto"/>
              <w:right w:val="single" w:sz="4" w:space="0" w:color="auto"/>
            </w:tcBorders>
            <w:shd w:val="clear" w:color="auto" w:fill="auto"/>
            <w:noWrap/>
            <w:vAlign w:val="center"/>
          </w:tcPr>
          <w:p w14:paraId="1B59506C" w14:textId="1B54B39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45.9–48.5</w:t>
            </w:r>
          </w:p>
        </w:tc>
        <w:tc>
          <w:tcPr>
            <w:tcW w:w="846" w:type="dxa"/>
            <w:tcBorders>
              <w:top w:val="nil"/>
              <w:left w:val="nil"/>
              <w:bottom w:val="single" w:sz="4" w:space="0" w:color="auto"/>
              <w:right w:val="single" w:sz="4" w:space="0" w:color="auto"/>
            </w:tcBorders>
            <w:shd w:val="clear" w:color="auto" w:fill="auto"/>
            <w:noWrap/>
            <w:vAlign w:val="center"/>
          </w:tcPr>
          <w:p w14:paraId="4C6F0FC8" w14:textId="3BB62F9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w:t>
            </w:r>
          </w:p>
        </w:tc>
        <w:tc>
          <w:tcPr>
            <w:tcW w:w="1132" w:type="dxa"/>
            <w:tcBorders>
              <w:top w:val="nil"/>
              <w:left w:val="nil"/>
              <w:bottom w:val="single" w:sz="4" w:space="0" w:color="auto"/>
              <w:right w:val="single" w:sz="4" w:space="0" w:color="auto"/>
            </w:tcBorders>
            <w:shd w:val="clear" w:color="auto" w:fill="auto"/>
            <w:noWrap/>
            <w:vAlign w:val="center"/>
          </w:tcPr>
          <w:p w14:paraId="5BBD4F9C" w14:textId="3D9D2DC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26.4</w:t>
            </w:r>
          </w:p>
        </w:tc>
        <w:tc>
          <w:tcPr>
            <w:tcW w:w="855" w:type="dxa"/>
            <w:tcBorders>
              <w:top w:val="nil"/>
              <w:left w:val="nil"/>
              <w:bottom w:val="single" w:sz="4" w:space="0" w:color="auto"/>
              <w:right w:val="single" w:sz="4" w:space="0" w:color="auto"/>
            </w:tcBorders>
            <w:shd w:val="clear" w:color="auto" w:fill="auto"/>
            <w:vAlign w:val="center"/>
          </w:tcPr>
          <w:p w14:paraId="08A3F95A" w14:textId="5EE3C9E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83.1</w:t>
            </w:r>
          </w:p>
        </w:tc>
        <w:tc>
          <w:tcPr>
            <w:tcW w:w="1303" w:type="dxa"/>
            <w:tcBorders>
              <w:top w:val="nil"/>
              <w:left w:val="nil"/>
              <w:bottom w:val="single" w:sz="4" w:space="0" w:color="auto"/>
              <w:right w:val="single" w:sz="4" w:space="0" w:color="auto"/>
            </w:tcBorders>
            <w:shd w:val="clear" w:color="auto" w:fill="auto"/>
            <w:noWrap/>
            <w:vAlign w:val="center"/>
          </w:tcPr>
          <w:p w14:paraId="15A1B7D5" w14:textId="2BF67D2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39.8</w:t>
            </w:r>
          </w:p>
        </w:tc>
        <w:tc>
          <w:tcPr>
            <w:tcW w:w="1183" w:type="dxa"/>
            <w:tcBorders>
              <w:top w:val="nil"/>
              <w:left w:val="nil"/>
              <w:bottom w:val="single" w:sz="4" w:space="0" w:color="auto"/>
              <w:right w:val="single" w:sz="4" w:space="0" w:color="auto"/>
            </w:tcBorders>
            <w:shd w:val="clear" w:color="auto" w:fill="auto"/>
            <w:noWrap/>
            <w:vAlign w:val="center"/>
          </w:tcPr>
          <w:p w14:paraId="78161A73" w14:textId="6338493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52.7</w:t>
            </w:r>
          </w:p>
        </w:tc>
      </w:tr>
      <w:tr w:rsidR="005A3FC1" w:rsidRPr="00646B6F" w14:paraId="56C050CF"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73DDD818" w14:textId="636357D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48" w:type="dxa"/>
            <w:tcBorders>
              <w:top w:val="nil"/>
              <w:left w:val="nil"/>
              <w:bottom w:val="single" w:sz="4" w:space="0" w:color="auto"/>
              <w:right w:val="single" w:sz="4" w:space="0" w:color="auto"/>
            </w:tcBorders>
            <w:shd w:val="clear" w:color="000000" w:fill="E7E6E6"/>
            <w:noWrap/>
            <w:vAlign w:val="center"/>
          </w:tcPr>
          <w:p w14:paraId="20B8163F" w14:textId="07A39E7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Católica de Chile</w:t>
            </w:r>
          </w:p>
        </w:tc>
        <w:tc>
          <w:tcPr>
            <w:tcW w:w="839" w:type="dxa"/>
            <w:tcBorders>
              <w:top w:val="nil"/>
              <w:left w:val="nil"/>
              <w:bottom w:val="single" w:sz="4" w:space="0" w:color="auto"/>
              <w:right w:val="single" w:sz="4" w:space="0" w:color="auto"/>
            </w:tcBorders>
            <w:shd w:val="clear" w:color="000000" w:fill="E7E6E6"/>
            <w:vAlign w:val="center"/>
          </w:tcPr>
          <w:p w14:paraId="513A2D4D" w14:textId="46C1228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50" w:type="dxa"/>
            <w:tcBorders>
              <w:top w:val="nil"/>
              <w:left w:val="nil"/>
              <w:bottom w:val="single" w:sz="4" w:space="0" w:color="auto"/>
              <w:right w:val="single" w:sz="4" w:space="0" w:color="auto"/>
            </w:tcBorders>
            <w:shd w:val="clear" w:color="000000" w:fill="E7E6E6"/>
            <w:noWrap/>
            <w:vAlign w:val="center"/>
          </w:tcPr>
          <w:p w14:paraId="3FE8C893" w14:textId="0FBB4A7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37.9–41.9</w:t>
            </w:r>
          </w:p>
        </w:tc>
        <w:tc>
          <w:tcPr>
            <w:tcW w:w="846" w:type="dxa"/>
            <w:tcBorders>
              <w:top w:val="nil"/>
              <w:left w:val="nil"/>
              <w:bottom w:val="single" w:sz="4" w:space="0" w:color="auto"/>
              <w:right w:val="single" w:sz="4" w:space="0" w:color="auto"/>
            </w:tcBorders>
            <w:shd w:val="clear" w:color="000000" w:fill="E7E6E6"/>
            <w:noWrap/>
            <w:vAlign w:val="center"/>
          </w:tcPr>
          <w:p w14:paraId="606394EE" w14:textId="75D6638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w:t>
            </w:r>
          </w:p>
        </w:tc>
        <w:tc>
          <w:tcPr>
            <w:tcW w:w="1132" w:type="dxa"/>
            <w:tcBorders>
              <w:top w:val="nil"/>
              <w:left w:val="nil"/>
              <w:bottom w:val="single" w:sz="4" w:space="0" w:color="auto"/>
              <w:right w:val="single" w:sz="4" w:space="0" w:color="auto"/>
            </w:tcBorders>
            <w:shd w:val="clear" w:color="000000" w:fill="E7E6E6"/>
            <w:noWrap/>
            <w:vAlign w:val="center"/>
          </w:tcPr>
          <w:p w14:paraId="67554D05" w14:textId="2A286C2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34.1</w:t>
            </w:r>
          </w:p>
        </w:tc>
        <w:tc>
          <w:tcPr>
            <w:tcW w:w="855" w:type="dxa"/>
            <w:tcBorders>
              <w:top w:val="nil"/>
              <w:left w:val="nil"/>
              <w:bottom w:val="single" w:sz="4" w:space="0" w:color="auto"/>
              <w:right w:val="single" w:sz="4" w:space="0" w:color="auto"/>
            </w:tcBorders>
            <w:shd w:val="clear" w:color="000000" w:fill="E7E6E6"/>
            <w:vAlign w:val="center"/>
          </w:tcPr>
          <w:p w14:paraId="4E789B7F" w14:textId="4DDC2F2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54.6</w:t>
            </w:r>
          </w:p>
        </w:tc>
        <w:tc>
          <w:tcPr>
            <w:tcW w:w="1303" w:type="dxa"/>
            <w:tcBorders>
              <w:top w:val="nil"/>
              <w:left w:val="nil"/>
              <w:bottom w:val="single" w:sz="4" w:space="0" w:color="auto"/>
              <w:right w:val="single" w:sz="4" w:space="0" w:color="auto"/>
            </w:tcBorders>
            <w:shd w:val="clear" w:color="000000" w:fill="E7E6E6"/>
            <w:noWrap/>
            <w:vAlign w:val="center"/>
          </w:tcPr>
          <w:p w14:paraId="03F23972" w14:textId="1C5316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100</w:t>
            </w:r>
          </w:p>
        </w:tc>
        <w:tc>
          <w:tcPr>
            <w:tcW w:w="1183" w:type="dxa"/>
            <w:tcBorders>
              <w:top w:val="nil"/>
              <w:left w:val="nil"/>
              <w:bottom w:val="single" w:sz="4" w:space="0" w:color="auto"/>
              <w:right w:val="single" w:sz="4" w:space="0" w:color="auto"/>
            </w:tcBorders>
            <w:shd w:val="clear" w:color="000000" w:fill="E7E6E6"/>
            <w:noWrap/>
            <w:vAlign w:val="center"/>
          </w:tcPr>
          <w:p w14:paraId="7E9289E0" w14:textId="05EBA56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51.4</w:t>
            </w:r>
          </w:p>
        </w:tc>
      </w:tr>
      <w:tr w:rsidR="005A3FC1" w:rsidRPr="00646B6F" w14:paraId="34DB1D05"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AE8E78C" w14:textId="41BAB0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48" w:type="dxa"/>
            <w:tcBorders>
              <w:top w:val="nil"/>
              <w:left w:val="nil"/>
              <w:bottom w:val="single" w:sz="4" w:space="0" w:color="auto"/>
              <w:right w:val="single" w:sz="4" w:space="0" w:color="auto"/>
            </w:tcBorders>
            <w:shd w:val="clear" w:color="auto" w:fill="auto"/>
            <w:noWrap/>
            <w:vAlign w:val="center"/>
          </w:tcPr>
          <w:p w14:paraId="4407B13D" w14:textId="4A07799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39" w:type="dxa"/>
            <w:tcBorders>
              <w:top w:val="nil"/>
              <w:left w:val="nil"/>
              <w:bottom w:val="single" w:sz="4" w:space="0" w:color="auto"/>
              <w:right w:val="single" w:sz="4" w:space="0" w:color="auto"/>
            </w:tcBorders>
            <w:shd w:val="clear" w:color="auto" w:fill="auto"/>
            <w:vAlign w:val="center"/>
          </w:tcPr>
          <w:p w14:paraId="762740A8" w14:textId="1296B4F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50" w:type="dxa"/>
            <w:tcBorders>
              <w:top w:val="nil"/>
              <w:left w:val="nil"/>
              <w:bottom w:val="single" w:sz="4" w:space="0" w:color="auto"/>
              <w:right w:val="single" w:sz="4" w:space="0" w:color="auto"/>
            </w:tcBorders>
            <w:shd w:val="clear" w:color="auto" w:fill="auto"/>
            <w:noWrap/>
            <w:vAlign w:val="center"/>
          </w:tcPr>
          <w:p w14:paraId="5AE86284" w14:textId="7391153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37.9–41.9</w:t>
            </w:r>
          </w:p>
        </w:tc>
        <w:tc>
          <w:tcPr>
            <w:tcW w:w="846" w:type="dxa"/>
            <w:tcBorders>
              <w:top w:val="nil"/>
              <w:left w:val="nil"/>
              <w:bottom w:val="single" w:sz="4" w:space="0" w:color="auto"/>
              <w:right w:val="single" w:sz="4" w:space="0" w:color="auto"/>
            </w:tcBorders>
            <w:shd w:val="clear" w:color="auto" w:fill="auto"/>
            <w:noWrap/>
            <w:vAlign w:val="center"/>
          </w:tcPr>
          <w:p w14:paraId="20185AF7" w14:textId="0D4A19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37.2</w:t>
            </w:r>
          </w:p>
        </w:tc>
        <w:tc>
          <w:tcPr>
            <w:tcW w:w="1132" w:type="dxa"/>
            <w:tcBorders>
              <w:top w:val="nil"/>
              <w:left w:val="nil"/>
              <w:bottom w:val="single" w:sz="4" w:space="0" w:color="auto"/>
              <w:right w:val="single" w:sz="4" w:space="0" w:color="auto"/>
            </w:tcBorders>
            <w:shd w:val="clear" w:color="auto" w:fill="auto"/>
            <w:noWrap/>
            <w:vAlign w:val="center"/>
          </w:tcPr>
          <w:p w14:paraId="6166769E" w14:textId="3202D63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30.4</w:t>
            </w:r>
          </w:p>
        </w:tc>
        <w:tc>
          <w:tcPr>
            <w:tcW w:w="855" w:type="dxa"/>
            <w:tcBorders>
              <w:top w:val="nil"/>
              <w:left w:val="nil"/>
              <w:bottom w:val="single" w:sz="4" w:space="0" w:color="auto"/>
              <w:right w:val="single" w:sz="4" w:space="0" w:color="auto"/>
            </w:tcBorders>
            <w:shd w:val="clear" w:color="auto" w:fill="auto"/>
            <w:vAlign w:val="center"/>
          </w:tcPr>
          <w:p w14:paraId="32E170C7" w14:textId="38E2811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54.3</w:t>
            </w:r>
          </w:p>
        </w:tc>
        <w:tc>
          <w:tcPr>
            <w:tcW w:w="1303" w:type="dxa"/>
            <w:tcBorders>
              <w:top w:val="nil"/>
              <w:left w:val="nil"/>
              <w:bottom w:val="single" w:sz="4" w:space="0" w:color="auto"/>
              <w:right w:val="single" w:sz="4" w:space="0" w:color="auto"/>
            </w:tcBorders>
            <w:shd w:val="clear" w:color="auto" w:fill="auto"/>
            <w:noWrap/>
            <w:vAlign w:val="center"/>
          </w:tcPr>
          <w:p w14:paraId="0DB052EB" w14:textId="16C8100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w:t>
            </w:r>
          </w:p>
        </w:tc>
        <w:tc>
          <w:tcPr>
            <w:tcW w:w="1183" w:type="dxa"/>
            <w:tcBorders>
              <w:top w:val="nil"/>
              <w:left w:val="nil"/>
              <w:bottom w:val="single" w:sz="4" w:space="0" w:color="auto"/>
              <w:right w:val="single" w:sz="4" w:space="0" w:color="auto"/>
            </w:tcBorders>
            <w:shd w:val="clear" w:color="auto" w:fill="auto"/>
            <w:noWrap/>
            <w:vAlign w:val="center"/>
          </w:tcPr>
          <w:p w14:paraId="4069C5EE" w14:textId="1BF364A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50.2</w:t>
            </w:r>
          </w:p>
        </w:tc>
      </w:tr>
      <w:tr w:rsidR="005A3FC1" w:rsidRPr="00646B6F" w14:paraId="761DADCA"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54F50F53" w14:textId="43B1847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48" w:type="dxa"/>
            <w:tcBorders>
              <w:top w:val="nil"/>
              <w:left w:val="nil"/>
              <w:bottom w:val="single" w:sz="4" w:space="0" w:color="auto"/>
              <w:right w:val="single" w:sz="4" w:space="0" w:color="auto"/>
            </w:tcBorders>
            <w:shd w:val="clear" w:color="000000" w:fill="E7E6E6"/>
            <w:noWrap/>
            <w:vAlign w:val="center"/>
          </w:tcPr>
          <w:p w14:paraId="5859BA11" w14:textId="43B6466A"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Abierta de Cataluña</w:t>
            </w:r>
          </w:p>
        </w:tc>
        <w:tc>
          <w:tcPr>
            <w:tcW w:w="839" w:type="dxa"/>
            <w:tcBorders>
              <w:top w:val="nil"/>
              <w:left w:val="nil"/>
              <w:bottom w:val="single" w:sz="4" w:space="0" w:color="auto"/>
              <w:right w:val="single" w:sz="4" w:space="0" w:color="auto"/>
            </w:tcBorders>
            <w:shd w:val="clear" w:color="000000" w:fill="E7E6E6"/>
            <w:vAlign w:val="center"/>
          </w:tcPr>
          <w:p w14:paraId="054412FE" w14:textId="2D29766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50" w:type="dxa"/>
            <w:tcBorders>
              <w:top w:val="nil"/>
              <w:left w:val="nil"/>
              <w:bottom w:val="single" w:sz="4" w:space="0" w:color="auto"/>
              <w:right w:val="single" w:sz="4" w:space="0" w:color="auto"/>
            </w:tcBorders>
            <w:shd w:val="clear" w:color="000000" w:fill="E7E6E6"/>
            <w:noWrap/>
            <w:vAlign w:val="center"/>
          </w:tcPr>
          <w:p w14:paraId="1F995492" w14:textId="5B9883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35.3–37.8</w:t>
            </w:r>
          </w:p>
        </w:tc>
        <w:tc>
          <w:tcPr>
            <w:tcW w:w="846" w:type="dxa"/>
            <w:tcBorders>
              <w:top w:val="nil"/>
              <w:left w:val="nil"/>
              <w:bottom w:val="single" w:sz="4" w:space="0" w:color="auto"/>
              <w:right w:val="single" w:sz="4" w:space="0" w:color="auto"/>
            </w:tcBorders>
            <w:shd w:val="clear" w:color="000000" w:fill="E7E6E6"/>
            <w:noWrap/>
            <w:vAlign w:val="center"/>
          </w:tcPr>
          <w:p w14:paraId="584E24A7" w14:textId="1C196E6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24.9</w:t>
            </w:r>
          </w:p>
        </w:tc>
        <w:tc>
          <w:tcPr>
            <w:tcW w:w="1132" w:type="dxa"/>
            <w:tcBorders>
              <w:top w:val="nil"/>
              <w:left w:val="nil"/>
              <w:bottom w:val="single" w:sz="4" w:space="0" w:color="auto"/>
              <w:right w:val="single" w:sz="4" w:space="0" w:color="auto"/>
            </w:tcBorders>
            <w:shd w:val="clear" w:color="000000" w:fill="E7E6E6"/>
            <w:noWrap/>
            <w:vAlign w:val="center"/>
          </w:tcPr>
          <w:p w14:paraId="48E0FCAD" w14:textId="6FBC451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21.1</w:t>
            </w:r>
          </w:p>
        </w:tc>
        <w:tc>
          <w:tcPr>
            <w:tcW w:w="855" w:type="dxa"/>
            <w:tcBorders>
              <w:top w:val="nil"/>
              <w:left w:val="nil"/>
              <w:bottom w:val="single" w:sz="4" w:space="0" w:color="auto"/>
              <w:right w:val="single" w:sz="4" w:space="0" w:color="auto"/>
            </w:tcBorders>
            <w:shd w:val="clear" w:color="000000" w:fill="E7E6E6"/>
            <w:vAlign w:val="center"/>
          </w:tcPr>
          <w:p w14:paraId="7A4A42CC" w14:textId="0E562C9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69</w:t>
            </w:r>
          </w:p>
        </w:tc>
        <w:tc>
          <w:tcPr>
            <w:tcW w:w="1303" w:type="dxa"/>
            <w:tcBorders>
              <w:top w:val="nil"/>
              <w:left w:val="nil"/>
              <w:bottom w:val="single" w:sz="4" w:space="0" w:color="auto"/>
              <w:right w:val="single" w:sz="4" w:space="0" w:color="auto"/>
            </w:tcBorders>
            <w:shd w:val="clear" w:color="000000" w:fill="E7E6E6"/>
            <w:noWrap/>
            <w:vAlign w:val="center"/>
          </w:tcPr>
          <w:p w14:paraId="0DF19708" w14:textId="4FA9E8A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51.7</w:t>
            </w:r>
          </w:p>
        </w:tc>
        <w:tc>
          <w:tcPr>
            <w:tcW w:w="1183" w:type="dxa"/>
            <w:tcBorders>
              <w:top w:val="nil"/>
              <w:left w:val="nil"/>
              <w:bottom w:val="single" w:sz="4" w:space="0" w:color="auto"/>
              <w:right w:val="single" w:sz="4" w:space="0" w:color="auto"/>
            </w:tcBorders>
            <w:shd w:val="clear" w:color="000000" w:fill="E7E6E6"/>
            <w:noWrap/>
            <w:vAlign w:val="center"/>
          </w:tcPr>
          <w:p w14:paraId="083BB865" w14:textId="23BF11E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w:t>
            </w:r>
          </w:p>
        </w:tc>
      </w:tr>
      <w:tr w:rsidR="005A3FC1" w:rsidRPr="00646B6F" w14:paraId="4116612A"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BA119F0" w14:textId="3B2F545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48" w:type="dxa"/>
            <w:tcBorders>
              <w:top w:val="nil"/>
              <w:left w:val="nil"/>
              <w:bottom w:val="single" w:sz="4" w:space="0" w:color="auto"/>
              <w:right w:val="single" w:sz="4" w:space="0" w:color="auto"/>
            </w:tcBorders>
            <w:shd w:val="clear" w:color="auto" w:fill="auto"/>
            <w:noWrap/>
            <w:vAlign w:val="center"/>
          </w:tcPr>
          <w:p w14:paraId="1E6CFA42" w14:textId="6F8CE37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39" w:type="dxa"/>
            <w:tcBorders>
              <w:top w:val="nil"/>
              <w:left w:val="nil"/>
              <w:bottom w:val="single" w:sz="4" w:space="0" w:color="auto"/>
              <w:right w:val="single" w:sz="4" w:space="0" w:color="auto"/>
            </w:tcBorders>
            <w:shd w:val="clear" w:color="auto" w:fill="auto"/>
            <w:vAlign w:val="center"/>
          </w:tcPr>
          <w:p w14:paraId="55C9895F" w14:textId="273442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50" w:type="dxa"/>
            <w:tcBorders>
              <w:top w:val="nil"/>
              <w:left w:val="nil"/>
              <w:bottom w:val="single" w:sz="4" w:space="0" w:color="auto"/>
              <w:right w:val="single" w:sz="4" w:space="0" w:color="auto"/>
            </w:tcBorders>
            <w:shd w:val="clear" w:color="auto" w:fill="auto"/>
            <w:noWrap/>
            <w:vAlign w:val="center"/>
          </w:tcPr>
          <w:p w14:paraId="2FA7E1B9" w14:textId="1A41AF2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35.3–37.8</w:t>
            </w:r>
          </w:p>
        </w:tc>
        <w:tc>
          <w:tcPr>
            <w:tcW w:w="846" w:type="dxa"/>
            <w:tcBorders>
              <w:top w:val="nil"/>
              <w:left w:val="nil"/>
              <w:bottom w:val="single" w:sz="4" w:space="0" w:color="auto"/>
              <w:right w:val="single" w:sz="4" w:space="0" w:color="auto"/>
            </w:tcBorders>
            <w:shd w:val="clear" w:color="auto" w:fill="auto"/>
            <w:noWrap/>
            <w:vAlign w:val="center"/>
          </w:tcPr>
          <w:p w14:paraId="568B3260" w14:textId="422E955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24.5</w:t>
            </w:r>
          </w:p>
        </w:tc>
        <w:tc>
          <w:tcPr>
            <w:tcW w:w="1132" w:type="dxa"/>
            <w:tcBorders>
              <w:top w:val="nil"/>
              <w:left w:val="nil"/>
              <w:bottom w:val="single" w:sz="4" w:space="0" w:color="auto"/>
              <w:right w:val="single" w:sz="4" w:space="0" w:color="auto"/>
            </w:tcBorders>
            <w:shd w:val="clear" w:color="auto" w:fill="auto"/>
            <w:noWrap/>
            <w:vAlign w:val="center"/>
          </w:tcPr>
          <w:p w14:paraId="3518613F" w14:textId="2D86914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24.6</w:t>
            </w:r>
          </w:p>
        </w:tc>
        <w:tc>
          <w:tcPr>
            <w:tcW w:w="855" w:type="dxa"/>
            <w:tcBorders>
              <w:top w:val="nil"/>
              <w:left w:val="nil"/>
              <w:bottom w:val="single" w:sz="4" w:space="0" w:color="auto"/>
              <w:right w:val="single" w:sz="4" w:space="0" w:color="auto"/>
            </w:tcBorders>
            <w:shd w:val="clear" w:color="auto" w:fill="auto"/>
            <w:vAlign w:val="center"/>
          </w:tcPr>
          <w:p w14:paraId="03577599" w14:textId="54FC54F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w:t>
            </w:r>
          </w:p>
        </w:tc>
        <w:tc>
          <w:tcPr>
            <w:tcW w:w="1303" w:type="dxa"/>
            <w:tcBorders>
              <w:top w:val="nil"/>
              <w:left w:val="nil"/>
              <w:bottom w:val="single" w:sz="4" w:space="0" w:color="auto"/>
              <w:right w:val="single" w:sz="4" w:space="0" w:color="auto"/>
            </w:tcBorders>
            <w:shd w:val="clear" w:color="auto" w:fill="auto"/>
            <w:noWrap/>
            <w:vAlign w:val="center"/>
          </w:tcPr>
          <w:p w14:paraId="4D471B8A" w14:textId="6AC0E16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54.2</w:t>
            </w:r>
          </w:p>
        </w:tc>
        <w:tc>
          <w:tcPr>
            <w:tcW w:w="1183" w:type="dxa"/>
            <w:tcBorders>
              <w:top w:val="nil"/>
              <w:left w:val="nil"/>
              <w:bottom w:val="single" w:sz="4" w:space="0" w:color="auto"/>
              <w:right w:val="single" w:sz="4" w:space="0" w:color="auto"/>
            </w:tcBorders>
            <w:shd w:val="clear" w:color="auto" w:fill="auto"/>
            <w:noWrap/>
            <w:vAlign w:val="center"/>
          </w:tcPr>
          <w:p w14:paraId="3BF8565F" w14:textId="4DF1E9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51.7</w:t>
            </w:r>
          </w:p>
        </w:tc>
      </w:tr>
      <w:tr w:rsidR="005A3FC1" w:rsidRPr="00646B6F" w14:paraId="5AACB581"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129A5C41" w14:textId="6636AF4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48" w:type="dxa"/>
            <w:tcBorders>
              <w:top w:val="nil"/>
              <w:left w:val="nil"/>
              <w:bottom w:val="single" w:sz="4" w:space="0" w:color="auto"/>
              <w:right w:val="single" w:sz="4" w:space="0" w:color="auto"/>
            </w:tcBorders>
            <w:shd w:val="clear" w:color="000000" w:fill="E7E6E6"/>
            <w:noWrap/>
            <w:vAlign w:val="center"/>
          </w:tcPr>
          <w:p w14:paraId="46D1F4D7" w14:textId="21DF173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Campinas</w:t>
            </w:r>
          </w:p>
        </w:tc>
        <w:tc>
          <w:tcPr>
            <w:tcW w:w="839" w:type="dxa"/>
            <w:tcBorders>
              <w:top w:val="nil"/>
              <w:left w:val="nil"/>
              <w:bottom w:val="single" w:sz="4" w:space="0" w:color="auto"/>
              <w:right w:val="single" w:sz="4" w:space="0" w:color="auto"/>
            </w:tcBorders>
            <w:shd w:val="clear" w:color="000000" w:fill="E7E6E6"/>
            <w:vAlign w:val="center"/>
          </w:tcPr>
          <w:p w14:paraId="7FAAC407" w14:textId="694F19E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50" w:type="dxa"/>
            <w:tcBorders>
              <w:top w:val="nil"/>
              <w:left w:val="nil"/>
              <w:bottom w:val="single" w:sz="4" w:space="0" w:color="auto"/>
              <w:right w:val="single" w:sz="4" w:space="0" w:color="auto"/>
            </w:tcBorders>
            <w:shd w:val="clear" w:color="000000" w:fill="E7E6E6"/>
            <w:noWrap/>
            <w:vAlign w:val="center"/>
          </w:tcPr>
          <w:p w14:paraId="552F3E46" w14:textId="7288587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35.3–37.8</w:t>
            </w:r>
          </w:p>
        </w:tc>
        <w:tc>
          <w:tcPr>
            <w:tcW w:w="846" w:type="dxa"/>
            <w:tcBorders>
              <w:top w:val="nil"/>
              <w:left w:val="nil"/>
              <w:bottom w:val="single" w:sz="4" w:space="0" w:color="auto"/>
              <w:right w:val="single" w:sz="4" w:space="0" w:color="auto"/>
            </w:tcBorders>
            <w:shd w:val="clear" w:color="000000" w:fill="E7E6E6"/>
            <w:noWrap/>
            <w:vAlign w:val="center"/>
          </w:tcPr>
          <w:p w14:paraId="1074D57B" w14:textId="22E30C7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39.6</w:t>
            </w:r>
          </w:p>
        </w:tc>
        <w:tc>
          <w:tcPr>
            <w:tcW w:w="1132" w:type="dxa"/>
            <w:tcBorders>
              <w:top w:val="nil"/>
              <w:left w:val="nil"/>
              <w:bottom w:val="single" w:sz="4" w:space="0" w:color="auto"/>
              <w:right w:val="single" w:sz="4" w:space="0" w:color="auto"/>
            </w:tcBorders>
            <w:shd w:val="clear" w:color="000000" w:fill="E7E6E6"/>
            <w:noWrap/>
            <w:vAlign w:val="center"/>
          </w:tcPr>
          <w:p w14:paraId="6D2E7F30" w14:textId="7C85F53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39.2</w:t>
            </w:r>
          </w:p>
        </w:tc>
        <w:tc>
          <w:tcPr>
            <w:tcW w:w="855" w:type="dxa"/>
            <w:tcBorders>
              <w:top w:val="nil"/>
              <w:left w:val="nil"/>
              <w:bottom w:val="single" w:sz="4" w:space="0" w:color="auto"/>
              <w:right w:val="single" w:sz="4" w:space="0" w:color="auto"/>
            </w:tcBorders>
            <w:shd w:val="clear" w:color="000000" w:fill="E7E6E6"/>
            <w:vAlign w:val="center"/>
          </w:tcPr>
          <w:p w14:paraId="2BD2346C" w14:textId="33CB18A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32.5</w:t>
            </w:r>
          </w:p>
        </w:tc>
        <w:tc>
          <w:tcPr>
            <w:tcW w:w="1303" w:type="dxa"/>
            <w:tcBorders>
              <w:top w:val="nil"/>
              <w:left w:val="nil"/>
              <w:bottom w:val="single" w:sz="4" w:space="0" w:color="auto"/>
              <w:right w:val="single" w:sz="4" w:space="0" w:color="auto"/>
            </w:tcBorders>
            <w:shd w:val="clear" w:color="000000" w:fill="E7E6E6"/>
            <w:noWrap/>
            <w:vAlign w:val="center"/>
          </w:tcPr>
          <w:p w14:paraId="3A31E0F0" w14:textId="2F80B0D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65</w:t>
            </w:r>
          </w:p>
        </w:tc>
        <w:tc>
          <w:tcPr>
            <w:tcW w:w="1183" w:type="dxa"/>
            <w:tcBorders>
              <w:top w:val="nil"/>
              <w:left w:val="nil"/>
              <w:bottom w:val="single" w:sz="4" w:space="0" w:color="auto"/>
              <w:right w:val="single" w:sz="4" w:space="0" w:color="auto"/>
            </w:tcBorders>
            <w:shd w:val="clear" w:color="000000" w:fill="E7E6E6"/>
            <w:noWrap/>
            <w:vAlign w:val="center"/>
          </w:tcPr>
          <w:p w14:paraId="268F1887" w14:textId="676FF4C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29.7</w:t>
            </w:r>
          </w:p>
        </w:tc>
      </w:tr>
      <w:tr w:rsidR="005A3FC1" w:rsidRPr="00646B6F" w14:paraId="01995F9F"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EBBF420" w14:textId="1EC7A9A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48" w:type="dxa"/>
            <w:tcBorders>
              <w:top w:val="nil"/>
              <w:left w:val="nil"/>
              <w:bottom w:val="single" w:sz="4" w:space="0" w:color="auto"/>
              <w:right w:val="single" w:sz="4" w:space="0" w:color="auto"/>
            </w:tcBorders>
            <w:shd w:val="clear" w:color="auto" w:fill="auto"/>
            <w:noWrap/>
            <w:vAlign w:val="center"/>
          </w:tcPr>
          <w:p w14:paraId="7B91366E" w14:textId="6A25C02B"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Coímbra</w:t>
            </w:r>
          </w:p>
        </w:tc>
        <w:tc>
          <w:tcPr>
            <w:tcW w:w="839" w:type="dxa"/>
            <w:tcBorders>
              <w:top w:val="nil"/>
              <w:left w:val="nil"/>
              <w:bottom w:val="single" w:sz="4" w:space="0" w:color="auto"/>
              <w:right w:val="single" w:sz="4" w:space="0" w:color="auto"/>
            </w:tcBorders>
            <w:shd w:val="clear" w:color="auto" w:fill="auto"/>
            <w:vAlign w:val="center"/>
          </w:tcPr>
          <w:p w14:paraId="0CE20CC1" w14:textId="45A374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50" w:type="dxa"/>
            <w:tcBorders>
              <w:top w:val="nil"/>
              <w:left w:val="nil"/>
              <w:bottom w:val="single" w:sz="4" w:space="0" w:color="auto"/>
              <w:right w:val="single" w:sz="4" w:space="0" w:color="auto"/>
            </w:tcBorders>
            <w:shd w:val="clear" w:color="auto" w:fill="auto"/>
            <w:noWrap/>
            <w:vAlign w:val="center"/>
          </w:tcPr>
          <w:p w14:paraId="57100614" w14:textId="261136C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35.3–37.8</w:t>
            </w:r>
          </w:p>
        </w:tc>
        <w:tc>
          <w:tcPr>
            <w:tcW w:w="846" w:type="dxa"/>
            <w:tcBorders>
              <w:top w:val="nil"/>
              <w:left w:val="nil"/>
              <w:bottom w:val="single" w:sz="4" w:space="0" w:color="auto"/>
              <w:right w:val="single" w:sz="4" w:space="0" w:color="auto"/>
            </w:tcBorders>
            <w:shd w:val="clear" w:color="auto" w:fill="auto"/>
            <w:noWrap/>
            <w:vAlign w:val="center"/>
          </w:tcPr>
          <w:p w14:paraId="1CC60F6D" w14:textId="06AE390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36.6</w:t>
            </w:r>
          </w:p>
        </w:tc>
        <w:tc>
          <w:tcPr>
            <w:tcW w:w="1132" w:type="dxa"/>
            <w:tcBorders>
              <w:top w:val="nil"/>
              <w:left w:val="nil"/>
              <w:bottom w:val="single" w:sz="4" w:space="0" w:color="auto"/>
              <w:right w:val="single" w:sz="4" w:space="0" w:color="auto"/>
            </w:tcBorders>
            <w:shd w:val="clear" w:color="auto" w:fill="auto"/>
            <w:noWrap/>
            <w:vAlign w:val="center"/>
          </w:tcPr>
          <w:p w14:paraId="754A7A1F" w14:textId="50F5B90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23.4</w:t>
            </w:r>
          </w:p>
        </w:tc>
        <w:tc>
          <w:tcPr>
            <w:tcW w:w="855" w:type="dxa"/>
            <w:tcBorders>
              <w:top w:val="nil"/>
              <w:left w:val="nil"/>
              <w:bottom w:val="single" w:sz="4" w:space="0" w:color="auto"/>
              <w:right w:val="single" w:sz="4" w:space="0" w:color="auto"/>
            </w:tcBorders>
            <w:shd w:val="clear" w:color="auto" w:fill="auto"/>
            <w:vAlign w:val="center"/>
          </w:tcPr>
          <w:p w14:paraId="453BF9F0" w14:textId="30CCE7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w:t>
            </w:r>
          </w:p>
        </w:tc>
        <w:tc>
          <w:tcPr>
            <w:tcW w:w="1303" w:type="dxa"/>
            <w:tcBorders>
              <w:top w:val="nil"/>
              <w:left w:val="nil"/>
              <w:bottom w:val="single" w:sz="4" w:space="0" w:color="auto"/>
              <w:right w:val="single" w:sz="4" w:space="0" w:color="auto"/>
            </w:tcBorders>
            <w:shd w:val="clear" w:color="auto" w:fill="auto"/>
            <w:noWrap/>
            <w:vAlign w:val="center"/>
          </w:tcPr>
          <w:p w14:paraId="28F03DA3" w14:textId="5A5357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46.3</w:t>
            </w:r>
          </w:p>
        </w:tc>
        <w:tc>
          <w:tcPr>
            <w:tcW w:w="1183" w:type="dxa"/>
            <w:tcBorders>
              <w:top w:val="nil"/>
              <w:left w:val="nil"/>
              <w:bottom w:val="single" w:sz="4" w:space="0" w:color="auto"/>
              <w:right w:val="single" w:sz="4" w:space="0" w:color="auto"/>
            </w:tcBorders>
            <w:shd w:val="clear" w:color="auto" w:fill="auto"/>
            <w:noWrap/>
            <w:vAlign w:val="center"/>
          </w:tcPr>
          <w:p w14:paraId="23795AB4" w14:textId="7D9E4CD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63.6</w:t>
            </w:r>
          </w:p>
        </w:tc>
      </w:tr>
      <w:tr w:rsidR="005A3FC1" w:rsidRPr="00646B6F" w14:paraId="7FFE0360"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73F5FB06" w14:textId="7A82ABD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000000" w:fill="E7E6E6"/>
            <w:noWrap/>
            <w:vAlign w:val="center"/>
          </w:tcPr>
          <w:p w14:paraId="3EAC1216" w14:textId="0BAE157A"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Instituto Tecnológico y de Estudios Superiores de Monterrey</w:t>
            </w:r>
          </w:p>
        </w:tc>
        <w:tc>
          <w:tcPr>
            <w:tcW w:w="839" w:type="dxa"/>
            <w:tcBorders>
              <w:top w:val="nil"/>
              <w:left w:val="nil"/>
              <w:bottom w:val="single" w:sz="4" w:space="0" w:color="auto"/>
              <w:right w:val="single" w:sz="4" w:space="0" w:color="auto"/>
            </w:tcBorders>
            <w:shd w:val="clear" w:color="000000" w:fill="E7E6E6"/>
            <w:vAlign w:val="center"/>
          </w:tcPr>
          <w:p w14:paraId="6A3EB393" w14:textId="6A2ECEA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México</w:t>
            </w:r>
          </w:p>
        </w:tc>
        <w:tc>
          <w:tcPr>
            <w:tcW w:w="1050" w:type="dxa"/>
            <w:tcBorders>
              <w:top w:val="nil"/>
              <w:left w:val="nil"/>
              <w:bottom w:val="single" w:sz="4" w:space="0" w:color="auto"/>
              <w:right w:val="single" w:sz="4" w:space="0" w:color="auto"/>
            </w:tcBorders>
            <w:shd w:val="clear" w:color="000000" w:fill="E7E6E6"/>
            <w:noWrap/>
            <w:vAlign w:val="center"/>
          </w:tcPr>
          <w:p w14:paraId="027C0997" w14:textId="46AF1A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31.3–35.1</w:t>
            </w:r>
          </w:p>
        </w:tc>
        <w:tc>
          <w:tcPr>
            <w:tcW w:w="846" w:type="dxa"/>
            <w:tcBorders>
              <w:top w:val="nil"/>
              <w:left w:val="nil"/>
              <w:bottom w:val="single" w:sz="4" w:space="0" w:color="auto"/>
              <w:right w:val="single" w:sz="4" w:space="0" w:color="auto"/>
            </w:tcBorders>
            <w:shd w:val="clear" w:color="000000" w:fill="E7E6E6"/>
            <w:noWrap/>
            <w:vAlign w:val="center"/>
          </w:tcPr>
          <w:p w14:paraId="6B888AA5" w14:textId="13A37D0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18.9</w:t>
            </w:r>
          </w:p>
        </w:tc>
        <w:tc>
          <w:tcPr>
            <w:tcW w:w="1132" w:type="dxa"/>
            <w:tcBorders>
              <w:top w:val="nil"/>
              <w:left w:val="nil"/>
              <w:bottom w:val="single" w:sz="4" w:space="0" w:color="auto"/>
              <w:right w:val="single" w:sz="4" w:space="0" w:color="auto"/>
            </w:tcBorders>
            <w:shd w:val="clear" w:color="000000" w:fill="E7E6E6"/>
            <w:noWrap/>
            <w:vAlign w:val="center"/>
          </w:tcPr>
          <w:p w14:paraId="703BBCE6" w14:textId="49E1FDE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14.1</w:t>
            </w:r>
          </w:p>
        </w:tc>
        <w:tc>
          <w:tcPr>
            <w:tcW w:w="855" w:type="dxa"/>
            <w:tcBorders>
              <w:top w:val="nil"/>
              <w:left w:val="nil"/>
              <w:bottom w:val="single" w:sz="4" w:space="0" w:color="auto"/>
              <w:right w:val="single" w:sz="4" w:space="0" w:color="auto"/>
            </w:tcBorders>
            <w:shd w:val="clear" w:color="000000" w:fill="E7E6E6"/>
            <w:vAlign w:val="center"/>
          </w:tcPr>
          <w:p w14:paraId="3ECAB61F" w14:textId="2DADEF0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61.3</w:t>
            </w:r>
          </w:p>
        </w:tc>
        <w:tc>
          <w:tcPr>
            <w:tcW w:w="1303" w:type="dxa"/>
            <w:tcBorders>
              <w:top w:val="nil"/>
              <w:left w:val="nil"/>
              <w:bottom w:val="single" w:sz="4" w:space="0" w:color="auto"/>
              <w:right w:val="single" w:sz="4" w:space="0" w:color="auto"/>
            </w:tcBorders>
            <w:shd w:val="clear" w:color="000000" w:fill="E7E6E6"/>
            <w:noWrap/>
            <w:vAlign w:val="center"/>
          </w:tcPr>
          <w:p w14:paraId="01B992C4" w14:textId="2284753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69.1</w:t>
            </w:r>
          </w:p>
        </w:tc>
        <w:tc>
          <w:tcPr>
            <w:tcW w:w="1183" w:type="dxa"/>
            <w:tcBorders>
              <w:top w:val="nil"/>
              <w:left w:val="nil"/>
              <w:bottom w:val="single" w:sz="4" w:space="0" w:color="auto"/>
              <w:right w:val="single" w:sz="4" w:space="0" w:color="auto"/>
            </w:tcBorders>
            <w:shd w:val="clear" w:color="000000" w:fill="E7E6E6"/>
            <w:noWrap/>
            <w:vAlign w:val="center"/>
          </w:tcPr>
          <w:p w14:paraId="474011F7" w14:textId="35DF14E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77.9</w:t>
            </w:r>
          </w:p>
        </w:tc>
      </w:tr>
      <w:tr w:rsidR="002708D4" w:rsidRPr="00F46F74" w14:paraId="0D8C4229" w14:textId="77777777" w:rsidTr="00F27222">
        <w:trPr>
          <w:trHeight w:val="289"/>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D47821" w14:textId="5D9BB94E"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301–400</w:t>
            </w:r>
          </w:p>
        </w:tc>
        <w:tc>
          <w:tcPr>
            <w:tcW w:w="3448" w:type="dxa"/>
            <w:tcBorders>
              <w:top w:val="nil"/>
              <w:left w:val="nil"/>
              <w:bottom w:val="single" w:sz="4" w:space="0" w:color="auto"/>
              <w:right w:val="single" w:sz="4" w:space="0" w:color="auto"/>
            </w:tcBorders>
            <w:shd w:val="clear" w:color="auto" w:fill="auto"/>
            <w:noWrap/>
            <w:vAlign w:val="center"/>
          </w:tcPr>
          <w:p w14:paraId="48116660" w14:textId="3A20BB34" w:rsidR="002708D4" w:rsidRPr="00F27222" w:rsidRDefault="002708D4"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39" w:type="dxa"/>
            <w:tcBorders>
              <w:top w:val="nil"/>
              <w:left w:val="nil"/>
              <w:bottom w:val="single" w:sz="4" w:space="0" w:color="auto"/>
              <w:right w:val="single" w:sz="4" w:space="0" w:color="auto"/>
            </w:tcBorders>
            <w:shd w:val="clear" w:color="auto" w:fill="auto"/>
            <w:vAlign w:val="center"/>
          </w:tcPr>
          <w:p w14:paraId="5E91494A" w14:textId="14BA99E0"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50" w:type="dxa"/>
            <w:tcBorders>
              <w:top w:val="nil"/>
              <w:left w:val="nil"/>
              <w:bottom w:val="single" w:sz="4" w:space="0" w:color="auto"/>
              <w:right w:val="single" w:sz="4" w:space="0" w:color="auto"/>
            </w:tcBorders>
            <w:shd w:val="clear" w:color="auto" w:fill="auto"/>
            <w:noWrap/>
            <w:vAlign w:val="center"/>
          </w:tcPr>
          <w:p w14:paraId="06B5829D" w14:textId="55ADF400"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31.3–35.1</w:t>
            </w:r>
          </w:p>
        </w:tc>
        <w:tc>
          <w:tcPr>
            <w:tcW w:w="846" w:type="dxa"/>
            <w:tcBorders>
              <w:top w:val="nil"/>
              <w:left w:val="nil"/>
              <w:bottom w:val="single" w:sz="4" w:space="0" w:color="auto"/>
              <w:right w:val="single" w:sz="4" w:space="0" w:color="auto"/>
            </w:tcBorders>
            <w:shd w:val="clear" w:color="auto" w:fill="auto"/>
            <w:noWrap/>
            <w:vAlign w:val="center"/>
          </w:tcPr>
          <w:p w14:paraId="7C6075A2" w14:textId="0D7684BC"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38.1</w:t>
            </w:r>
          </w:p>
        </w:tc>
        <w:tc>
          <w:tcPr>
            <w:tcW w:w="1132" w:type="dxa"/>
            <w:tcBorders>
              <w:top w:val="nil"/>
              <w:left w:val="nil"/>
              <w:bottom w:val="single" w:sz="4" w:space="0" w:color="auto"/>
              <w:right w:val="single" w:sz="4" w:space="0" w:color="auto"/>
            </w:tcBorders>
            <w:shd w:val="clear" w:color="auto" w:fill="auto"/>
            <w:noWrap/>
            <w:vAlign w:val="center"/>
          </w:tcPr>
          <w:p w14:paraId="1B8DB553" w14:textId="16CEE6E2"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32.8</w:t>
            </w:r>
          </w:p>
        </w:tc>
        <w:tc>
          <w:tcPr>
            <w:tcW w:w="855" w:type="dxa"/>
            <w:tcBorders>
              <w:top w:val="nil"/>
              <w:left w:val="nil"/>
              <w:bottom w:val="single" w:sz="4" w:space="0" w:color="auto"/>
              <w:right w:val="single" w:sz="4" w:space="0" w:color="auto"/>
            </w:tcBorders>
            <w:shd w:val="clear" w:color="auto" w:fill="auto"/>
            <w:vAlign w:val="center"/>
          </w:tcPr>
          <w:p w14:paraId="2671F32B" w14:textId="1A7C23A0"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20.4</w:t>
            </w:r>
          </w:p>
        </w:tc>
        <w:tc>
          <w:tcPr>
            <w:tcW w:w="1303" w:type="dxa"/>
            <w:tcBorders>
              <w:top w:val="nil"/>
              <w:left w:val="nil"/>
              <w:bottom w:val="single" w:sz="4" w:space="0" w:color="auto"/>
              <w:right w:val="single" w:sz="4" w:space="0" w:color="auto"/>
            </w:tcBorders>
            <w:shd w:val="clear" w:color="auto" w:fill="auto"/>
            <w:noWrap/>
            <w:vAlign w:val="center"/>
          </w:tcPr>
          <w:p w14:paraId="7C8A6D11" w14:textId="276F7B75"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87.4</w:t>
            </w:r>
          </w:p>
        </w:tc>
        <w:tc>
          <w:tcPr>
            <w:tcW w:w="1183" w:type="dxa"/>
            <w:tcBorders>
              <w:top w:val="nil"/>
              <w:left w:val="nil"/>
              <w:bottom w:val="single" w:sz="4" w:space="0" w:color="auto"/>
              <w:right w:val="single" w:sz="4" w:space="0" w:color="auto"/>
            </w:tcBorders>
            <w:shd w:val="clear" w:color="auto" w:fill="auto"/>
            <w:noWrap/>
            <w:vAlign w:val="center"/>
          </w:tcPr>
          <w:p w14:paraId="65872B12" w14:textId="7ADFF22B"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49.9</w:t>
            </w:r>
          </w:p>
        </w:tc>
      </w:tr>
    </w:tbl>
    <w:p w14:paraId="7B2087AF" w14:textId="77777777" w:rsidR="001B5079" w:rsidRPr="00646B6F" w:rsidRDefault="001B5079" w:rsidP="0078703F">
      <w:pPr>
        <w:spacing w:line="240" w:lineRule="auto"/>
      </w:pPr>
    </w:p>
    <w:tbl>
      <w:tblPr>
        <w:tblW w:w="11434" w:type="dxa"/>
        <w:jc w:val="center"/>
        <w:tblCellMar>
          <w:left w:w="70" w:type="dxa"/>
          <w:right w:w="70" w:type="dxa"/>
        </w:tblCellMar>
        <w:tblLook w:val="04A0" w:firstRow="1" w:lastRow="0" w:firstColumn="1" w:lastColumn="0" w:noHBand="0" w:noVBand="1"/>
      </w:tblPr>
      <w:tblGrid>
        <w:gridCol w:w="802"/>
        <w:gridCol w:w="3451"/>
        <w:gridCol w:w="897"/>
        <w:gridCol w:w="1046"/>
        <w:gridCol w:w="842"/>
        <w:gridCol w:w="1128"/>
        <w:gridCol w:w="789"/>
        <w:gridCol w:w="1297"/>
        <w:gridCol w:w="1182"/>
      </w:tblGrid>
      <w:tr w:rsidR="00810B7C" w:rsidRPr="00646B6F" w14:paraId="3BBDB8D5" w14:textId="77777777" w:rsidTr="00F27222">
        <w:trPr>
          <w:trHeight w:val="268"/>
          <w:jc w:val="center"/>
        </w:trPr>
        <w:tc>
          <w:tcPr>
            <w:tcW w:w="11434" w:type="dxa"/>
            <w:gridSpan w:val="9"/>
            <w:tcBorders>
              <w:top w:val="nil"/>
              <w:left w:val="nil"/>
              <w:bottom w:val="single" w:sz="4" w:space="0" w:color="auto"/>
              <w:right w:val="nil"/>
            </w:tcBorders>
            <w:shd w:val="clear" w:color="auto" w:fill="auto"/>
            <w:vAlign w:val="center"/>
            <w:hideMark/>
          </w:tcPr>
          <w:p w14:paraId="3671830F" w14:textId="0EFB9472"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 xml:space="preserve">Tabla </w:t>
            </w:r>
            <w:r w:rsidR="0024082E" w:rsidRPr="00646B6F">
              <w:rPr>
                <w:rFonts w:ascii="Calibri" w:eastAsia="Times New Roman" w:hAnsi="Calibri" w:cs="Calibri"/>
                <w:b/>
                <w:bCs/>
                <w:color w:val="000000"/>
                <w:sz w:val="20"/>
                <w:szCs w:val="20"/>
                <w:lang w:eastAsia="es-MX"/>
              </w:rPr>
              <w:t>6</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Pr="00646B6F">
              <w:rPr>
                <w:rFonts w:ascii="Calibri" w:eastAsia="Times New Roman" w:hAnsi="Calibri" w:cs="Calibri"/>
                <w:b/>
                <w:bCs/>
                <w:color w:val="000000"/>
                <w:sz w:val="20"/>
                <w:szCs w:val="20"/>
                <w:lang w:eastAsia="es-MX"/>
              </w:rPr>
              <w:t>Psicología, 202</w:t>
            </w:r>
            <w:r w:rsidR="001B5079"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5029E8E2" w14:textId="77777777" w:rsidTr="00F27222">
        <w:trPr>
          <w:trHeight w:val="429"/>
          <w:jc w:val="center"/>
        </w:trPr>
        <w:tc>
          <w:tcPr>
            <w:tcW w:w="802" w:type="dxa"/>
            <w:tcBorders>
              <w:top w:val="nil"/>
              <w:left w:val="single" w:sz="4" w:space="0" w:color="auto"/>
              <w:bottom w:val="single" w:sz="4" w:space="0" w:color="auto"/>
              <w:right w:val="single" w:sz="4" w:space="0" w:color="auto"/>
            </w:tcBorders>
            <w:shd w:val="clear" w:color="000000" w:fill="BDD6EE"/>
            <w:vAlign w:val="center"/>
            <w:hideMark/>
          </w:tcPr>
          <w:p w14:paraId="786889CF"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1" w:type="dxa"/>
            <w:tcBorders>
              <w:top w:val="nil"/>
              <w:left w:val="nil"/>
              <w:bottom w:val="single" w:sz="4" w:space="0" w:color="auto"/>
              <w:right w:val="single" w:sz="4" w:space="0" w:color="auto"/>
            </w:tcBorders>
            <w:shd w:val="clear" w:color="000000" w:fill="BDD6EE"/>
            <w:vAlign w:val="center"/>
            <w:hideMark/>
          </w:tcPr>
          <w:p w14:paraId="5D7BC082"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97" w:type="dxa"/>
            <w:tcBorders>
              <w:top w:val="nil"/>
              <w:left w:val="nil"/>
              <w:bottom w:val="single" w:sz="4" w:space="0" w:color="auto"/>
              <w:right w:val="single" w:sz="4" w:space="0" w:color="auto"/>
            </w:tcBorders>
            <w:shd w:val="clear" w:color="000000" w:fill="BDD6EE"/>
            <w:vAlign w:val="center"/>
            <w:hideMark/>
          </w:tcPr>
          <w:p w14:paraId="6F95343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6" w:type="dxa"/>
            <w:tcBorders>
              <w:top w:val="nil"/>
              <w:left w:val="nil"/>
              <w:bottom w:val="single" w:sz="4" w:space="0" w:color="auto"/>
              <w:right w:val="single" w:sz="4" w:space="0" w:color="auto"/>
            </w:tcBorders>
            <w:shd w:val="clear" w:color="000000" w:fill="BDD6EE"/>
            <w:vAlign w:val="center"/>
            <w:hideMark/>
          </w:tcPr>
          <w:p w14:paraId="4A01C90C"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2" w:type="dxa"/>
            <w:tcBorders>
              <w:top w:val="nil"/>
              <w:left w:val="nil"/>
              <w:bottom w:val="single" w:sz="4" w:space="0" w:color="auto"/>
              <w:right w:val="single" w:sz="4" w:space="0" w:color="auto"/>
            </w:tcBorders>
            <w:shd w:val="clear" w:color="000000" w:fill="BDD6EE"/>
            <w:vAlign w:val="center"/>
            <w:hideMark/>
          </w:tcPr>
          <w:p w14:paraId="418AB6E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8" w:type="dxa"/>
            <w:tcBorders>
              <w:top w:val="nil"/>
              <w:left w:val="nil"/>
              <w:bottom w:val="single" w:sz="4" w:space="0" w:color="auto"/>
              <w:right w:val="single" w:sz="4" w:space="0" w:color="auto"/>
            </w:tcBorders>
            <w:shd w:val="clear" w:color="000000" w:fill="BDD6EE"/>
            <w:vAlign w:val="center"/>
            <w:hideMark/>
          </w:tcPr>
          <w:p w14:paraId="01970107"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789" w:type="dxa"/>
            <w:tcBorders>
              <w:top w:val="nil"/>
              <w:left w:val="nil"/>
              <w:bottom w:val="single" w:sz="4" w:space="0" w:color="auto"/>
              <w:right w:val="single" w:sz="4" w:space="0" w:color="auto"/>
            </w:tcBorders>
            <w:shd w:val="clear" w:color="000000" w:fill="BDD6EE"/>
            <w:vAlign w:val="center"/>
            <w:hideMark/>
          </w:tcPr>
          <w:p w14:paraId="190F25DD"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7" w:type="dxa"/>
            <w:tcBorders>
              <w:top w:val="nil"/>
              <w:left w:val="nil"/>
              <w:bottom w:val="single" w:sz="4" w:space="0" w:color="auto"/>
              <w:right w:val="single" w:sz="4" w:space="0" w:color="auto"/>
            </w:tcBorders>
            <w:shd w:val="clear" w:color="000000" w:fill="BDD6EE"/>
            <w:vAlign w:val="center"/>
            <w:hideMark/>
          </w:tcPr>
          <w:p w14:paraId="752C4B3A"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9" w:type="dxa"/>
            <w:tcBorders>
              <w:top w:val="nil"/>
              <w:left w:val="nil"/>
              <w:bottom w:val="single" w:sz="4" w:space="0" w:color="auto"/>
              <w:right w:val="single" w:sz="4" w:space="0" w:color="auto"/>
            </w:tcBorders>
            <w:shd w:val="clear" w:color="000000" w:fill="BDD6EE"/>
            <w:vAlign w:val="center"/>
            <w:hideMark/>
          </w:tcPr>
          <w:p w14:paraId="3F4EE166"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5210BBCA"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72D81657" w14:textId="507EFC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98</w:t>
            </w:r>
          </w:p>
        </w:tc>
        <w:tc>
          <w:tcPr>
            <w:tcW w:w="3451" w:type="dxa"/>
            <w:tcBorders>
              <w:top w:val="nil"/>
              <w:left w:val="nil"/>
              <w:bottom w:val="single" w:sz="4" w:space="0" w:color="auto"/>
              <w:right w:val="single" w:sz="4" w:space="0" w:color="auto"/>
            </w:tcBorders>
            <w:shd w:val="clear" w:color="auto" w:fill="auto"/>
            <w:noWrap/>
            <w:vAlign w:val="center"/>
          </w:tcPr>
          <w:p w14:paraId="66DE0B8D" w14:textId="61AFE86F"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97" w:type="dxa"/>
            <w:tcBorders>
              <w:top w:val="nil"/>
              <w:left w:val="nil"/>
              <w:bottom w:val="single" w:sz="4" w:space="0" w:color="auto"/>
              <w:right w:val="single" w:sz="4" w:space="0" w:color="auto"/>
            </w:tcBorders>
            <w:shd w:val="clear" w:color="auto" w:fill="auto"/>
            <w:vAlign w:val="center"/>
          </w:tcPr>
          <w:p w14:paraId="6F6E1B7A" w14:textId="7F6267B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6E210FCD" w14:textId="267E1ED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51.6</w:t>
            </w:r>
          </w:p>
        </w:tc>
        <w:tc>
          <w:tcPr>
            <w:tcW w:w="842" w:type="dxa"/>
            <w:tcBorders>
              <w:top w:val="nil"/>
              <w:left w:val="nil"/>
              <w:bottom w:val="single" w:sz="4" w:space="0" w:color="auto"/>
              <w:right w:val="single" w:sz="4" w:space="0" w:color="auto"/>
            </w:tcBorders>
            <w:shd w:val="clear" w:color="auto" w:fill="auto"/>
            <w:noWrap/>
            <w:vAlign w:val="center"/>
          </w:tcPr>
          <w:p w14:paraId="05682EAD" w14:textId="406FD61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57.1</w:t>
            </w:r>
          </w:p>
        </w:tc>
        <w:tc>
          <w:tcPr>
            <w:tcW w:w="1128" w:type="dxa"/>
            <w:tcBorders>
              <w:top w:val="nil"/>
              <w:left w:val="nil"/>
              <w:bottom w:val="single" w:sz="4" w:space="0" w:color="auto"/>
              <w:right w:val="single" w:sz="4" w:space="0" w:color="auto"/>
            </w:tcBorders>
            <w:shd w:val="clear" w:color="auto" w:fill="auto"/>
            <w:noWrap/>
            <w:vAlign w:val="center"/>
          </w:tcPr>
          <w:p w14:paraId="08D3586D" w14:textId="53B2809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46.1</w:t>
            </w:r>
          </w:p>
        </w:tc>
        <w:tc>
          <w:tcPr>
            <w:tcW w:w="789" w:type="dxa"/>
            <w:tcBorders>
              <w:top w:val="nil"/>
              <w:left w:val="nil"/>
              <w:bottom w:val="single" w:sz="4" w:space="0" w:color="auto"/>
              <w:right w:val="single" w:sz="4" w:space="0" w:color="auto"/>
            </w:tcBorders>
            <w:shd w:val="clear" w:color="auto" w:fill="auto"/>
            <w:vAlign w:val="center"/>
          </w:tcPr>
          <w:p w14:paraId="2EF3FC34" w14:textId="414505D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48.8</w:t>
            </w:r>
          </w:p>
        </w:tc>
        <w:tc>
          <w:tcPr>
            <w:tcW w:w="1297" w:type="dxa"/>
            <w:tcBorders>
              <w:top w:val="nil"/>
              <w:left w:val="nil"/>
              <w:bottom w:val="single" w:sz="4" w:space="0" w:color="auto"/>
              <w:right w:val="single" w:sz="4" w:space="0" w:color="auto"/>
            </w:tcBorders>
            <w:shd w:val="clear" w:color="auto" w:fill="auto"/>
            <w:noWrap/>
            <w:vAlign w:val="center"/>
          </w:tcPr>
          <w:p w14:paraId="611F2FFB" w14:textId="205EBCE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37.5</w:t>
            </w:r>
          </w:p>
        </w:tc>
        <w:tc>
          <w:tcPr>
            <w:tcW w:w="1179" w:type="dxa"/>
            <w:tcBorders>
              <w:top w:val="nil"/>
              <w:left w:val="nil"/>
              <w:bottom w:val="single" w:sz="4" w:space="0" w:color="auto"/>
              <w:right w:val="single" w:sz="4" w:space="0" w:color="auto"/>
            </w:tcBorders>
            <w:shd w:val="clear" w:color="auto" w:fill="auto"/>
            <w:noWrap/>
            <w:vAlign w:val="center"/>
          </w:tcPr>
          <w:p w14:paraId="048088E7" w14:textId="7B414A5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64</w:t>
            </w:r>
          </w:p>
        </w:tc>
      </w:tr>
      <w:tr w:rsidR="005A3FC1" w:rsidRPr="00646B6F" w14:paraId="498CE120"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67012539" w14:textId="7722E5F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126–150</w:t>
            </w:r>
          </w:p>
        </w:tc>
        <w:tc>
          <w:tcPr>
            <w:tcW w:w="3451" w:type="dxa"/>
            <w:tcBorders>
              <w:top w:val="nil"/>
              <w:left w:val="nil"/>
              <w:bottom w:val="single" w:sz="4" w:space="0" w:color="auto"/>
              <w:right w:val="single" w:sz="4" w:space="0" w:color="auto"/>
            </w:tcBorders>
            <w:shd w:val="clear" w:color="000000" w:fill="E7E6E6"/>
            <w:noWrap/>
            <w:vAlign w:val="center"/>
          </w:tcPr>
          <w:p w14:paraId="31FDEAAD" w14:textId="6A28A8F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97" w:type="dxa"/>
            <w:tcBorders>
              <w:top w:val="nil"/>
              <w:left w:val="nil"/>
              <w:bottom w:val="single" w:sz="4" w:space="0" w:color="auto"/>
              <w:right w:val="single" w:sz="4" w:space="0" w:color="auto"/>
            </w:tcBorders>
            <w:shd w:val="clear" w:color="000000" w:fill="E7E6E6"/>
            <w:vAlign w:val="center"/>
          </w:tcPr>
          <w:p w14:paraId="7520C90F" w14:textId="718FCA0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000000" w:fill="E7E6E6"/>
            <w:noWrap/>
            <w:vAlign w:val="center"/>
          </w:tcPr>
          <w:p w14:paraId="05CE38F7" w14:textId="0F272F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45.9–47.3</w:t>
            </w:r>
          </w:p>
        </w:tc>
        <w:tc>
          <w:tcPr>
            <w:tcW w:w="842" w:type="dxa"/>
            <w:tcBorders>
              <w:top w:val="nil"/>
              <w:left w:val="nil"/>
              <w:bottom w:val="single" w:sz="4" w:space="0" w:color="auto"/>
              <w:right w:val="single" w:sz="4" w:space="0" w:color="auto"/>
            </w:tcBorders>
            <w:shd w:val="clear" w:color="000000" w:fill="E7E6E6"/>
            <w:noWrap/>
            <w:vAlign w:val="center"/>
          </w:tcPr>
          <w:p w14:paraId="536C2097" w14:textId="7FA592D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40.9</w:t>
            </w:r>
          </w:p>
        </w:tc>
        <w:tc>
          <w:tcPr>
            <w:tcW w:w="1128" w:type="dxa"/>
            <w:tcBorders>
              <w:top w:val="nil"/>
              <w:left w:val="nil"/>
              <w:bottom w:val="single" w:sz="4" w:space="0" w:color="auto"/>
              <w:right w:val="single" w:sz="4" w:space="0" w:color="auto"/>
            </w:tcBorders>
            <w:shd w:val="clear" w:color="000000" w:fill="E7E6E6"/>
            <w:noWrap/>
            <w:vAlign w:val="center"/>
          </w:tcPr>
          <w:p w14:paraId="762B17EB" w14:textId="129FF97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38.2</w:t>
            </w:r>
          </w:p>
        </w:tc>
        <w:tc>
          <w:tcPr>
            <w:tcW w:w="789" w:type="dxa"/>
            <w:tcBorders>
              <w:top w:val="nil"/>
              <w:left w:val="nil"/>
              <w:bottom w:val="single" w:sz="4" w:space="0" w:color="auto"/>
              <w:right w:val="single" w:sz="4" w:space="0" w:color="auto"/>
            </w:tcBorders>
            <w:shd w:val="clear" w:color="000000" w:fill="E7E6E6"/>
            <w:vAlign w:val="center"/>
          </w:tcPr>
          <w:p w14:paraId="6E41951E" w14:textId="064AE4F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55.9</w:t>
            </w:r>
          </w:p>
        </w:tc>
        <w:tc>
          <w:tcPr>
            <w:tcW w:w="1297" w:type="dxa"/>
            <w:tcBorders>
              <w:top w:val="nil"/>
              <w:left w:val="nil"/>
              <w:bottom w:val="single" w:sz="4" w:space="0" w:color="auto"/>
              <w:right w:val="single" w:sz="4" w:space="0" w:color="auto"/>
            </w:tcBorders>
            <w:shd w:val="clear" w:color="000000" w:fill="E7E6E6"/>
            <w:noWrap/>
            <w:vAlign w:val="center"/>
          </w:tcPr>
          <w:p w14:paraId="65029EC0" w14:textId="1796AE2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35.1</w:t>
            </w:r>
          </w:p>
        </w:tc>
        <w:tc>
          <w:tcPr>
            <w:tcW w:w="1179" w:type="dxa"/>
            <w:tcBorders>
              <w:top w:val="nil"/>
              <w:left w:val="nil"/>
              <w:bottom w:val="single" w:sz="4" w:space="0" w:color="auto"/>
              <w:right w:val="single" w:sz="4" w:space="0" w:color="auto"/>
            </w:tcBorders>
            <w:shd w:val="clear" w:color="000000" w:fill="E7E6E6"/>
            <w:noWrap/>
            <w:vAlign w:val="center"/>
          </w:tcPr>
          <w:p w14:paraId="30911985" w14:textId="5E0599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49.4</w:t>
            </w:r>
          </w:p>
        </w:tc>
      </w:tr>
      <w:tr w:rsidR="005A3FC1" w:rsidRPr="00646B6F" w14:paraId="42B86592"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3CA57259" w14:textId="26BF52D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1" w:type="dxa"/>
            <w:tcBorders>
              <w:top w:val="nil"/>
              <w:left w:val="nil"/>
              <w:bottom w:val="single" w:sz="4" w:space="0" w:color="auto"/>
              <w:right w:val="single" w:sz="4" w:space="0" w:color="auto"/>
            </w:tcBorders>
            <w:shd w:val="clear" w:color="auto" w:fill="auto"/>
            <w:noWrap/>
            <w:vAlign w:val="center"/>
          </w:tcPr>
          <w:p w14:paraId="3220A57D" w14:textId="201AEA9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97" w:type="dxa"/>
            <w:tcBorders>
              <w:top w:val="nil"/>
              <w:left w:val="nil"/>
              <w:bottom w:val="single" w:sz="4" w:space="0" w:color="auto"/>
              <w:right w:val="single" w:sz="4" w:space="0" w:color="auto"/>
            </w:tcBorders>
            <w:shd w:val="clear" w:color="auto" w:fill="auto"/>
            <w:vAlign w:val="center"/>
          </w:tcPr>
          <w:p w14:paraId="29796821" w14:textId="5A8243A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319C8AE9" w14:textId="42F0DCE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44.0–45.8</w:t>
            </w:r>
          </w:p>
        </w:tc>
        <w:tc>
          <w:tcPr>
            <w:tcW w:w="842" w:type="dxa"/>
            <w:tcBorders>
              <w:top w:val="nil"/>
              <w:left w:val="nil"/>
              <w:bottom w:val="single" w:sz="4" w:space="0" w:color="auto"/>
              <w:right w:val="single" w:sz="4" w:space="0" w:color="auto"/>
            </w:tcBorders>
            <w:shd w:val="clear" w:color="auto" w:fill="auto"/>
            <w:noWrap/>
            <w:vAlign w:val="center"/>
          </w:tcPr>
          <w:p w14:paraId="5D89ED13" w14:textId="6E5AF78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48.5</w:t>
            </w:r>
          </w:p>
        </w:tc>
        <w:tc>
          <w:tcPr>
            <w:tcW w:w="1128" w:type="dxa"/>
            <w:tcBorders>
              <w:top w:val="nil"/>
              <w:left w:val="nil"/>
              <w:bottom w:val="single" w:sz="4" w:space="0" w:color="auto"/>
              <w:right w:val="single" w:sz="4" w:space="0" w:color="auto"/>
            </w:tcBorders>
            <w:shd w:val="clear" w:color="auto" w:fill="auto"/>
            <w:noWrap/>
            <w:vAlign w:val="center"/>
          </w:tcPr>
          <w:p w14:paraId="0F58E957" w14:textId="1AA3BC3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38.8</w:t>
            </w:r>
          </w:p>
        </w:tc>
        <w:tc>
          <w:tcPr>
            <w:tcW w:w="789" w:type="dxa"/>
            <w:tcBorders>
              <w:top w:val="nil"/>
              <w:left w:val="nil"/>
              <w:bottom w:val="single" w:sz="4" w:space="0" w:color="auto"/>
              <w:right w:val="single" w:sz="4" w:space="0" w:color="auto"/>
            </w:tcBorders>
            <w:shd w:val="clear" w:color="auto" w:fill="auto"/>
            <w:vAlign w:val="center"/>
          </w:tcPr>
          <w:p w14:paraId="60FC769C" w14:textId="1E841B8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42.5</w:t>
            </w:r>
          </w:p>
        </w:tc>
        <w:tc>
          <w:tcPr>
            <w:tcW w:w="1297" w:type="dxa"/>
            <w:tcBorders>
              <w:top w:val="nil"/>
              <w:left w:val="nil"/>
              <w:bottom w:val="single" w:sz="4" w:space="0" w:color="auto"/>
              <w:right w:val="single" w:sz="4" w:space="0" w:color="auto"/>
            </w:tcBorders>
            <w:shd w:val="clear" w:color="auto" w:fill="auto"/>
            <w:noWrap/>
            <w:vAlign w:val="center"/>
          </w:tcPr>
          <w:p w14:paraId="505F2DDD" w14:textId="1C8F52D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31.4</w:t>
            </w:r>
          </w:p>
        </w:tc>
        <w:tc>
          <w:tcPr>
            <w:tcW w:w="1179" w:type="dxa"/>
            <w:tcBorders>
              <w:top w:val="nil"/>
              <w:left w:val="nil"/>
              <w:bottom w:val="single" w:sz="4" w:space="0" w:color="auto"/>
              <w:right w:val="single" w:sz="4" w:space="0" w:color="auto"/>
            </w:tcBorders>
            <w:shd w:val="clear" w:color="auto" w:fill="auto"/>
            <w:noWrap/>
            <w:vAlign w:val="center"/>
          </w:tcPr>
          <w:p w14:paraId="6E6F6667" w14:textId="21E631C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54.4</w:t>
            </w:r>
          </w:p>
        </w:tc>
      </w:tr>
      <w:tr w:rsidR="005A3FC1" w:rsidRPr="00646B6F" w14:paraId="0365969D"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371D5819" w14:textId="10E12D7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1" w:type="dxa"/>
            <w:tcBorders>
              <w:top w:val="nil"/>
              <w:left w:val="nil"/>
              <w:bottom w:val="single" w:sz="4" w:space="0" w:color="auto"/>
              <w:right w:val="single" w:sz="4" w:space="0" w:color="auto"/>
            </w:tcBorders>
            <w:shd w:val="clear" w:color="000000" w:fill="E7E6E6"/>
            <w:noWrap/>
            <w:vAlign w:val="center"/>
          </w:tcPr>
          <w:p w14:paraId="7BC98A8C" w14:textId="17C0EEDB"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Instituto Universitario de Lisboa</w:t>
            </w:r>
          </w:p>
        </w:tc>
        <w:tc>
          <w:tcPr>
            <w:tcW w:w="897" w:type="dxa"/>
            <w:tcBorders>
              <w:top w:val="nil"/>
              <w:left w:val="nil"/>
              <w:bottom w:val="single" w:sz="4" w:space="0" w:color="auto"/>
              <w:right w:val="single" w:sz="4" w:space="0" w:color="auto"/>
            </w:tcBorders>
            <w:shd w:val="clear" w:color="000000" w:fill="E7E6E6"/>
            <w:vAlign w:val="center"/>
          </w:tcPr>
          <w:p w14:paraId="7DD52A65" w14:textId="67FE91F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6" w:type="dxa"/>
            <w:tcBorders>
              <w:top w:val="nil"/>
              <w:left w:val="nil"/>
              <w:bottom w:val="single" w:sz="4" w:space="0" w:color="auto"/>
              <w:right w:val="single" w:sz="4" w:space="0" w:color="auto"/>
            </w:tcBorders>
            <w:shd w:val="clear" w:color="000000" w:fill="E7E6E6"/>
            <w:noWrap/>
            <w:vAlign w:val="center"/>
          </w:tcPr>
          <w:p w14:paraId="75C86989" w14:textId="3FCBF9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38.1–41.6</w:t>
            </w:r>
          </w:p>
        </w:tc>
        <w:tc>
          <w:tcPr>
            <w:tcW w:w="842" w:type="dxa"/>
            <w:tcBorders>
              <w:top w:val="nil"/>
              <w:left w:val="nil"/>
              <w:bottom w:val="single" w:sz="4" w:space="0" w:color="auto"/>
              <w:right w:val="single" w:sz="4" w:space="0" w:color="auto"/>
            </w:tcBorders>
            <w:shd w:val="clear" w:color="000000" w:fill="E7E6E6"/>
            <w:noWrap/>
            <w:vAlign w:val="center"/>
          </w:tcPr>
          <w:p w14:paraId="2485AEEC" w14:textId="45F6BA6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63.1</w:t>
            </w:r>
          </w:p>
        </w:tc>
        <w:tc>
          <w:tcPr>
            <w:tcW w:w="1128" w:type="dxa"/>
            <w:tcBorders>
              <w:top w:val="nil"/>
              <w:left w:val="nil"/>
              <w:bottom w:val="single" w:sz="4" w:space="0" w:color="auto"/>
              <w:right w:val="single" w:sz="4" w:space="0" w:color="auto"/>
            </w:tcBorders>
            <w:shd w:val="clear" w:color="000000" w:fill="E7E6E6"/>
            <w:noWrap/>
            <w:vAlign w:val="center"/>
          </w:tcPr>
          <w:p w14:paraId="37945AD8" w14:textId="274B456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60.5</w:t>
            </w:r>
          </w:p>
        </w:tc>
        <w:tc>
          <w:tcPr>
            <w:tcW w:w="789" w:type="dxa"/>
            <w:tcBorders>
              <w:top w:val="nil"/>
              <w:left w:val="nil"/>
              <w:bottom w:val="single" w:sz="4" w:space="0" w:color="auto"/>
              <w:right w:val="single" w:sz="4" w:space="0" w:color="auto"/>
            </w:tcBorders>
            <w:shd w:val="clear" w:color="000000" w:fill="E7E6E6"/>
            <w:vAlign w:val="center"/>
          </w:tcPr>
          <w:p w14:paraId="516DD268" w14:textId="71D20E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10.2</w:t>
            </w:r>
          </w:p>
        </w:tc>
        <w:tc>
          <w:tcPr>
            <w:tcW w:w="1297" w:type="dxa"/>
            <w:tcBorders>
              <w:top w:val="nil"/>
              <w:left w:val="nil"/>
              <w:bottom w:val="single" w:sz="4" w:space="0" w:color="auto"/>
              <w:right w:val="single" w:sz="4" w:space="0" w:color="auto"/>
            </w:tcBorders>
            <w:shd w:val="clear" w:color="000000" w:fill="E7E6E6"/>
            <w:noWrap/>
            <w:vAlign w:val="center"/>
          </w:tcPr>
          <w:p w14:paraId="7D2DB39F" w14:textId="52159DD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17.9</w:t>
            </w:r>
          </w:p>
        </w:tc>
        <w:tc>
          <w:tcPr>
            <w:tcW w:w="1179" w:type="dxa"/>
            <w:tcBorders>
              <w:top w:val="nil"/>
              <w:left w:val="nil"/>
              <w:bottom w:val="single" w:sz="4" w:space="0" w:color="auto"/>
              <w:right w:val="single" w:sz="4" w:space="0" w:color="auto"/>
            </w:tcBorders>
            <w:shd w:val="clear" w:color="000000" w:fill="E7E6E6"/>
            <w:noWrap/>
            <w:vAlign w:val="center"/>
          </w:tcPr>
          <w:p w14:paraId="5D50E4C7" w14:textId="322353B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75.6</w:t>
            </w:r>
          </w:p>
        </w:tc>
      </w:tr>
      <w:tr w:rsidR="005A3FC1" w:rsidRPr="00646B6F" w14:paraId="3268B993"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6B4FC339" w14:textId="27B2FD2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1" w:type="dxa"/>
            <w:tcBorders>
              <w:top w:val="nil"/>
              <w:left w:val="nil"/>
              <w:bottom w:val="single" w:sz="4" w:space="0" w:color="auto"/>
              <w:right w:val="single" w:sz="4" w:space="0" w:color="auto"/>
            </w:tcBorders>
            <w:shd w:val="clear" w:color="auto" w:fill="auto"/>
            <w:noWrap/>
            <w:vAlign w:val="center"/>
          </w:tcPr>
          <w:p w14:paraId="6E0158C4" w14:textId="78347FF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Granada</w:t>
            </w:r>
          </w:p>
        </w:tc>
        <w:tc>
          <w:tcPr>
            <w:tcW w:w="897" w:type="dxa"/>
            <w:tcBorders>
              <w:top w:val="nil"/>
              <w:left w:val="nil"/>
              <w:bottom w:val="single" w:sz="4" w:space="0" w:color="auto"/>
              <w:right w:val="single" w:sz="4" w:space="0" w:color="auto"/>
            </w:tcBorders>
            <w:shd w:val="clear" w:color="auto" w:fill="auto"/>
            <w:vAlign w:val="center"/>
          </w:tcPr>
          <w:p w14:paraId="44B7492B" w14:textId="2D5ABA7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467EDB1A" w14:textId="75CACEB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38.1–41.6</w:t>
            </w:r>
          </w:p>
        </w:tc>
        <w:tc>
          <w:tcPr>
            <w:tcW w:w="842" w:type="dxa"/>
            <w:tcBorders>
              <w:top w:val="nil"/>
              <w:left w:val="nil"/>
              <w:bottom w:val="single" w:sz="4" w:space="0" w:color="auto"/>
              <w:right w:val="single" w:sz="4" w:space="0" w:color="auto"/>
            </w:tcBorders>
            <w:shd w:val="clear" w:color="auto" w:fill="auto"/>
            <w:noWrap/>
            <w:vAlign w:val="center"/>
          </w:tcPr>
          <w:p w14:paraId="0BA83E2E" w14:textId="6A39FD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42.4</w:t>
            </w:r>
          </w:p>
        </w:tc>
        <w:tc>
          <w:tcPr>
            <w:tcW w:w="1128" w:type="dxa"/>
            <w:tcBorders>
              <w:top w:val="nil"/>
              <w:left w:val="nil"/>
              <w:bottom w:val="single" w:sz="4" w:space="0" w:color="auto"/>
              <w:right w:val="single" w:sz="4" w:space="0" w:color="auto"/>
            </w:tcBorders>
            <w:shd w:val="clear" w:color="auto" w:fill="auto"/>
            <w:noWrap/>
            <w:vAlign w:val="center"/>
          </w:tcPr>
          <w:p w14:paraId="506613FF" w14:textId="1D8982A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w:t>
            </w:r>
          </w:p>
        </w:tc>
        <w:tc>
          <w:tcPr>
            <w:tcW w:w="789" w:type="dxa"/>
            <w:tcBorders>
              <w:top w:val="nil"/>
              <w:left w:val="nil"/>
              <w:bottom w:val="single" w:sz="4" w:space="0" w:color="auto"/>
              <w:right w:val="single" w:sz="4" w:space="0" w:color="auto"/>
            </w:tcBorders>
            <w:shd w:val="clear" w:color="auto" w:fill="auto"/>
            <w:vAlign w:val="center"/>
          </w:tcPr>
          <w:p w14:paraId="7719FAB2" w14:textId="2C1903B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42.2</w:t>
            </w:r>
          </w:p>
        </w:tc>
        <w:tc>
          <w:tcPr>
            <w:tcW w:w="1297" w:type="dxa"/>
            <w:tcBorders>
              <w:top w:val="nil"/>
              <w:left w:val="nil"/>
              <w:bottom w:val="single" w:sz="4" w:space="0" w:color="auto"/>
              <w:right w:val="single" w:sz="4" w:space="0" w:color="auto"/>
            </w:tcBorders>
            <w:shd w:val="clear" w:color="auto" w:fill="auto"/>
            <w:noWrap/>
            <w:vAlign w:val="center"/>
          </w:tcPr>
          <w:p w14:paraId="3AB36F6F" w14:textId="3D92F0B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34.6</w:t>
            </w:r>
          </w:p>
        </w:tc>
        <w:tc>
          <w:tcPr>
            <w:tcW w:w="1179" w:type="dxa"/>
            <w:tcBorders>
              <w:top w:val="nil"/>
              <w:left w:val="nil"/>
              <w:bottom w:val="single" w:sz="4" w:space="0" w:color="auto"/>
              <w:right w:val="single" w:sz="4" w:space="0" w:color="auto"/>
            </w:tcBorders>
            <w:shd w:val="clear" w:color="auto" w:fill="auto"/>
            <w:noWrap/>
            <w:vAlign w:val="center"/>
          </w:tcPr>
          <w:p w14:paraId="10C6B70A" w14:textId="4A9AE47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38.6</w:t>
            </w:r>
          </w:p>
        </w:tc>
      </w:tr>
      <w:tr w:rsidR="005A3FC1" w:rsidRPr="00646B6F" w14:paraId="5151FC92"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76A4060E" w14:textId="2C8DD13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1" w:type="dxa"/>
            <w:tcBorders>
              <w:top w:val="nil"/>
              <w:left w:val="nil"/>
              <w:bottom w:val="single" w:sz="4" w:space="0" w:color="auto"/>
              <w:right w:val="single" w:sz="4" w:space="0" w:color="auto"/>
            </w:tcBorders>
            <w:shd w:val="clear" w:color="000000" w:fill="E7E6E6"/>
            <w:noWrap/>
            <w:vAlign w:val="center"/>
          </w:tcPr>
          <w:p w14:paraId="0D893622" w14:textId="43F3C27F"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97" w:type="dxa"/>
            <w:tcBorders>
              <w:top w:val="nil"/>
              <w:left w:val="nil"/>
              <w:bottom w:val="single" w:sz="4" w:space="0" w:color="auto"/>
              <w:right w:val="single" w:sz="4" w:space="0" w:color="auto"/>
            </w:tcBorders>
            <w:shd w:val="clear" w:color="000000" w:fill="E7E6E6"/>
            <w:vAlign w:val="center"/>
          </w:tcPr>
          <w:p w14:paraId="63EE7151" w14:textId="3E070BC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4D7E2EC1" w14:textId="06AB078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38.1–41.6</w:t>
            </w:r>
          </w:p>
        </w:tc>
        <w:tc>
          <w:tcPr>
            <w:tcW w:w="842" w:type="dxa"/>
            <w:tcBorders>
              <w:top w:val="nil"/>
              <w:left w:val="nil"/>
              <w:bottom w:val="single" w:sz="4" w:space="0" w:color="auto"/>
              <w:right w:val="single" w:sz="4" w:space="0" w:color="auto"/>
            </w:tcBorders>
            <w:shd w:val="clear" w:color="000000" w:fill="E7E6E6"/>
            <w:noWrap/>
            <w:vAlign w:val="center"/>
          </w:tcPr>
          <w:p w14:paraId="7CD48564" w14:textId="0CC2FB5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31.1</w:t>
            </w:r>
          </w:p>
        </w:tc>
        <w:tc>
          <w:tcPr>
            <w:tcW w:w="1128" w:type="dxa"/>
            <w:tcBorders>
              <w:top w:val="nil"/>
              <w:left w:val="nil"/>
              <w:bottom w:val="single" w:sz="4" w:space="0" w:color="auto"/>
              <w:right w:val="single" w:sz="4" w:space="0" w:color="auto"/>
            </w:tcBorders>
            <w:shd w:val="clear" w:color="000000" w:fill="E7E6E6"/>
            <w:noWrap/>
            <w:vAlign w:val="center"/>
          </w:tcPr>
          <w:p w14:paraId="000E4106" w14:textId="0B1014E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44.2</w:t>
            </w:r>
          </w:p>
        </w:tc>
        <w:tc>
          <w:tcPr>
            <w:tcW w:w="789" w:type="dxa"/>
            <w:tcBorders>
              <w:top w:val="nil"/>
              <w:left w:val="nil"/>
              <w:bottom w:val="single" w:sz="4" w:space="0" w:color="auto"/>
              <w:right w:val="single" w:sz="4" w:space="0" w:color="auto"/>
            </w:tcBorders>
            <w:shd w:val="clear" w:color="000000" w:fill="E7E6E6"/>
            <w:vAlign w:val="center"/>
          </w:tcPr>
          <w:p w14:paraId="3DE121AD" w14:textId="737DF40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49.7</w:t>
            </w:r>
          </w:p>
        </w:tc>
        <w:tc>
          <w:tcPr>
            <w:tcW w:w="1297" w:type="dxa"/>
            <w:tcBorders>
              <w:top w:val="nil"/>
              <w:left w:val="nil"/>
              <w:bottom w:val="single" w:sz="4" w:space="0" w:color="auto"/>
              <w:right w:val="single" w:sz="4" w:space="0" w:color="auto"/>
            </w:tcBorders>
            <w:shd w:val="clear" w:color="000000" w:fill="E7E6E6"/>
            <w:noWrap/>
            <w:vAlign w:val="center"/>
          </w:tcPr>
          <w:p w14:paraId="00D5C0EB" w14:textId="39E6D12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42.6</w:t>
            </w:r>
          </w:p>
        </w:tc>
        <w:tc>
          <w:tcPr>
            <w:tcW w:w="1179" w:type="dxa"/>
            <w:tcBorders>
              <w:top w:val="nil"/>
              <w:left w:val="nil"/>
              <w:bottom w:val="single" w:sz="4" w:space="0" w:color="auto"/>
              <w:right w:val="single" w:sz="4" w:space="0" w:color="auto"/>
            </w:tcBorders>
            <w:shd w:val="clear" w:color="000000" w:fill="E7E6E6"/>
            <w:noWrap/>
            <w:vAlign w:val="center"/>
          </w:tcPr>
          <w:p w14:paraId="2356BB09" w14:textId="02721C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36.5</w:t>
            </w:r>
          </w:p>
        </w:tc>
      </w:tr>
      <w:tr w:rsidR="005A3FC1" w:rsidRPr="00646B6F" w14:paraId="367F4A2E"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51534A23" w14:textId="5A7C6C4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1" w:type="dxa"/>
            <w:tcBorders>
              <w:top w:val="nil"/>
              <w:left w:val="nil"/>
              <w:bottom w:val="single" w:sz="4" w:space="0" w:color="auto"/>
              <w:right w:val="single" w:sz="4" w:space="0" w:color="auto"/>
            </w:tcBorders>
            <w:shd w:val="clear" w:color="auto" w:fill="auto"/>
            <w:noWrap/>
            <w:vAlign w:val="center"/>
          </w:tcPr>
          <w:p w14:paraId="035001D3" w14:textId="56107AB5"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Complutense de Madrid</w:t>
            </w:r>
          </w:p>
        </w:tc>
        <w:tc>
          <w:tcPr>
            <w:tcW w:w="897" w:type="dxa"/>
            <w:tcBorders>
              <w:top w:val="nil"/>
              <w:left w:val="nil"/>
              <w:bottom w:val="single" w:sz="4" w:space="0" w:color="auto"/>
              <w:right w:val="single" w:sz="4" w:space="0" w:color="auto"/>
            </w:tcBorders>
            <w:shd w:val="clear" w:color="auto" w:fill="auto"/>
            <w:vAlign w:val="center"/>
          </w:tcPr>
          <w:p w14:paraId="2F62BEB7" w14:textId="2AA0D7E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7A3B3BC2" w14:textId="15C5759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35.0–38.0</w:t>
            </w:r>
          </w:p>
        </w:tc>
        <w:tc>
          <w:tcPr>
            <w:tcW w:w="842" w:type="dxa"/>
            <w:tcBorders>
              <w:top w:val="nil"/>
              <w:left w:val="nil"/>
              <w:bottom w:val="single" w:sz="4" w:space="0" w:color="auto"/>
              <w:right w:val="single" w:sz="4" w:space="0" w:color="auto"/>
            </w:tcBorders>
            <w:shd w:val="clear" w:color="auto" w:fill="auto"/>
            <w:noWrap/>
            <w:vAlign w:val="center"/>
          </w:tcPr>
          <w:p w14:paraId="4D708B0B" w14:textId="46B590B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38.6</w:t>
            </w:r>
          </w:p>
        </w:tc>
        <w:tc>
          <w:tcPr>
            <w:tcW w:w="1128" w:type="dxa"/>
            <w:tcBorders>
              <w:top w:val="nil"/>
              <w:left w:val="nil"/>
              <w:bottom w:val="single" w:sz="4" w:space="0" w:color="auto"/>
              <w:right w:val="single" w:sz="4" w:space="0" w:color="auto"/>
            </w:tcBorders>
            <w:shd w:val="clear" w:color="auto" w:fill="auto"/>
            <w:noWrap/>
            <w:vAlign w:val="center"/>
          </w:tcPr>
          <w:p w14:paraId="719311B7" w14:textId="7F8A48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38.8</w:t>
            </w:r>
          </w:p>
        </w:tc>
        <w:tc>
          <w:tcPr>
            <w:tcW w:w="789" w:type="dxa"/>
            <w:tcBorders>
              <w:top w:val="nil"/>
              <w:left w:val="nil"/>
              <w:bottom w:val="single" w:sz="4" w:space="0" w:color="auto"/>
              <w:right w:val="single" w:sz="4" w:space="0" w:color="auto"/>
            </w:tcBorders>
            <w:shd w:val="clear" w:color="auto" w:fill="auto"/>
            <w:vAlign w:val="center"/>
          </w:tcPr>
          <w:p w14:paraId="321B88D3" w14:textId="50ED7D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32.9</w:t>
            </w:r>
          </w:p>
        </w:tc>
        <w:tc>
          <w:tcPr>
            <w:tcW w:w="1297" w:type="dxa"/>
            <w:tcBorders>
              <w:top w:val="nil"/>
              <w:left w:val="nil"/>
              <w:bottom w:val="single" w:sz="4" w:space="0" w:color="auto"/>
              <w:right w:val="single" w:sz="4" w:space="0" w:color="auto"/>
            </w:tcBorders>
            <w:shd w:val="clear" w:color="auto" w:fill="auto"/>
            <w:noWrap/>
            <w:vAlign w:val="center"/>
          </w:tcPr>
          <w:p w14:paraId="655CDD7E" w14:textId="0CA1D21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24.3</w:t>
            </w:r>
          </w:p>
        </w:tc>
        <w:tc>
          <w:tcPr>
            <w:tcW w:w="1179" w:type="dxa"/>
            <w:tcBorders>
              <w:top w:val="nil"/>
              <w:left w:val="nil"/>
              <w:bottom w:val="single" w:sz="4" w:space="0" w:color="auto"/>
              <w:right w:val="single" w:sz="4" w:space="0" w:color="auto"/>
            </w:tcBorders>
            <w:shd w:val="clear" w:color="auto" w:fill="auto"/>
            <w:noWrap/>
            <w:vAlign w:val="center"/>
          </w:tcPr>
          <w:p w14:paraId="36AA189F" w14:textId="5F0327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49.4</w:t>
            </w:r>
          </w:p>
        </w:tc>
      </w:tr>
      <w:tr w:rsidR="005A3FC1" w:rsidRPr="00646B6F" w14:paraId="025BE4C2"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4C4D85F3" w14:textId="1519694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1" w:type="dxa"/>
            <w:tcBorders>
              <w:top w:val="nil"/>
              <w:left w:val="nil"/>
              <w:bottom w:val="single" w:sz="4" w:space="0" w:color="auto"/>
              <w:right w:val="single" w:sz="4" w:space="0" w:color="auto"/>
            </w:tcBorders>
            <w:shd w:val="clear" w:color="000000" w:fill="E7E6E6"/>
            <w:noWrap/>
            <w:vAlign w:val="center"/>
          </w:tcPr>
          <w:p w14:paraId="5518A0CE" w14:textId="2475B6A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Coímbra</w:t>
            </w:r>
          </w:p>
        </w:tc>
        <w:tc>
          <w:tcPr>
            <w:tcW w:w="897" w:type="dxa"/>
            <w:tcBorders>
              <w:top w:val="nil"/>
              <w:left w:val="nil"/>
              <w:bottom w:val="single" w:sz="4" w:space="0" w:color="auto"/>
              <w:right w:val="single" w:sz="4" w:space="0" w:color="auto"/>
            </w:tcBorders>
            <w:shd w:val="clear" w:color="000000" w:fill="E7E6E6"/>
            <w:vAlign w:val="center"/>
          </w:tcPr>
          <w:p w14:paraId="2CDDDD66" w14:textId="46E11B0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6" w:type="dxa"/>
            <w:tcBorders>
              <w:top w:val="nil"/>
              <w:left w:val="nil"/>
              <w:bottom w:val="single" w:sz="4" w:space="0" w:color="auto"/>
              <w:right w:val="single" w:sz="4" w:space="0" w:color="auto"/>
            </w:tcBorders>
            <w:shd w:val="clear" w:color="000000" w:fill="E7E6E6"/>
            <w:noWrap/>
            <w:vAlign w:val="center"/>
          </w:tcPr>
          <w:p w14:paraId="56834E5F" w14:textId="68F3DD5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35.0–38.0</w:t>
            </w:r>
          </w:p>
        </w:tc>
        <w:tc>
          <w:tcPr>
            <w:tcW w:w="842" w:type="dxa"/>
            <w:tcBorders>
              <w:top w:val="nil"/>
              <w:left w:val="nil"/>
              <w:bottom w:val="single" w:sz="4" w:space="0" w:color="auto"/>
              <w:right w:val="single" w:sz="4" w:space="0" w:color="auto"/>
            </w:tcBorders>
            <w:shd w:val="clear" w:color="000000" w:fill="E7E6E6"/>
            <w:noWrap/>
            <w:vAlign w:val="center"/>
          </w:tcPr>
          <w:p w14:paraId="066274D2" w14:textId="30DE9F0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46.8</w:t>
            </w:r>
          </w:p>
        </w:tc>
        <w:tc>
          <w:tcPr>
            <w:tcW w:w="1128" w:type="dxa"/>
            <w:tcBorders>
              <w:top w:val="nil"/>
              <w:left w:val="nil"/>
              <w:bottom w:val="single" w:sz="4" w:space="0" w:color="auto"/>
              <w:right w:val="single" w:sz="4" w:space="0" w:color="auto"/>
            </w:tcBorders>
            <w:shd w:val="clear" w:color="000000" w:fill="E7E6E6"/>
            <w:noWrap/>
            <w:vAlign w:val="center"/>
          </w:tcPr>
          <w:p w14:paraId="0A285BC2" w14:textId="5B48DCF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45.7</w:t>
            </w:r>
          </w:p>
        </w:tc>
        <w:tc>
          <w:tcPr>
            <w:tcW w:w="789" w:type="dxa"/>
            <w:tcBorders>
              <w:top w:val="nil"/>
              <w:left w:val="nil"/>
              <w:bottom w:val="single" w:sz="4" w:space="0" w:color="auto"/>
              <w:right w:val="single" w:sz="4" w:space="0" w:color="auto"/>
            </w:tcBorders>
            <w:shd w:val="clear" w:color="000000" w:fill="E7E6E6"/>
            <w:vAlign w:val="center"/>
          </w:tcPr>
          <w:p w14:paraId="4954CF2F" w14:textId="7964A91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29.1</w:t>
            </w:r>
          </w:p>
        </w:tc>
        <w:tc>
          <w:tcPr>
            <w:tcW w:w="1297" w:type="dxa"/>
            <w:tcBorders>
              <w:top w:val="nil"/>
              <w:left w:val="nil"/>
              <w:bottom w:val="single" w:sz="4" w:space="0" w:color="auto"/>
              <w:right w:val="single" w:sz="4" w:space="0" w:color="auto"/>
            </w:tcBorders>
            <w:shd w:val="clear" w:color="000000" w:fill="E7E6E6"/>
            <w:noWrap/>
            <w:vAlign w:val="center"/>
          </w:tcPr>
          <w:p w14:paraId="559D1045" w14:textId="35B68E1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15.2</w:t>
            </w:r>
          </w:p>
        </w:tc>
        <w:tc>
          <w:tcPr>
            <w:tcW w:w="1179" w:type="dxa"/>
            <w:tcBorders>
              <w:top w:val="nil"/>
              <w:left w:val="nil"/>
              <w:bottom w:val="single" w:sz="4" w:space="0" w:color="auto"/>
              <w:right w:val="single" w:sz="4" w:space="0" w:color="auto"/>
            </w:tcBorders>
            <w:shd w:val="clear" w:color="000000" w:fill="E7E6E6"/>
            <w:noWrap/>
            <w:vAlign w:val="center"/>
          </w:tcPr>
          <w:p w14:paraId="05860AE0" w14:textId="23055CC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52.4</w:t>
            </w:r>
          </w:p>
        </w:tc>
      </w:tr>
      <w:tr w:rsidR="005A3FC1" w:rsidRPr="00646B6F" w14:paraId="2D2C2B7F"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1A638E7E" w14:textId="0716932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1" w:type="dxa"/>
            <w:tcBorders>
              <w:top w:val="nil"/>
              <w:left w:val="nil"/>
              <w:bottom w:val="single" w:sz="4" w:space="0" w:color="auto"/>
              <w:right w:val="single" w:sz="4" w:space="0" w:color="auto"/>
            </w:tcBorders>
            <w:shd w:val="clear" w:color="auto" w:fill="auto"/>
            <w:noWrap/>
            <w:vAlign w:val="center"/>
          </w:tcPr>
          <w:p w14:paraId="785E2B19" w14:textId="789C138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Córdoba</w:t>
            </w:r>
          </w:p>
        </w:tc>
        <w:tc>
          <w:tcPr>
            <w:tcW w:w="897" w:type="dxa"/>
            <w:tcBorders>
              <w:top w:val="nil"/>
              <w:left w:val="nil"/>
              <w:bottom w:val="single" w:sz="4" w:space="0" w:color="auto"/>
              <w:right w:val="single" w:sz="4" w:space="0" w:color="auto"/>
            </w:tcBorders>
            <w:shd w:val="clear" w:color="auto" w:fill="auto"/>
            <w:vAlign w:val="center"/>
          </w:tcPr>
          <w:p w14:paraId="4FA85F2F" w14:textId="62EBBA0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095866B8" w14:textId="1F44FD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35.0–38.0</w:t>
            </w:r>
          </w:p>
        </w:tc>
        <w:tc>
          <w:tcPr>
            <w:tcW w:w="842" w:type="dxa"/>
            <w:tcBorders>
              <w:top w:val="nil"/>
              <w:left w:val="nil"/>
              <w:bottom w:val="single" w:sz="4" w:space="0" w:color="auto"/>
              <w:right w:val="single" w:sz="4" w:space="0" w:color="auto"/>
            </w:tcBorders>
            <w:shd w:val="clear" w:color="auto" w:fill="auto"/>
            <w:noWrap/>
            <w:vAlign w:val="center"/>
          </w:tcPr>
          <w:p w14:paraId="1F694FC0" w14:textId="4F764E0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41.6</w:t>
            </w:r>
          </w:p>
        </w:tc>
        <w:tc>
          <w:tcPr>
            <w:tcW w:w="1128" w:type="dxa"/>
            <w:tcBorders>
              <w:top w:val="nil"/>
              <w:left w:val="nil"/>
              <w:bottom w:val="single" w:sz="4" w:space="0" w:color="auto"/>
              <w:right w:val="single" w:sz="4" w:space="0" w:color="auto"/>
            </w:tcBorders>
            <w:shd w:val="clear" w:color="auto" w:fill="auto"/>
            <w:noWrap/>
            <w:vAlign w:val="center"/>
          </w:tcPr>
          <w:p w14:paraId="2625475A" w14:textId="5D4F1F5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w:t>
            </w:r>
          </w:p>
        </w:tc>
        <w:tc>
          <w:tcPr>
            <w:tcW w:w="789" w:type="dxa"/>
            <w:tcBorders>
              <w:top w:val="nil"/>
              <w:left w:val="nil"/>
              <w:bottom w:val="single" w:sz="4" w:space="0" w:color="auto"/>
              <w:right w:val="single" w:sz="4" w:space="0" w:color="auto"/>
            </w:tcBorders>
            <w:shd w:val="clear" w:color="auto" w:fill="auto"/>
            <w:vAlign w:val="center"/>
          </w:tcPr>
          <w:p w14:paraId="7F2F0FEC" w14:textId="2FB1924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20.2</w:t>
            </w:r>
          </w:p>
        </w:tc>
        <w:tc>
          <w:tcPr>
            <w:tcW w:w="1297" w:type="dxa"/>
            <w:tcBorders>
              <w:top w:val="nil"/>
              <w:left w:val="nil"/>
              <w:bottom w:val="single" w:sz="4" w:space="0" w:color="auto"/>
              <w:right w:val="single" w:sz="4" w:space="0" w:color="auto"/>
            </w:tcBorders>
            <w:shd w:val="clear" w:color="auto" w:fill="auto"/>
            <w:noWrap/>
            <w:vAlign w:val="center"/>
          </w:tcPr>
          <w:p w14:paraId="4B82D4D5" w14:textId="10E5F19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6.5</w:t>
            </w:r>
          </w:p>
        </w:tc>
        <w:tc>
          <w:tcPr>
            <w:tcW w:w="1179" w:type="dxa"/>
            <w:tcBorders>
              <w:top w:val="nil"/>
              <w:left w:val="nil"/>
              <w:bottom w:val="single" w:sz="4" w:space="0" w:color="auto"/>
              <w:right w:val="single" w:sz="4" w:space="0" w:color="auto"/>
            </w:tcBorders>
            <w:shd w:val="clear" w:color="auto" w:fill="auto"/>
            <w:noWrap/>
            <w:vAlign w:val="center"/>
          </w:tcPr>
          <w:p w14:paraId="752BD235" w14:textId="69123C5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68.2</w:t>
            </w:r>
          </w:p>
        </w:tc>
      </w:tr>
      <w:tr w:rsidR="005A3FC1" w:rsidRPr="00646B6F" w14:paraId="014F1ED7"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128D84E0" w14:textId="78B125E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5A2F41C4" w14:textId="1720ED9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Católica de Chile</w:t>
            </w:r>
          </w:p>
        </w:tc>
        <w:tc>
          <w:tcPr>
            <w:tcW w:w="897" w:type="dxa"/>
            <w:tcBorders>
              <w:top w:val="nil"/>
              <w:left w:val="nil"/>
              <w:bottom w:val="single" w:sz="4" w:space="0" w:color="auto"/>
              <w:right w:val="single" w:sz="4" w:space="0" w:color="auto"/>
            </w:tcBorders>
            <w:shd w:val="clear" w:color="000000" w:fill="E7E6E6"/>
            <w:vAlign w:val="center"/>
          </w:tcPr>
          <w:p w14:paraId="61FAE57A" w14:textId="7A214DC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46" w:type="dxa"/>
            <w:tcBorders>
              <w:top w:val="nil"/>
              <w:left w:val="nil"/>
              <w:bottom w:val="single" w:sz="4" w:space="0" w:color="auto"/>
              <w:right w:val="single" w:sz="4" w:space="0" w:color="auto"/>
            </w:tcBorders>
            <w:shd w:val="clear" w:color="000000" w:fill="E7E6E6"/>
            <w:noWrap/>
            <w:vAlign w:val="center"/>
          </w:tcPr>
          <w:p w14:paraId="71425B06" w14:textId="382DA84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29.7–34.9</w:t>
            </w:r>
          </w:p>
        </w:tc>
        <w:tc>
          <w:tcPr>
            <w:tcW w:w="842" w:type="dxa"/>
            <w:tcBorders>
              <w:top w:val="nil"/>
              <w:left w:val="nil"/>
              <w:bottom w:val="single" w:sz="4" w:space="0" w:color="auto"/>
              <w:right w:val="single" w:sz="4" w:space="0" w:color="auto"/>
            </w:tcBorders>
            <w:shd w:val="clear" w:color="000000" w:fill="E7E6E6"/>
            <w:noWrap/>
            <w:vAlign w:val="center"/>
          </w:tcPr>
          <w:p w14:paraId="19AAEFFD" w14:textId="4531824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52.5</w:t>
            </w:r>
          </w:p>
        </w:tc>
        <w:tc>
          <w:tcPr>
            <w:tcW w:w="1128" w:type="dxa"/>
            <w:tcBorders>
              <w:top w:val="nil"/>
              <w:left w:val="nil"/>
              <w:bottom w:val="single" w:sz="4" w:space="0" w:color="auto"/>
              <w:right w:val="single" w:sz="4" w:space="0" w:color="auto"/>
            </w:tcBorders>
            <w:shd w:val="clear" w:color="000000" w:fill="E7E6E6"/>
            <w:noWrap/>
            <w:vAlign w:val="center"/>
          </w:tcPr>
          <w:p w14:paraId="4DC58BA9" w14:textId="520B45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52.3</w:t>
            </w:r>
          </w:p>
        </w:tc>
        <w:tc>
          <w:tcPr>
            <w:tcW w:w="789" w:type="dxa"/>
            <w:tcBorders>
              <w:top w:val="nil"/>
              <w:left w:val="nil"/>
              <w:bottom w:val="single" w:sz="4" w:space="0" w:color="auto"/>
              <w:right w:val="single" w:sz="4" w:space="0" w:color="auto"/>
            </w:tcBorders>
            <w:shd w:val="clear" w:color="000000" w:fill="E7E6E6"/>
            <w:vAlign w:val="center"/>
          </w:tcPr>
          <w:p w14:paraId="2E8BA890" w14:textId="1142F95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33.4</w:t>
            </w:r>
          </w:p>
        </w:tc>
        <w:tc>
          <w:tcPr>
            <w:tcW w:w="1297" w:type="dxa"/>
            <w:tcBorders>
              <w:top w:val="nil"/>
              <w:left w:val="nil"/>
              <w:bottom w:val="single" w:sz="4" w:space="0" w:color="auto"/>
              <w:right w:val="single" w:sz="4" w:space="0" w:color="auto"/>
            </w:tcBorders>
            <w:shd w:val="clear" w:color="000000" w:fill="E7E6E6"/>
            <w:noWrap/>
            <w:vAlign w:val="center"/>
          </w:tcPr>
          <w:p w14:paraId="3ECE71CE" w14:textId="12F22FF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19.9</w:t>
            </w:r>
          </w:p>
        </w:tc>
        <w:tc>
          <w:tcPr>
            <w:tcW w:w="1179" w:type="dxa"/>
            <w:tcBorders>
              <w:top w:val="nil"/>
              <w:left w:val="nil"/>
              <w:bottom w:val="single" w:sz="4" w:space="0" w:color="auto"/>
              <w:right w:val="single" w:sz="4" w:space="0" w:color="auto"/>
            </w:tcBorders>
            <w:shd w:val="clear" w:color="000000" w:fill="E7E6E6"/>
            <w:noWrap/>
            <w:vAlign w:val="center"/>
          </w:tcPr>
          <w:p w14:paraId="10F0CF58" w14:textId="1212AD8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w:t>
            </w:r>
          </w:p>
        </w:tc>
      </w:tr>
      <w:tr w:rsidR="002708D4" w:rsidRPr="00F46F74" w14:paraId="10620295" w14:textId="77777777" w:rsidTr="00F27222">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535ED69A" w14:textId="3C5A4B82"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785BAA22" w14:textId="6F0F8F45" w:rsidR="002708D4" w:rsidRPr="00F27222" w:rsidRDefault="002708D4"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97" w:type="dxa"/>
            <w:tcBorders>
              <w:top w:val="nil"/>
              <w:left w:val="nil"/>
              <w:bottom w:val="single" w:sz="4" w:space="0" w:color="auto"/>
              <w:right w:val="single" w:sz="4" w:space="0" w:color="auto"/>
            </w:tcBorders>
            <w:shd w:val="clear" w:color="auto" w:fill="auto"/>
            <w:vAlign w:val="center"/>
          </w:tcPr>
          <w:p w14:paraId="6F9ADDFF" w14:textId="42F82A20"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6" w:type="dxa"/>
            <w:tcBorders>
              <w:top w:val="nil"/>
              <w:left w:val="nil"/>
              <w:bottom w:val="single" w:sz="4" w:space="0" w:color="auto"/>
              <w:right w:val="single" w:sz="4" w:space="0" w:color="auto"/>
            </w:tcBorders>
            <w:shd w:val="clear" w:color="auto" w:fill="auto"/>
            <w:noWrap/>
            <w:vAlign w:val="center"/>
          </w:tcPr>
          <w:p w14:paraId="23438563" w14:textId="4574E25E"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29.7–34.9</w:t>
            </w:r>
          </w:p>
        </w:tc>
        <w:tc>
          <w:tcPr>
            <w:tcW w:w="842" w:type="dxa"/>
            <w:tcBorders>
              <w:top w:val="nil"/>
              <w:left w:val="nil"/>
              <w:bottom w:val="single" w:sz="4" w:space="0" w:color="auto"/>
              <w:right w:val="single" w:sz="4" w:space="0" w:color="auto"/>
            </w:tcBorders>
            <w:shd w:val="clear" w:color="auto" w:fill="auto"/>
            <w:noWrap/>
            <w:vAlign w:val="center"/>
          </w:tcPr>
          <w:p w14:paraId="7060E348" w14:textId="301D1AB3"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35.8</w:t>
            </w:r>
          </w:p>
        </w:tc>
        <w:tc>
          <w:tcPr>
            <w:tcW w:w="1128" w:type="dxa"/>
            <w:tcBorders>
              <w:top w:val="nil"/>
              <w:left w:val="nil"/>
              <w:bottom w:val="single" w:sz="4" w:space="0" w:color="auto"/>
              <w:right w:val="single" w:sz="4" w:space="0" w:color="auto"/>
            </w:tcBorders>
            <w:shd w:val="clear" w:color="auto" w:fill="auto"/>
            <w:noWrap/>
            <w:vAlign w:val="center"/>
          </w:tcPr>
          <w:p w14:paraId="4FFC2376" w14:textId="679603BE"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49.7</w:t>
            </w:r>
          </w:p>
        </w:tc>
        <w:tc>
          <w:tcPr>
            <w:tcW w:w="789" w:type="dxa"/>
            <w:tcBorders>
              <w:top w:val="nil"/>
              <w:left w:val="nil"/>
              <w:bottom w:val="single" w:sz="4" w:space="0" w:color="auto"/>
              <w:right w:val="single" w:sz="4" w:space="0" w:color="auto"/>
            </w:tcBorders>
            <w:shd w:val="clear" w:color="auto" w:fill="auto"/>
            <w:vAlign w:val="center"/>
          </w:tcPr>
          <w:p w14:paraId="16E94BB3" w14:textId="011A6B24"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47.1</w:t>
            </w:r>
          </w:p>
        </w:tc>
        <w:tc>
          <w:tcPr>
            <w:tcW w:w="1297" w:type="dxa"/>
            <w:tcBorders>
              <w:top w:val="nil"/>
              <w:left w:val="nil"/>
              <w:bottom w:val="single" w:sz="4" w:space="0" w:color="auto"/>
              <w:right w:val="single" w:sz="4" w:space="0" w:color="auto"/>
            </w:tcBorders>
            <w:shd w:val="clear" w:color="auto" w:fill="auto"/>
            <w:noWrap/>
            <w:vAlign w:val="center"/>
          </w:tcPr>
          <w:p w14:paraId="0F09BFBD" w14:textId="6D8CF2C2"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33.5</w:t>
            </w:r>
          </w:p>
        </w:tc>
        <w:tc>
          <w:tcPr>
            <w:tcW w:w="1179" w:type="dxa"/>
            <w:tcBorders>
              <w:top w:val="nil"/>
              <w:left w:val="nil"/>
              <w:bottom w:val="single" w:sz="4" w:space="0" w:color="auto"/>
              <w:right w:val="single" w:sz="4" w:space="0" w:color="auto"/>
            </w:tcBorders>
            <w:shd w:val="clear" w:color="auto" w:fill="auto"/>
            <w:noWrap/>
            <w:vAlign w:val="center"/>
          </w:tcPr>
          <w:p w14:paraId="040D617F" w14:textId="5349DC89"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24</w:t>
            </w:r>
          </w:p>
        </w:tc>
      </w:tr>
    </w:tbl>
    <w:p w14:paraId="2A1665A2" w14:textId="18BA4BBF" w:rsidR="0081233E" w:rsidRPr="00646B6F" w:rsidRDefault="0081233E" w:rsidP="0078703F">
      <w:pPr>
        <w:spacing w:line="240" w:lineRule="auto"/>
      </w:pPr>
    </w:p>
    <w:tbl>
      <w:tblPr>
        <w:tblW w:w="11434" w:type="dxa"/>
        <w:jc w:val="center"/>
        <w:tblCellMar>
          <w:left w:w="70" w:type="dxa"/>
          <w:right w:w="70" w:type="dxa"/>
        </w:tblCellMar>
        <w:tblLook w:val="04A0" w:firstRow="1" w:lastRow="0" w:firstColumn="1" w:lastColumn="0" w:noHBand="0" w:noVBand="1"/>
      </w:tblPr>
      <w:tblGrid>
        <w:gridCol w:w="802"/>
        <w:gridCol w:w="3451"/>
        <w:gridCol w:w="897"/>
        <w:gridCol w:w="1046"/>
        <w:gridCol w:w="842"/>
        <w:gridCol w:w="1128"/>
        <w:gridCol w:w="789"/>
        <w:gridCol w:w="1297"/>
        <w:gridCol w:w="1182"/>
      </w:tblGrid>
      <w:tr w:rsidR="001B5079" w:rsidRPr="00646B6F" w14:paraId="70E1648C" w14:textId="77777777" w:rsidTr="00F27222">
        <w:trPr>
          <w:trHeight w:val="279"/>
          <w:tblHeader/>
          <w:jc w:val="center"/>
        </w:trPr>
        <w:tc>
          <w:tcPr>
            <w:tcW w:w="11434" w:type="dxa"/>
            <w:gridSpan w:val="9"/>
            <w:tcBorders>
              <w:top w:val="nil"/>
              <w:left w:val="nil"/>
              <w:bottom w:val="single" w:sz="4" w:space="0" w:color="auto"/>
              <w:right w:val="nil"/>
            </w:tcBorders>
            <w:shd w:val="clear" w:color="auto" w:fill="auto"/>
            <w:vAlign w:val="center"/>
            <w:hideMark/>
          </w:tcPr>
          <w:p w14:paraId="7880664C" w14:textId="77777777" w:rsidR="001B5079" w:rsidRPr="00646B6F" w:rsidRDefault="001B5079" w:rsidP="002708D4">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7. Posición de las universidades iberoamericanas en el TOP 10 del ranking THE en el área de Ciencias de la Vida, 2021.</w:t>
            </w:r>
          </w:p>
        </w:tc>
      </w:tr>
      <w:tr w:rsidR="001B5079" w:rsidRPr="00646B6F" w14:paraId="31375DD0" w14:textId="77777777" w:rsidTr="00F27222">
        <w:trPr>
          <w:trHeight w:val="446"/>
          <w:tblHeader/>
          <w:jc w:val="center"/>
        </w:trPr>
        <w:tc>
          <w:tcPr>
            <w:tcW w:w="802" w:type="dxa"/>
            <w:tcBorders>
              <w:top w:val="nil"/>
              <w:left w:val="single" w:sz="4" w:space="0" w:color="auto"/>
              <w:bottom w:val="single" w:sz="4" w:space="0" w:color="auto"/>
              <w:right w:val="single" w:sz="4" w:space="0" w:color="auto"/>
            </w:tcBorders>
            <w:shd w:val="clear" w:color="000000" w:fill="BDD6EE"/>
            <w:vAlign w:val="center"/>
            <w:hideMark/>
          </w:tcPr>
          <w:p w14:paraId="11DB4147"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1" w:type="dxa"/>
            <w:tcBorders>
              <w:top w:val="nil"/>
              <w:left w:val="nil"/>
              <w:bottom w:val="single" w:sz="4" w:space="0" w:color="auto"/>
              <w:right w:val="single" w:sz="4" w:space="0" w:color="auto"/>
            </w:tcBorders>
            <w:shd w:val="clear" w:color="000000" w:fill="BDD6EE"/>
            <w:vAlign w:val="center"/>
            <w:hideMark/>
          </w:tcPr>
          <w:p w14:paraId="2364025B"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97" w:type="dxa"/>
            <w:tcBorders>
              <w:top w:val="nil"/>
              <w:left w:val="nil"/>
              <w:bottom w:val="single" w:sz="4" w:space="0" w:color="auto"/>
              <w:right w:val="single" w:sz="4" w:space="0" w:color="auto"/>
            </w:tcBorders>
            <w:shd w:val="clear" w:color="000000" w:fill="BDD6EE"/>
            <w:vAlign w:val="center"/>
            <w:hideMark/>
          </w:tcPr>
          <w:p w14:paraId="4EBB346D"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6" w:type="dxa"/>
            <w:tcBorders>
              <w:top w:val="nil"/>
              <w:left w:val="nil"/>
              <w:bottom w:val="single" w:sz="4" w:space="0" w:color="auto"/>
              <w:right w:val="single" w:sz="4" w:space="0" w:color="auto"/>
            </w:tcBorders>
            <w:shd w:val="clear" w:color="000000" w:fill="BDD6EE"/>
            <w:vAlign w:val="center"/>
            <w:hideMark/>
          </w:tcPr>
          <w:p w14:paraId="7ED70B7E"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2" w:type="dxa"/>
            <w:tcBorders>
              <w:top w:val="nil"/>
              <w:left w:val="nil"/>
              <w:bottom w:val="single" w:sz="4" w:space="0" w:color="auto"/>
              <w:right w:val="single" w:sz="4" w:space="0" w:color="auto"/>
            </w:tcBorders>
            <w:shd w:val="clear" w:color="000000" w:fill="BDD6EE"/>
            <w:vAlign w:val="center"/>
            <w:hideMark/>
          </w:tcPr>
          <w:p w14:paraId="1AE0CF12"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8" w:type="dxa"/>
            <w:tcBorders>
              <w:top w:val="nil"/>
              <w:left w:val="nil"/>
              <w:bottom w:val="single" w:sz="4" w:space="0" w:color="auto"/>
              <w:right w:val="single" w:sz="4" w:space="0" w:color="auto"/>
            </w:tcBorders>
            <w:shd w:val="clear" w:color="000000" w:fill="BDD6EE"/>
            <w:vAlign w:val="center"/>
            <w:hideMark/>
          </w:tcPr>
          <w:p w14:paraId="3D74A767"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789" w:type="dxa"/>
            <w:tcBorders>
              <w:top w:val="nil"/>
              <w:left w:val="nil"/>
              <w:bottom w:val="single" w:sz="4" w:space="0" w:color="auto"/>
              <w:right w:val="single" w:sz="4" w:space="0" w:color="auto"/>
            </w:tcBorders>
            <w:shd w:val="clear" w:color="000000" w:fill="BDD6EE"/>
            <w:vAlign w:val="center"/>
            <w:hideMark/>
          </w:tcPr>
          <w:p w14:paraId="3F46E74B"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7" w:type="dxa"/>
            <w:tcBorders>
              <w:top w:val="nil"/>
              <w:left w:val="nil"/>
              <w:bottom w:val="single" w:sz="4" w:space="0" w:color="auto"/>
              <w:right w:val="single" w:sz="4" w:space="0" w:color="auto"/>
            </w:tcBorders>
            <w:shd w:val="clear" w:color="000000" w:fill="BDD6EE"/>
            <w:vAlign w:val="center"/>
            <w:hideMark/>
          </w:tcPr>
          <w:p w14:paraId="1E241006"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9" w:type="dxa"/>
            <w:tcBorders>
              <w:top w:val="nil"/>
              <w:left w:val="nil"/>
              <w:bottom w:val="single" w:sz="4" w:space="0" w:color="auto"/>
              <w:right w:val="single" w:sz="4" w:space="0" w:color="auto"/>
            </w:tcBorders>
            <w:shd w:val="clear" w:color="000000" w:fill="BDD6EE"/>
            <w:vAlign w:val="center"/>
            <w:hideMark/>
          </w:tcPr>
          <w:p w14:paraId="68877F9B"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61B16297"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3416BBBF" w14:textId="1A5AFC0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1" w:type="dxa"/>
            <w:tcBorders>
              <w:top w:val="nil"/>
              <w:left w:val="nil"/>
              <w:bottom w:val="single" w:sz="4" w:space="0" w:color="auto"/>
              <w:right w:val="single" w:sz="4" w:space="0" w:color="auto"/>
            </w:tcBorders>
            <w:shd w:val="clear" w:color="auto" w:fill="auto"/>
            <w:noWrap/>
            <w:vAlign w:val="center"/>
          </w:tcPr>
          <w:p w14:paraId="672D574A" w14:textId="02C7E3A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97" w:type="dxa"/>
            <w:tcBorders>
              <w:top w:val="nil"/>
              <w:left w:val="nil"/>
              <w:bottom w:val="single" w:sz="4" w:space="0" w:color="auto"/>
              <w:right w:val="single" w:sz="4" w:space="0" w:color="auto"/>
            </w:tcBorders>
            <w:shd w:val="clear" w:color="auto" w:fill="auto"/>
            <w:vAlign w:val="center"/>
          </w:tcPr>
          <w:p w14:paraId="517AA7F8" w14:textId="5685AD7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698AB91F" w14:textId="5FAAAAB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49.1–51.3</w:t>
            </w:r>
          </w:p>
        </w:tc>
        <w:tc>
          <w:tcPr>
            <w:tcW w:w="842" w:type="dxa"/>
            <w:tcBorders>
              <w:top w:val="nil"/>
              <w:left w:val="nil"/>
              <w:bottom w:val="single" w:sz="4" w:space="0" w:color="auto"/>
              <w:right w:val="single" w:sz="4" w:space="0" w:color="auto"/>
            </w:tcBorders>
            <w:shd w:val="clear" w:color="auto" w:fill="auto"/>
            <w:noWrap/>
            <w:vAlign w:val="center"/>
          </w:tcPr>
          <w:p w14:paraId="09ECC6E9" w14:textId="7CF256D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32.4</w:t>
            </w:r>
          </w:p>
        </w:tc>
        <w:tc>
          <w:tcPr>
            <w:tcW w:w="1128" w:type="dxa"/>
            <w:tcBorders>
              <w:top w:val="nil"/>
              <w:left w:val="nil"/>
              <w:bottom w:val="single" w:sz="4" w:space="0" w:color="auto"/>
              <w:right w:val="single" w:sz="4" w:space="0" w:color="auto"/>
            </w:tcBorders>
            <w:shd w:val="clear" w:color="auto" w:fill="auto"/>
            <w:noWrap/>
            <w:vAlign w:val="center"/>
          </w:tcPr>
          <w:p w14:paraId="5B979AA8" w14:textId="695E2A7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26.7</w:t>
            </w:r>
          </w:p>
        </w:tc>
        <w:tc>
          <w:tcPr>
            <w:tcW w:w="789" w:type="dxa"/>
            <w:tcBorders>
              <w:top w:val="nil"/>
              <w:left w:val="nil"/>
              <w:bottom w:val="single" w:sz="4" w:space="0" w:color="auto"/>
              <w:right w:val="single" w:sz="4" w:space="0" w:color="auto"/>
            </w:tcBorders>
            <w:shd w:val="clear" w:color="auto" w:fill="auto"/>
            <w:vAlign w:val="center"/>
          </w:tcPr>
          <w:p w14:paraId="6214F9D8" w14:textId="490C693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78.4</w:t>
            </w:r>
          </w:p>
        </w:tc>
        <w:tc>
          <w:tcPr>
            <w:tcW w:w="1297" w:type="dxa"/>
            <w:tcBorders>
              <w:top w:val="nil"/>
              <w:left w:val="nil"/>
              <w:bottom w:val="single" w:sz="4" w:space="0" w:color="auto"/>
              <w:right w:val="single" w:sz="4" w:space="0" w:color="auto"/>
            </w:tcBorders>
            <w:shd w:val="clear" w:color="auto" w:fill="auto"/>
            <w:noWrap/>
            <w:vAlign w:val="center"/>
          </w:tcPr>
          <w:p w14:paraId="59C1B300" w14:textId="1F7222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56.1</w:t>
            </w:r>
          </w:p>
        </w:tc>
        <w:tc>
          <w:tcPr>
            <w:tcW w:w="1179" w:type="dxa"/>
            <w:tcBorders>
              <w:top w:val="nil"/>
              <w:left w:val="nil"/>
              <w:bottom w:val="single" w:sz="4" w:space="0" w:color="auto"/>
              <w:right w:val="single" w:sz="4" w:space="0" w:color="auto"/>
            </w:tcBorders>
            <w:shd w:val="clear" w:color="auto" w:fill="auto"/>
            <w:noWrap/>
            <w:vAlign w:val="center"/>
          </w:tcPr>
          <w:p w14:paraId="76FCF78A" w14:textId="38C6CF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59.1</w:t>
            </w:r>
          </w:p>
        </w:tc>
      </w:tr>
      <w:tr w:rsidR="005A3FC1" w:rsidRPr="00646B6F" w14:paraId="470F3FD9"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6D2025A0" w14:textId="318035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1" w:type="dxa"/>
            <w:tcBorders>
              <w:top w:val="nil"/>
              <w:left w:val="nil"/>
              <w:bottom w:val="single" w:sz="4" w:space="0" w:color="auto"/>
              <w:right w:val="single" w:sz="4" w:space="0" w:color="auto"/>
            </w:tcBorders>
            <w:shd w:val="clear" w:color="000000" w:fill="E7E6E6"/>
            <w:noWrap/>
            <w:vAlign w:val="center"/>
          </w:tcPr>
          <w:p w14:paraId="0550651D" w14:textId="5DDD57E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97" w:type="dxa"/>
            <w:tcBorders>
              <w:top w:val="nil"/>
              <w:left w:val="nil"/>
              <w:bottom w:val="single" w:sz="4" w:space="0" w:color="auto"/>
              <w:right w:val="single" w:sz="4" w:space="0" w:color="auto"/>
            </w:tcBorders>
            <w:shd w:val="clear" w:color="000000" w:fill="E7E6E6"/>
            <w:vAlign w:val="center"/>
          </w:tcPr>
          <w:p w14:paraId="7843B1EB" w14:textId="295F1CD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580D80E7" w14:textId="69B63A3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49.1–51.3</w:t>
            </w:r>
          </w:p>
        </w:tc>
        <w:tc>
          <w:tcPr>
            <w:tcW w:w="842" w:type="dxa"/>
            <w:tcBorders>
              <w:top w:val="nil"/>
              <w:left w:val="nil"/>
              <w:bottom w:val="single" w:sz="4" w:space="0" w:color="auto"/>
              <w:right w:val="single" w:sz="4" w:space="0" w:color="auto"/>
            </w:tcBorders>
            <w:shd w:val="clear" w:color="000000" w:fill="E7E6E6"/>
            <w:noWrap/>
            <w:vAlign w:val="center"/>
          </w:tcPr>
          <w:p w14:paraId="1916F390" w14:textId="5233669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59.2</w:t>
            </w:r>
          </w:p>
        </w:tc>
        <w:tc>
          <w:tcPr>
            <w:tcW w:w="1128" w:type="dxa"/>
            <w:tcBorders>
              <w:top w:val="nil"/>
              <w:left w:val="nil"/>
              <w:bottom w:val="single" w:sz="4" w:space="0" w:color="auto"/>
              <w:right w:val="single" w:sz="4" w:space="0" w:color="auto"/>
            </w:tcBorders>
            <w:shd w:val="clear" w:color="000000" w:fill="E7E6E6"/>
            <w:noWrap/>
            <w:vAlign w:val="center"/>
          </w:tcPr>
          <w:p w14:paraId="208AA665" w14:textId="66173CC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59.9</w:t>
            </w:r>
          </w:p>
        </w:tc>
        <w:tc>
          <w:tcPr>
            <w:tcW w:w="789" w:type="dxa"/>
            <w:tcBorders>
              <w:top w:val="nil"/>
              <w:left w:val="nil"/>
              <w:bottom w:val="single" w:sz="4" w:space="0" w:color="auto"/>
              <w:right w:val="single" w:sz="4" w:space="0" w:color="auto"/>
            </w:tcBorders>
            <w:shd w:val="clear" w:color="000000" w:fill="E7E6E6"/>
            <w:vAlign w:val="center"/>
          </w:tcPr>
          <w:p w14:paraId="021E2452" w14:textId="5CCDC54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41.7</w:t>
            </w:r>
          </w:p>
        </w:tc>
        <w:tc>
          <w:tcPr>
            <w:tcW w:w="1297" w:type="dxa"/>
            <w:tcBorders>
              <w:top w:val="nil"/>
              <w:left w:val="nil"/>
              <w:bottom w:val="single" w:sz="4" w:space="0" w:color="auto"/>
              <w:right w:val="single" w:sz="4" w:space="0" w:color="auto"/>
            </w:tcBorders>
            <w:shd w:val="clear" w:color="000000" w:fill="E7E6E6"/>
            <w:noWrap/>
            <w:vAlign w:val="center"/>
          </w:tcPr>
          <w:p w14:paraId="59641708" w14:textId="2B9C3AD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33.6</w:t>
            </w:r>
          </w:p>
        </w:tc>
        <w:tc>
          <w:tcPr>
            <w:tcW w:w="1179" w:type="dxa"/>
            <w:tcBorders>
              <w:top w:val="nil"/>
              <w:left w:val="nil"/>
              <w:bottom w:val="single" w:sz="4" w:space="0" w:color="auto"/>
              <w:right w:val="single" w:sz="4" w:space="0" w:color="auto"/>
            </w:tcBorders>
            <w:shd w:val="clear" w:color="000000" w:fill="E7E6E6"/>
            <w:noWrap/>
            <w:vAlign w:val="center"/>
          </w:tcPr>
          <w:p w14:paraId="6FD4856B" w14:textId="70AF3D2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31.8</w:t>
            </w:r>
          </w:p>
        </w:tc>
      </w:tr>
      <w:tr w:rsidR="005A3FC1" w:rsidRPr="00646B6F" w14:paraId="305F61F5"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2F1149EA" w14:textId="75F4464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1" w:type="dxa"/>
            <w:tcBorders>
              <w:top w:val="nil"/>
              <w:left w:val="nil"/>
              <w:bottom w:val="single" w:sz="4" w:space="0" w:color="auto"/>
              <w:right w:val="single" w:sz="4" w:space="0" w:color="auto"/>
            </w:tcBorders>
            <w:shd w:val="clear" w:color="auto" w:fill="auto"/>
            <w:noWrap/>
            <w:vAlign w:val="center"/>
          </w:tcPr>
          <w:p w14:paraId="454D66EE" w14:textId="7E693FF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97" w:type="dxa"/>
            <w:tcBorders>
              <w:top w:val="nil"/>
              <w:left w:val="nil"/>
              <w:bottom w:val="single" w:sz="4" w:space="0" w:color="auto"/>
              <w:right w:val="single" w:sz="4" w:space="0" w:color="auto"/>
            </w:tcBorders>
            <w:shd w:val="clear" w:color="auto" w:fill="auto"/>
            <w:vAlign w:val="center"/>
          </w:tcPr>
          <w:p w14:paraId="457298E5" w14:textId="491940C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58605A43" w14:textId="3F77818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46.4–49.0</w:t>
            </w:r>
          </w:p>
        </w:tc>
        <w:tc>
          <w:tcPr>
            <w:tcW w:w="842" w:type="dxa"/>
            <w:tcBorders>
              <w:top w:val="nil"/>
              <w:left w:val="nil"/>
              <w:bottom w:val="single" w:sz="4" w:space="0" w:color="auto"/>
              <w:right w:val="single" w:sz="4" w:space="0" w:color="auto"/>
            </w:tcBorders>
            <w:shd w:val="clear" w:color="auto" w:fill="auto"/>
            <w:noWrap/>
            <w:vAlign w:val="center"/>
          </w:tcPr>
          <w:p w14:paraId="0373AAB7" w14:textId="16EC9DB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23.5</w:t>
            </w:r>
          </w:p>
        </w:tc>
        <w:tc>
          <w:tcPr>
            <w:tcW w:w="1128" w:type="dxa"/>
            <w:tcBorders>
              <w:top w:val="nil"/>
              <w:left w:val="nil"/>
              <w:bottom w:val="single" w:sz="4" w:space="0" w:color="auto"/>
              <w:right w:val="single" w:sz="4" w:space="0" w:color="auto"/>
            </w:tcBorders>
            <w:shd w:val="clear" w:color="auto" w:fill="auto"/>
            <w:noWrap/>
            <w:vAlign w:val="center"/>
          </w:tcPr>
          <w:p w14:paraId="0768D0F4" w14:textId="708E02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27.4</w:t>
            </w:r>
          </w:p>
        </w:tc>
        <w:tc>
          <w:tcPr>
            <w:tcW w:w="789" w:type="dxa"/>
            <w:tcBorders>
              <w:top w:val="nil"/>
              <w:left w:val="nil"/>
              <w:bottom w:val="single" w:sz="4" w:space="0" w:color="auto"/>
              <w:right w:val="single" w:sz="4" w:space="0" w:color="auto"/>
            </w:tcBorders>
            <w:shd w:val="clear" w:color="auto" w:fill="auto"/>
            <w:vAlign w:val="center"/>
          </w:tcPr>
          <w:p w14:paraId="5B24C308" w14:textId="38B08C2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83.7</w:t>
            </w:r>
          </w:p>
        </w:tc>
        <w:tc>
          <w:tcPr>
            <w:tcW w:w="1297" w:type="dxa"/>
            <w:tcBorders>
              <w:top w:val="nil"/>
              <w:left w:val="nil"/>
              <w:bottom w:val="single" w:sz="4" w:space="0" w:color="auto"/>
              <w:right w:val="single" w:sz="4" w:space="0" w:color="auto"/>
            </w:tcBorders>
            <w:shd w:val="clear" w:color="auto" w:fill="auto"/>
            <w:noWrap/>
            <w:vAlign w:val="center"/>
          </w:tcPr>
          <w:p w14:paraId="2C5AF20F" w14:textId="696D94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51.6</w:t>
            </w:r>
          </w:p>
        </w:tc>
        <w:tc>
          <w:tcPr>
            <w:tcW w:w="1179" w:type="dxa"/>
            <w:tcBorders>
              <w:top w:val="nil"/>
              <w:left w:val="nil"/>
              <w:bottom w:val="single" w:sz="4" w:space="0" w:color="auto"/>
              <w:right w:val="single" w:sz="4" w:space="0" w:color="auto"/>
            </w:tcBorders>
            <w:shd w:val="clear" w:color="auto" w:fill="auto"/>
            <w:noWrap/>
            <w:vAlign w:val="center"/>
          </w:tcPr>
          <w:p w14:paraId="3804EF5C" w14:textId="2F548B6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56.3</w:t>
            </w:r>
          </w:p>
        </w:tc>
      </w:tr>
      <w:tr w:rsidR="005A3FC1" w:rsidRPr="00646B6F" w14:paraId="331B49B5"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563DBD0F" w14:textId="5948859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1" w:type="dxa"/>
            <w:tcBorders>
              <w:top w:val="nil"/>
              <w:left w:val="nil"/>
              <w:bottom w:val="single" w:sz="4" w:space="0" w:color="auto"/>
              <w:right w:val="single" w:sz="4" w:space="0" w:color="auto"/>
            </w:tcBorders>
            <w:shd w:val="clear" w:color="000000" w:fill="E7E6E6"/>
            <w:noWrap/>
            <w:vAlign w:val="center"/>
          </w:tcPr>
          <w:p w14:paraId="198AC61D" w14:textId="2CE3470B"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Campinas</w:t>
            </w:r>
          </w:p>
        </w:tc>
        <w:tc>
          <w:tcPr>
            <w:tcW w:w="897" w:type="dxa"/>
            <w:tcBorders>
              <w:top w:val="nil"/>
              <w:left w:val="nil"/>
              <w:bottom w:val="single" w:sz="4" w:space="0" w:color="auto"/>
              <w:right w:val="single" w:sz="4" w:space="0" w:color="auto"/>
            </w:tcBorders>
            <w:shd w:val="clear" w:color="000000" w:fill="E7E6E6"/>
            <w:vAlign w:val="center"/>
          </w:tcPr>
          <w:p w14:paraId="7BDEFBF5" w14:textId="191A661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3474D366" w14:textId="7D5750C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43.4–46.3</w:t>
            </w:r>
          </w:p>
        </w:tc>
        <w:tc>
          <w:tcPr>
            <w:tcW w:w="842" w:type="dxa"/>
            <w:tcBorders>
              <w:top w:val="nil"/>
              <w:left w:val="nil"/>
              <w:bottom w:val="single" w:sz="4" w:space="0" w:color="auto"/>
              <w:right w:val="single" w:sz="4" w:space="0" w:color="auto"/>
            </w:tcBorders>
            <w:shd w:val="clear" w:color="000000" w:fill="E7E6E6"/>
            <w:noWrap/>
            <w:vAlign w:val="center"/>
          </w:tcPr>
          <w:p w14:paraId="00DED164" w14:textId="4E0016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39.7</w:t>
            </w:r>
          </w:p>
        </w:tc>
        <w:tc>
          <w:tcPr>
            <w:tcW w:w="1128" w:type="dxa"/>
            <w:tcBorders>
              <w:top w:val="nil"/>
              <w:left w:val="nil"/>
              <w:bottom w:val="single" w:sz="4" w:space="0" w:color="auto"/>
              <w:right w:val="single" w:sz="4" w:space="0" w:color="auto"/>
            </w:tcBorders>
            <w:shd w:val="clear" w:color="000000" w:fill="E7E6E6"/>
            <w:noWrap/>
            <w:vAlign w:val="center"/>
          </w:tcPr>
          <w:p w14:paraId="7F139AED" w14:textId="4FA9CE2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42.6</w:t>
            </w:r>
          </w:p>
        </w:tc>
        <w:tc>
          <w:tcPr>
            <w:tcW w:w="789" w:type="dxa"/>
            <w:tcBorders>
              <w:top w:val="nil"/>
              <w:left w:val="nil"/>
              <w:bottom w:val="single" w:sz="4" w:space="0" w:color="auto"/>
              <w:right w:val="single" w:sz="4" w:space="0" w:color="auto"/>
            </w:tcBorders>
            <w:shd w:val="clear" w:color="000000" w:fill="E7E6E6"/>
            <w:vAlign w:val="center"/>
          </w:tcPr>
          <w:p w14:paraId="2E2B7FBE" w14:textId="2C627F6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58.5</w:t>
            </w:r>
          </w:p>
        </w:tc>
        <w:tc>
          <w:tcPr>
            <w:tcW w:w="1297" w:type="dxa"/>
            <w:tcBorders>
              <w:top w:val="nil"/>
              <w:left w:val="nil"/>
              <w:bottom w:val="single" w:sz="4" w:space="0" w:color="auto"/>
              <w:right w:val="single" w:sz="4" w:space="0" w:color="auto"/>
            </w:tcBorders>
            <w:shd w:val="clear" w:color="000000" w:fill="E7E6E6"/>
            <w:noWrap/>
            <w:vAlign w:val="center"/>
          </w:tcPr>
          <w:p w14:paraId="55D074F6" w14:textId="7541203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w:t>
            </w:r>
          </w:p>
        </w:tc>
        <w:tc>
          <w:tcPr>
            <w:tcW w:w="1179" w:type="dxa"/>
            <w:tcBorders>
              <w:top w:val="nil"/>
              <w:left w:val="nil"/>
              <w:bottom w:val="single" w:sz="4" w:space="0" w:color="auto"/>
              <w:right w:val="single" w:sz="4" w:space="0" w:color="auto"/>
            </w:tcBorders>
            <w:shd w:val="clear" w:color="000000" w:fill="E7E6E6"/>
            <w:noWrap/>
            <w:vAlign w:val="center"/>
          </w:tcPr>
          <w:p w14:paraId="3923F282" w14:textId="0A8E1FF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25.5</w:t>
            </w:r>
          </w:p>
        </w:tc>
      </w:tr>
      <w:tr w:rsidR="005A3FC1" w:rsidRPr="00646B6F" w14:paraId="0740AAAF"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38E76E7C" w14:textId="3F7AF9A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21865AB3" w14:textId="258D17E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97" w:type="dxa"/>
            <w:tcBorders>
              <w:top w:val="nil"/>
              <w:left w:val="nil"/>
              <w:bottom w:val="single" w:sz="4" w:space="0" w:color="auto"/>
              <w:right w:val="single" w:sz="4" w:space="0" w:color="auto"/>
            </w:tcBorders>
            <w:shd w:val="clear" w:color="auto" w:fill="auto"/>
            <w:vAlign w:val="center"/>
          </w:tcPr>
          <w:p w14:paraId="3A523BBA" w14:textId="28B675C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auto" w:fill="auto"/>
            <w:noWrap/>
            <w:vAlign w:val="center"/>
          </w:tcPr>
          <w:p w14:paraId="7FCA18F8" w14:textId="493E1AA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auto" w:fill="auto"/>
            <w:noWrap/>
            <w:vAlign w:val="center"/>
          </w:tcPr>
          <w:p w14:paraId="072CF076" w14:textId="77932C4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27.5</w:t>
            </w:r>
          </w:p>
        </w:tc>
        <w:tc>
          <w:tcPr>
            <w:tcW w:w="1128" w:type="dxa"/>
            <w:tcBorders>
              <w:top w:val="nil"/>
              <w:left w:val="nil"/>
              <w:bottom w:val="single" w:sz="4" w:space="0" w:color="auto"/>
              <w:right w:val="single" w:sz="4" w:space="0" w:color="auto"/>
            </w:tcBorders>
            <w:shd w:val="clear" w:color="auto" w:fill="auto"/>
            <w:noWrap/>
            <w:vAlign w:val="center"/>
          </w:tcPr>
          <w:p w14:paraId="621196D6" w14:textId="4083A08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16.7</w:t>
            </w:r>
          </w:p>
        </w:tc>
        <w:tc>
          <w:tcPr>
            <w:tcW w:w="789" w:type="dxa"/>
            <w:tcBorders>
              <w:top w:val="nil"/>
              <w:left w:val="nil"/>
              <w:bottom w:val="single" w:sz="4" w:space="0" w:color="auto"/>
              <w:right w:val="single" w:sz="4" w:space="0" w:color="auto"/>
            </w:tcBorders>
            <w:shd w:val="clear" w:color="auto" w:fill="auto"/>
            <w:vAlign w:val="center"/>
          </w:tcPr>
          <w:p w14:paraId="57D483E1" w14:textId="7DCCAF4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66.3</w:t>
            </w:r>
          </w:p>
        </w:tc>
        <w:tc>
          <w:tcPr>
            <w:tcW w:w="1297" w:type="dxa"/>
            <w:tcBorders>
              <w:top w:val="nil"/>
              <w:left w:val="nil"/>
              <w:bottom w:val="single" w:sz="4" w:space="0" w:color="auto"/>
              <w:right w:val="single" w:sz="4" w:space="0" w:color="auto"/>
            </w:tcBorders>
            <w:shd w:val="clear" w:color="auto" w:fill="auto"/>
            <w:noWrap/>
            <w:vAlign w:val="center"/>
          </w:tcPr>
          <w:p w14:paraId="0ED43D69" w14:textId="167179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w:t>
            </w:r>
          </w:p>
        </w:tc>
        <w:tc>
          <w:tcPr>
            <w:tcW w:w="1179" w:type="dxa"/>
            <w:tcBorders>
              <w:top w:val="nil"/>
              <w:left w:val="nil"/>
              <w:bottom w:val="single" w:sz="4" w:space="0" w:color="auto"/>
              <w:right w:val="single" w:sz="4" w:space="0" w:color="auto"/>
            </w:tcBorders>
            <w:shd w:val="clear" w:color="auto" w:fill="auto"/>
            <w:noWrap/>
            <w:vAlign w:val="center"/>
          </w:tcPr>
          <w:p w14:paraId="7F44A37B" w14:textId="27D68D3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48.9</w:t>
            </w:r>
          </w:p>
        </w:tc>
      </w:tr>
      <w:tr w:rsidR="005A3FC1" w:rsidRPr="00646B6F" w14:paraId="6817DACF"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56E0BEEF" w14:textId="63C7728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0709BBFB" w14:textId="68CCAE39"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Coímbra</w:t>
            </w:r>
          </w:p>
        </w:tc>
        <w:tc>
          <w:tcPr>
            <w:tcW w:w="897" w:type="dxa"/>
            <w:tcBorders>
              <w:top w:val="nil"/>
              <w:left w:val="nil"/>
              <w:bottom w:val="single" w:sz="4" w:space="0" w:color="auto"/>
              <w:right w:val="single" w:sz="4" w:space="0" w:color="auto"/>
            </w:tcBorders>
            <w:shd w:val="clear" w:color="000000" w:fill="E7E6E6"/>
            <w:vAlign w:val="center"/>
          </w:tcPr>
          <w:p w14:paraId="1B7D47E7" w14:textId="58EC1B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6" w:type="dxa"/>
            <w:tcBorders>
              <w:top w:val="nil"/>
              <w:left w:val="nil"/>
              <w:bottom w:val="single" w:sz="4" w:space="0" w:color="auto"/>
              <w:right w:val="single" w:sz="4" w:space="0" w:color="auto"/>
            </w:tcBorders>
            <w:shd w:val="clear" w:color="000000" w:fill="E7E6E6"/>
            <w:noWrap/>
            <w:vAlign w:val="center"/>
          </w:tcPr>
          <w:p w14:paraId="303C39D8" w14:textId="208996A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000000" w:fill="E7E6E6"/>
            <w:noWrap/>
            <w:vAlign w:val="center"/>
          </w:tcPr>
          <w:p w14:paraId="1183CD8B" w14:textId="4393E38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20.9</w:t>
            </w:r>
          </w:p>
        </w:tc>
        <w:tc>
          <w:tcPr>
            <w:tcW w:w="1128" w:type="dxa"/>
            <w:tcBorders>
              <w:top w:val="nil"/>
              <w:left w:val="nil"/>
              <w:bottom w:val="single" w:sz="4" w:space="0" w:color="auto"/>
              <w:right w:val="single" w:sz="4" w:space="0" w:color="auto"/>
            </w:tcBorders>
            <w:shd w:val="clear" w:color="000000" w:fill="E7E6E6"/>
            <w:noWrap/>
            <w:vAlign w:val="center"/>
          </w:tcPr>
          <w:p w14:paraId="0870F835" w14:textId="0CAB164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w:t>
            </w:r>
          </w:p>
        </w:tc>
        <w:tc>
          <w:tcPr>
            <w:tcW w:w="789" w:type="dxa"/>
            <w:tcBorders>
              <w:top w:val="nil"/>
              <w:left w:val="nil"/>
              <w:bottom w:val="single" w:sz="4" w:space="0" w:color="auto"/>
              <w:right w:val="single" w:sz="4" w:space="0" w:color="auto"/>
            </w:tcBorders>
            <w:shd w:val="clear" w:color="000000" w:fill="E7E6E6"/>
            <w:vAlign w:val="center"/>
          </w:tcPr>
          <w:p w14:paraId="70EED142" w14:textId="217EFA7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69.9</w:t>
            </w:r>
          </w:p>
        </w:tc>
        <w:tc>
          <w:tcPr>
            <w:tcW w:w="1297" w:type="dxa"/>
            <w:tcBorders>
              <w:top w:val="nil"/>
              <w:left w:val="nil"/>
              <w:bottom w:val="single" w:sz="4" w:space="0" w:color="auto"/>
              <w:right w:val="single" w:sz="4" w:space="0" w:color="auto"/>
            </w:tcBorders>
            <w:shd w:val="clear" w:color="000000" w:fill="E7E6E6"/>
            <w:noWrap/>
            <w:vAlign w:val="center"/>
          </w:tcPr>
          <w:p w14:paraId="14DEC02C" w14:textId="7780EE9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36.5</w:t>
            </w:r>
          </w:p>
        </w:tc>
        <w:tc>
          <w:tcPr>
            <w:tcW w:w="1179" w:type="dxa"/>
            <w:tcBorders>
              <w:top w:val="nil"/>
              <w:left w:val="nil"/>
              <w:bottom w:val="single" w:sz="4" w:space="0" w:color="auto"/>
              <w:right w:val="single" w:sz="4" w:space="0" w:color="auto"/>
            </w:tcBorders>
            <w:shd w:val="clear" w:color="000000" w:fill="E7E6E6"/>
            <w:noWrap/>
            <w:vAlign w:val="center"/>
          </w:tcPr>
          <w:p w14:paraId="407F20BD" w14:textId="7323264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58.5</w:t>
            </w:r>
          </w:p>
        </w:tc>
      </w:tr>
      <w:tr w:rsidR="005A3FC1" w:rsidRPr="00646B6F" w14:paraId="1AF1CDD0"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76322378" w14:textId="3C904FE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7C879E7D" w14:textId="1398994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Lisboa</w:t>
            </w:r>
          </w:p>
        </w:tc>
        <w:tc>
          <w:tcPr>
            <w:tcW w:w="897" w:type="dxa"/>
            <w:tcBorders>
              <w:top w:val="nil"/>
              <w:left w:val="nil"/>
              <w:bottom w:val="single" w:sz="4" w:space="0" w:color="auto"/>
              <w:right w:val="single" w:sz="4" w:space="0" w:color="auto"/>
            </w:tcBorders>
            <w:shd w:val="clear" w:color="auto" w:fill="auto"/>
            <w:vAlign w:val="center"/>
          </w:tcPr>
          <w:p w14:paraId="79D810D3" w14:textId="1A9A57C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6" w:type="dxa"/>
            <w:tcBorders>
              <w:top w:val="nil"/>
              <w:left w:val="nil"/>
              <w:bottom w:val="single" w:sz="4" w:space="0" w:color="auto"/>
              <w:right w:val="single" w:sz="4" w:space="0" w:color="auto"/>
            </w:tcBorders>
            <w:shd w:val="clear" w:color="auto" w:fill="auto"/>
            <w:noWrap/>
            <w:vAlign w:val="center"/>
          </w:tcPr>
          <w:p w14:paraId="710A72C0" w14:textId="6400B32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auto" w:fill="auto"/>
            <w:noWrap/>
            <w:vAlign w:val="center"/>
          </w:tcPr>
          <w:p w14:paraId="38E11295" w14:textId="3C72F1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24.9</w:t>
            </w:r>
          </w:p>
        </w:tc>
        <w:tc>
          <w:tcPr>
            <w:tcW w:w="1128" w:type="dxa"/>
            <w:tcBorders>
              <w:top w:val="nil"/>
              <w:left w:val="nil"/>
              <w:bottom w:val="single" w:sz="4" w:space="0" w:color="auto"/>
              <w:right w:val="single" w:sz="4" w:space="0" w:color="auto"/>
            </w:tcBorders>
            <w:shd w:val="clear" w:color="auto" w:fill="auto"/>
            <w:noWrap/>
            <w:vAlign w:val="center"/>
          </w:tcPr>
          <w:p w14:paraId="2D92A816" w14:textId="21588E5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20.8</w:t>
            </w:r>
          </w:p>
        </w:tc>
        <w:tc>
          <w:tcPr>
            <w:tcW w:w="789" w:type="dxa"/>
            <w:tcBorders>
              <w:top w:val="nil"/>
              <w:left w:val="nil"/>
              <w:bottom w:val="single" w:sz="4" w:space="0" w:color="auto"/>
              <w:right w:val="single" w:sz="4" w:space="0" w:color="auto"/>
            </w:tcBorders>
            <w:shd w:val="clear" w:color="auto" w:fill="auto"/>
            <w:vAlign w:val="center"/>
          </w:tcPr>
          <w:p w14:paraId="6E47122E" w14:textId="78A7407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66.2</w:t>
            </w:r>
          </w:p>
        </w:tc>
        <w:tc>
          <w:tcPr>
            <w:tcW w:w="1297" w:type="dxa"/>
            <w:tcBorders>
              <w:top w:val="nil"/>
              <w:left w:val="nil"/>
              <w:bottom w:val="single" w:sz="4" w:space="0" w:color="auto"/>
              <w:right w:val="single" w:sz="4" w:space="0" w:color="auto"/>
            </w:tcBorders>
            <w:shd w:val="clear" w:color="auto" w:fill="auto"/>
            <w:noWrap/>
            <w:vAlign w:val="center"/>
          </w:tcPr>
          <w:p w14:paraId="379165C6" w14:textId="11CD56D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41.8</w:t>
            </w:r>
          </w:p>
        </w:tc>
        <w:tc>
          <w:tcPr>
            <w:tcW w:w="1179" w:type="dxa"/>
            <w:tcBorders>
              <w:top w:val="nil"/>
              <w:left w:val="nil"/>
              <w:bottom w:val="single" w:sz="4" w:space="0" w:color="auto"/>
              <w:right w:val="single" w:sz="4" w:space="0" w:color="auto"/>
            </w:tcBorders>
            <w:shd w:val="clear" w:color="auto" w:fill="auto"/>
            <w:noWrap/>
            <w:vAlign w:val="center"/>
          </w:tcPr>
          <w:p w14:paraId="5FFA2888" w14:textId="6049BF1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54.3</w:t>
            </w:r>
          </w:p>
        </w:tc>
      </w:tr>
      <w:tr w:rsidR="005A3FC1" w:rsidRPr="00646B6F" w14:paraId="7DBE5A1C"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49716753" w14:textId="7E5943A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1E95AEED" w14:textId="516FD7C9"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Navarra</w:t>
            </w:r>
          </w:p>
        </w:tc>
        <w:tc>
          <w:tcPr>
            <w:tcW w:w="897" w:type="dxa"/>
            <w:tcBorders>
              <w:top w:val="nil"/>
              <w:left w:val="nil"/>
              <w:bottom w:val="single" w:sz="4" w:space="0" w:color="auto"/>
              <w:right w:val="single" w:sz="4" w:space="0" w:color="auto"/>
            </w:tcBorders>
            <w:shd w:val="clear" w:color="000000" w:fill="E7E6E6"/>
            <w:vAlign w:val="center"/>
          </w:tcPr>
          <w:p w14:paraId="6F64706B" w14:textId="4575587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000000" w:fill="E7E6E6"/>
            <w:noWrap/>
            <w:vAlign w:val="center"/>
          </w:tcPr>
          <w:p w14:paraId="7B39AD28" w14:textId="7064628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000000" w:fill="E7E6E6"/>
            <w:noWrap/>
            <w:vAlign w:val="center"/>
          </w:tcPr>
          <w:p w14:paraId="6EB4D422" w14:textId="59ABF68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14.2</w:t>
            </w:r>
          </w:p>
        </w:tc>
        <w:tc>
          <w:tcPr>
            <w:tcW w:w="1128" w:type="dxa"/>
            <w:tcBorders>
              <w:top w:val="nil"/>
              <w:left w:val="nil"/>
              <w:bottom w:val="single" w:sz="4" w:space="0" w:color="auto"/>
              <w:right w:val="single" w:sz="4" w:space="0" w:color="auto"/>
            </w:tcBorders>
            <w:shd w:val="clear" w:color="000000" w:fill="E7E6E6"/>
            <w:noWrap/>
            <w:vAlign w:val="center"/>
          </w:tcPr>
          <w:p w14:paraId="2A3B1F41" w14:textId="4ED151E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13.2</w:t>
            </w:r>
          </w:p>
        </w:tc>
        <w:tc>
          <w:tcPr>
            <w:tcW w:w="789" w:type="dxa"/>
            <w:tcBorders>
              <w:top w:val="nil"/>
              <w:left w:val="nil"/>
              <w:bottom w:val="single" w:sz="4" w:space="0" w:color="auto"/>
              <w:right w:val="single" w:sz="4" w:space="0" w:color="auto"/>
            </w:tcBorders>
            <w:shd w:val="clear" w:color="000000" w:fill="E7E6E6"/>
            <w:vAlign w:val="center"/>
          </w:tcPr>
          <w:p w14:paraId="392AC0AD" w14:textId="02269CD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85.3</w:t>
            </w:r>
          </w:p>
        </w:tc>
        <w:tc>
          <w:tcPr>
            <w:tcW w:w="1297" w:type="dxa"/>
            <w:tcBorders>
              <w:top w:val="nil"/>
              <w:left w:val="nil"/>
              <w:bottom w:val="single" w:sz="4" w:space="0" w:color="auto"/>
              <w:right w:val="single" w:sz="4" w:space="0" w:color="auto"/>
            </w:tcBorders>
            <w:shd w:val="clear" w:color="000000" w:fill="E7E6E6"/>
            <w:noWrap/>
            <w:vAlign w:val="center"/>
          </w:tcPr>
          <w:p w14:paraId="382E924D" w14:textId="3A5D261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w:t>
            </w:r>
          </w:p>
        </w:tc>
        <w:tc>
          <w:tcPr>
            <w:tcW w:w="1179" w:type="dxa"/>
            <w:tcBorders>
              <w:top w:val="nil"/>
              <w:left w:val="nil"/>
              <w:bottom w:val="single" w:sz="4" w:space="0" w:color="auto"/>
              <w:right w:val="single" w:sz="4" w:space="0" w:color="auto"/>
            </w:tcBorders>
            <w:shd w:val="clear" w:color="000000" w:fill="E7E6E6"/>
            <w:noWrap/>
            <w:vAlign w:val="center"/>
          </w:tcPr>
          <w:p w14:paraId="6DAF6B90" w14:textId="646C397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47.4</w:t>
            </w:r>
          </w:p>
        </w:tc>
      </w:tr>
      <w:tr w:rsidR="005A3FC1" w:rsidRPr="00646B6F" w14:paraId="35B1D47A"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0A93EC78" w14:textId="73E22D0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67E37AA7" w14:textId="0FDA222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Oporto</w:t>
            </w:r>
          </w:p>
        </w:tc>
        <w:tc>
          <w:tcPr>
            <w:tcW w:w="897" w:type="dxa"/>
            <w:tcBorders>
              <w:top w:val="nil"/>
              <w:left w:val="nil"/>
              <w:bottom w:val="single" w:sz="4" w:space="0" w:color="auto"/>
              <w:right w:val="single" w:sz="4" w:space="0" w:color="auto"/>
            </w:tcBorders>
            <w:shd w:val="clear" w:color="auto" w:fill="auto"/>
            <w:vAlign w:val="center"/>
          </w:tcPr>
          <w:p w14:paraId="1CE54850" w14:textId="76DDDA3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6" w:type="dxa"/>
            <w:tcBorders>
              <w:top w:val="nil"/>
              <w:left w:val="nil"/>
              <w:bottom w:val="single" w:sz="4" w:space="0" w:color="auto"/>
              <w:right w:val="single" w:sz="4" w:space="0" w:color="auto"/>
            </w:tcBorders>
            <w:shd w:val="clear" w:color="auto" w:fill="auto"/>
            <w:noWrap/>
            <w:vAlign w:val="center"/>
          </w:tcPr>
          <w:p w14:paraId="2313F144" w14:textId="60D3423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auto" w:fill="auto"/>
            <w:noWrap/>
            <w:vAlign w:val="center"/>
          </w:tcPr>
          <w:p w14:paraId="4F1B8D20" w14:textId="35D1373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21.2</w:t>
            </w:r>
          </w:p>
        </w:tc>
        <w:tc>
          <w:tcPr>
            <w:tcW w:w="1128" w:type="dxa"/>
            <w:tcBorders>
              <w:top w:val="nil"/>
              <w:left w:val="nil"/>
              <w:bottom w:val="single" w:sz="4" w:space="0" w:color="auto"/>
              <w:right w:val="single" w:sz="4" w:space="0" w:color="auto"/>
            </w:tcBorders>
            <w:shd w:val="clear" w:color="auto" w:fill="auto"/>
            <w:noWrap/>
            <w:vAlign w:val="center"/>
          </w:tcPr>
          <w:p w14:paraId="6F01F324" w14:textId="66D950B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30.6</w:t>
            </w:r>
          </w:p>
        </w:tc>
        <w:tc>
          <w:tcPr>
            <w:tcW w:w="789" w:type="dxa"/>
            <w:tcBorders>
              <w:top w:val="nil"/>
              <w:left w:val="nil"/>
              <w:bottom w:val="single" w:sz="4" w:space="0" w:color="auto"/>
              <w:right w:val="single" w:sz="4" w:space="0" w:color="auto"/>
            </w:tcBorders>
            <w:shd w:val="clear" w:color="auto" w:fill="auto"/>
            <w:vAlign w:val="center"/>
          </w:tcPr>
          <w:p w14:paraId="38D9A936" w14:textId="71FA1DF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62.4</w:t>
            </w:r>
          </w:p>
        </w:tc>
        <w:tc>
          <w:tcPr>
            <w:tcW w:w="1297" w:type="dxa"/>
            <w:tcBorders>
              <w:top w:val="nil"/>
              <w:left w:val="nil"/>
              <w:bottom w:val="single" w:sz="4" w:space="0" w:color="auto"/>
              <w:right w:val="single" w:sz="4" w:space="0" w:color="auto"/>
            </w:tcBorders>
            <w:shd w:val="clear" w:color="auto" w:fill="auto"/>
            <w:noWrap/>
            <w:vAlign w:val="center"/>
          </w:tcPr>
          <w:p w14:paraId="113D3D49" w14:textId="2714CC0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37.4</w:t>
            </w:r>
          </w:p>
        </w:tc>
        <w:tc>
          <w:tcPr>
            <w:tcW w:w="1179" w:type="dxa"/>
            <w:tcBorders>
              <w:top w:val="nil"/>
              <w:left w:val="nil"/>
              <w:bottom w:val="single" w:sz="4" w:space="0" w:color="auto"/>
              <w:right w:val="single" w:sz="4" w:space="0" w:color="auto"/>
            </w:tcBorders>
            <w:shd w:val="clear" w:color="auto" w:fill="auto"/>
            <w:noWrap/>
            <w:vAlign w:val="center"/>
          </w:tcPr>
          <w:p w14:paraId="7564C3A0" w14:textId="4896588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62.6</w:t>
            </w:r>
          </w:p>
        </w:tc>
      </w:tr>
      <w:tr w:rsidR="005A3FC1" w:rsidRPr="00646B6F" w14:paraId="2E529863"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02310FD6" w14:textId="00A4948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2F392B1B" w14:textId="35A85C25"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Valencia</w:t>
            </w:r>
          </w:p>
        </w:tc>
        <w:tc>
          <w:tcPr>
            <w:tcW w:w="897" w:type="dxa"/>
            <w:tcBorders>
              <w:top w:val="nil"/>
              <w:left w:val="nil"/>
              <w:bottom w:val="single" w:sz="4" w:space="0" w:color="auto"/>
              <w:right w:val="single" w:sz="4" w:space="0" w:color="auto"/>
            </w:tcBorders>
            <w:shd w:val="clear" w:color="000000" w:fill="E7E6E6"/>
            <w:vAlign w:val="center"/>
          </w:tcPr>
          <w:p w14:paraId="3F3784A6" w14:textId="3C0052E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6" w:type="dxa"/>
            <w:tcBorders>
              <w:top w:val="nil"/>
              <w:left w:val="nil"/>
              <w:bottom w:val="single" w:sz="4" w:space="0" w:color="auto"/>
              <w:right w:val="single" w:sz="4" w:space="0" w:color="auto"/>
            </w:tcBorders>
            <w:shd w:val="clear" w:color="000000" w:fill="E7E6E6"/>
            <w:noWrap/>
            <w:vAlign w:val="center"/>
          </w:tcPr>
          <w:p w14:paraId="4FE8BCFB" w14:textId="2138223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37.7–43.3</w:t>
            </w:r>
          </w:p>
        </w:tc>
        <w:tc>
          <w:tcPr>
            <w:tcW w:w="842" w:type="dxa"/>
            <w:tcBorders>
              <w:top w:val="nil"/>
              <w:left w:val="nil"/>
              <w:bottom w:val="single" w:sz="4" w:space="0" w:color="auto"/>
              <w:right w:val="single" w:sz="4" w:space="0" w:color="auto"/>
            </w:tcBorders>
            <w:shd w:val="clear" w:color="000000" w:fill="E7E6E6"/>
            <w:noWrap/>
            <w:vAlign w:val="center"/>
          </w:tcPr>
          <w:p w14:paraId="2EA6B982" w14:textId="53C2F1B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21.1</w:t>
            </w:r>
          </w:p>
        </w:tc>
        <w:tc>
          <w:tcPr>
            <w:tcW w:w="1128" w:type="dxa"/>
            <w:tcBorders>
              <w:top w:val="nil"/>
              <w:left w:val="nil"/>
              <w:bottom w:val="single" w:sz="4" w:space="0" w:color="auto"/>
              <w:right w:val="single" w:sz="4" w:space="0" w:color="auto"/>
            </w:tcBorders>
            <w:shd w:val="clear" w:color="000000" w:fill="E7E6E6"/>
            <w:noWrap/>
            <w:vAlign w:val="center"/>
          </w:tcPr>
          <w:p w14:paraId="4D277F47" w14:textId="5C078C2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17.3</w:t>
            </w:r>
          </w:p>
        </w:tc>
        <w:tc>
          <w:tcPr>
            <w:tcW w:w="789" w:type="dxa"/>
            <w:tcBorders>
              <w:top w:val="nil"/>
              <w:left w:val="nil"/>
              <w:bottom w:val="single" w:sz="4" w:space="0" w:color="auto"/>
              <w:right w:val="single" w:sz="4" w:space="0" w:color="auto"/>
            </w:tcBorders>
            <w:shd w:val="clear" w:color="000000" w:fill="E7E6E6"/>
            <w:vAlign w:val="center"/>
          </w:tcPr>
          <w:p w14:paraId="7F4A9278" w14:textId="27A2A6B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76.2</w:t>
            </w:r>
          </w:p>
        </w:tc>
        <w:tc>
          <w:tcPr>
            <w:tcW w:w="1297" w:type="dxa"/>
            <w:tcBorders>
              <w:top w:val="nil"/>
              <w:left w:val="nil"/>
              <w:bottom w:val="single" w:sz="4" w:space="0" w:color="auto"/>
              <w:right w:val="single" w:sz="4" w:space="0" w:color="auto"/>
            </w:tcBorders>
            <w:shd w:val="clear" w:color="000000" w:fill="E7E6E6"/>
            <w:noWrap/>
            <w:vAlign w:val="center"/>
          </w:tcPr>
          <w:p w14:paraId="6AE1F0F7" w14:textId="71F6058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33.7</w:t>
            </w:r>
          </w:p>
        </w:tc>
        <w:tc>
          <w:tcPr>
            <w:tcW w:w="1179" w:type="dxa"/>
            <w:tcBorders>
              <w:top w:val="nil"/>
              <w:left w:val="nil"/>
              <w:bottom w:val="single" w:sz="4" w:space="0" w:color="auto"/>
              <w:right w:val="single" w:sz="4" w:space="0" w:color="auto"/>
            </w:tcBorders>
            <w:shd w:val="clear" w:color="000000" w:fill="E7E6E6"/>
            <w:noWrap/>
            <w:vAlign w:val="center"/>
          </w:tcPr>
          <w:p w14:paraId="78E618CE" w14:textId="244DECE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40.7</w:t>
            </w:r>
          </w:p>
        </w:tc>
      </w:tr>
      <w:tr w:rsidR="002708D4" w:rsidRPr="00F46F74" w14:paraId="01EAA1E6" w14:textId="77777777" w:rsidTr="00F27222">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31ACEA0E" w14:textId="079E950C"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501–600</w:t>
            </w:r>
          </w:p>
        </w:tc>
        <w:tc>
          <w:tcPr>
            <w:tcW w:w="3451" w:type="dxa"/>
            <w:tcBorders>
              <w:top w:val="nil"/>
              <w:left w:val="nil"/>
              <w:bottom w:val="single" w:sz="4" w:space="0" w:color="auto"/>
              <w:right w:val="single" w:sz="4" w:space="0" w:color="auto"/>
            </w:tcBorders>
            <w:shd w:val="clear" w:color="auto" w:fill="auto"/>
            <w:noWrap/>
            <w:vAlign w:val="center"/>
          </w:tcPr>
          <w:p w14:paraId="519BD7A1" w14:textId="69C8A015" w:rsidR="002708D4" w:rsidRPr="00F27222" w:rsidRDefault="002708D4"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97" w:type="dxa"/>
            <w:tcBorders>
              <w:top w:val="nil"/>
              <w:left w:val="nil"/>
              <w:bottom w:val="single" w:sz="4" w:space="0" w:color="auto"/>
              <w:right w:val="single" w:sz="4" w:space="0" w:color="auto"/>
            </w:tcBorders>
            <w:shd w:val="clear" w:color="auto" w:fill="auto"/>
            <w:vAlign w:val="center"/>
          </w:tcPr>
          <w:p w14:paraId="62AC0C56" w14:textId="50B244B5"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6" w:type="dxa"/>
            <w:tcBorders>
              <w:top w:val="nil"/>
              <w:left w:val="nil"/>
              <w:bottom w:val="single" w:sz="4" w:space="0" w:color="auto"/>
              <w:right w:val="single" w:sz="4" w:space="0" w:color="auto"/>
            </w:tcBorders>
            <w:shd w:val="clear" w:color="auto" w:fill="auto"/>
            <w:noWrap/>
            <w:vAlign w:val="center"/>
          </w:tcPr>
          <w:p w14:paraId="7D6218B4" w14:textId="6202AFFD"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26.4–31.7</w:t>
            </w:r>
          </w:p>
        </w:tc>
        <w:tc>
          <w:tcPr>
            <w:tcW w:w="842" w:type="dxa"/>
            <w:tcBorders>
              <w:top w:val="nil"/>
              <w:left w:val="nil"/>
              <w:bottom w:val="single" w:sz="4" w:space="0" w:color="auto"/>
              <w:right w:val="single" w:sz="4" w:space="0" w:color="auto"/>
            </w:tcBorders>
            <w:shd w:val="clear" w:color="auto" w:fill="auto"/>
            <w:noWrap/>
            <w:vAlign w:val="center"/>
          </w:tcPr>
          <w:p w14:paraId="375AACF3" w14:textId="1C266DC1"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33.8</w:t>
            </w:r>
          </w:p>
        </w:tc>
        <w:tc>
          <w:tcPr>
            <w:tcW w:w="1128" w:type="dxa"/>
            <w:tcBorders>
              <w:top w:val="nil"/>
              <w:left w:val="nil"/>
              <w:bottom w:val="single" w:sz="4" w:space="0" w:color="auto"/>
              <w:right w:val="single" w:sz="4" w:space="0" w:color="auto"/>
            </w:tcBorders>
            <w:shd w:val="clear" w:color="auto" w:fill="auto"/>
            <w:noWrap/>
            <w:vAlign w:val="center"/>
          </w:tcPr>
          <w:p w14:paraId="2CA9ADFC" w14:textId="094D4DB9"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27.2</w:t>
            </w:r>
          </w:p>
        </w:tc>
        <w:tc>
          <w:tcPr>
            <w:tcW w:w="789" w:type="dxa"/>
            <w:tcBorders>
              <w:top w:val="nil"/>
              <w:left w:val="nil"/>
              <w:bottom w:val="single" w:sz="4" w:space="0" w:color="auto"/>
              <w:right w:val="single" w:sz="4" w:space="0" w:color="auto"/>
            </w:tcBorders>
            <w:shd w:val="clear" w:color="auto" w:fill="auto"/>
            <w:vAlign w:val="center"/>
          </w:tcPr>
          <w:p w14:paraId="04846FDF" w14:textId="75AB660E"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24.5</w:t>
            </w:r>
          </w:p>
        </w:tc>
        <w:tc>
          <w:tcPr>
            <w:tcW w:w="1297" w:type="dxa"/>
            <w:tcBorders>
              <w:top w:val="nil"/>
              <w:left w:val="nil"/>
              <w:bottom w:val="single" w:sz="4" w:space="0" w:color="auto"/>
              <w:right w:val="single" w:sz="4" w:space="0" w:color="auto"/>
            </w:tcBorders>
            <w:shd w:val="clear" w:color="auto" w:fill="auto"/>
            <w:noWrap/>
            <w:vAlign w:val="center"/>
          </w:tcPr>
          <w:p w14:paraId="67C470E3" w14:textId="4B771B99"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65.6</w:t>
            </w:r>
          </w:p>
        </w:tc>
        <w:tc>
          <w:tcPr>
            <w:tcW w:w="1179" w:type="dxa"/>
            <w:tcBorders>
              <w:top w:val="nil"/>
              <w:left w:val="nil"/>
              <w:bottom w:val="single" w:sz="4" w:space="0" w:color="auto"/>
              <w:right w:val="single" w:sz="4" w:space="0" w:color="auto"/>
            </w:tcBorders>
            <w:shd w:val="clear" w:color="auto" w:fill="auto"/>
            <w:noWrap/>
            <w:vAlign w:val="center"/>
          </w:tcPr>
          <w:p w14:paraId="762B9B1D" w14:textId="336AA7CE" w:rsidR="002708D4" w:rsidRPr="00F27222" w:rsidRDefault="002708D4"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46.8</w:t>
            </w:r>
          </w:p>
        </w:tc>
      </w:tr>
    </w:tbl>
    <w:p w14:paraId="0E694B74" w14:textId="77777777" w:rsidR="001B5079" w:rsidRPr="00646B6F" w:rsidRDefault="001B5079" w:rsidP="0078703F">
      <w:pPr>
        <w:spacing w:line="240" w:lineRule="auto"/>
      </w:pPr>
    </w:p>
    <w:tbl>
      <w:tblPr>
        <w:tblW w:w="11427" w:type="dxa"/>
        <w:jc w:val="center"/>
        <w:tblCellMar>
          <w:left w:w="70" w:type="dxa"/>
          <w:right w:w="70" w:type="dxa"/>
        </w:tblCellMar>
        <w:tblLook w:val="04A0" w:firstRow="1" w:lastRow="0" w:firstColumn="1" w:lastColumn="0" w:noHBand="0" w:noVBand="1"/>
      </w:tblPr>
      <w:tblGrid>
        <w:gridCol w:w="801"/>
        <w:gridCol w:w="3452"/>
        <w:gridCol w:w="988"/>
        <w:gridCol w:w="1044"/>
        <w:gridCol w:w="841"/>
        <w:gridCol w:w="1126"/>
        <w:gridCol w:w="696"/>
        <w:gridCol w:w="1295"/>
        <w:gridCol w:w="1173"/>
        <w:gridCol w:w="11"/>
      </w:tblGrid>
      <w:tr w:rsidR="00810B7C" w:rsidRPr="00646B6F" w14:paraId="6E7427D2" w14:textId="77777777" w:rsidTr="00F27222">
        <w:trPr>
          <w:trHeight w:val="298"/>
          <w:tblHeader/>
          <w:jc w:val="center"/>
        </w:trPr>
        <w:tc>
          <w:tcPr>
            <w:tcW w:w="11427" w:type="dxa"/>
            <w:gridSpan w:val="10"/>
            <w:tcBorders>
              <w:top w:val="nil"/>
              <w:left w:val="nil"/>
              <w:bottom w:val="single" w:sz="4" w:space="0" w:color="auto"/>
              <w:right w:val="nil"/>
            </w:tcBorders>
            <w:shd w:val="clear" w:color="auto" w:fill="auto"/>
            <w:vAlign w:val="center"/>
            <w:hideMark/>
          </w:tcPr>
          <w:p w14:paraId="7CDE1262" w14:textId="527A65AB"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 xml:space="preserve">Tabla </w:t>
            </w:r>
            <w:r w:rsidR="001B5079" w:rsidRPr="00646B6F">
              <w:rPr>
                <w:rFonts w:ascii="Calibri" w:eastAsia="Times New Roman" w:hAnsi="Calibri" w:cs="Calibri"/>
                <w:b/>
                <w:bCs/>
                <w:color w:val="000000"/>
                <w:sz w:val="20"/>
                <w:szCs w:val="20"/>
                <w:lang w:eastAsia="es-MX"/>
              </w:rPr>
              <w:t>8</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Pr="00646B6F">
              <w:rPr>
                <w:rFonts w:ascii="Calibri" w:eastAsia="Times New Roman" w:hAnsi="Calibri" w:cs="Calibri"/>
                <w:b/>
                <w:bCs/>
                <w:color w:val="000000"/>
                <w:sz w:val="20"/>
                <w:szCs w:val="20"/>
                <w:lang w:eastAsia="es-MX"/>
              </w:rPr>
              <w:t>Clínica, Pre-Clínica y Salud, 202</w:t>
            </w:r>
            <w:r w:rsidR="001B5079"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6CE45607" w14:textId="77777777" w:rsidTr="00F27222">
        <w:trPr>
          <w:gridAfter w:val="1"/>
          <w:wAfter w:w="11" w:type="dxa"/>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7928849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22749FC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988" w:type="dxa"/>
            <w:tcBorders>
              <w:top w:val="nil"/>
              <w:left w:val="nil"/>
              <w:bottom w:val="single" w:sz="4" w:space="0" w:color="auto"/>
              <w:right w:val="single" w:sz="4" w:space="0" w:color="auto"/>
            </w:tcBorders>
            <w:shd w:val="clear" w:color="000000" w:fill="BDD6EE"/>
            <w:vAlign w:val="center"/>
            <w:hideMark/>
          </w:tcPr>
          <w:p w14:paraId="6F2365CB"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3C05134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29C198C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030F1284"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696" w:type="dxa"/>
            <w:tcBorders>
              <w:top w:val="nil"/>
              <w:left w:val="nil"/>
              <w:bottom w:val="single" w:sz="4" w:space="0" w:color="auto"/>
              <w:right w:val="single" w:sz="4" w:space="0" w:color="auto"/>
            </w:tcBorders>
            <w:shd w:val="clear" w:color="000000" w:fill="BDD6EE"/>
            <w:vAlign w:val="center"/>
            <w:hideMark/>
          </w:tcPr>
          <w:p w14:paraId="74460DF8"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3E92CFE4"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213E44DB"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4FB98D9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EC54DE5" w14:textId="4EEF29C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74</w:t>
            </w:r>
          </w:p>
        </w:tc>
        <w:tc>
          <w:tcPr>
            <w:tcW w:w="3452" w:type="dxa"/>
            <w:tcBorders>
              <w:top w:val="nil"/>
              <w:left w:val="nil"/>
              <w:bottom w:val="single" w:sz="4" w:space="0" w:color="auto"/>
              <w:right w:val="single" w:sz="4" w:space="0" w:color="auto"/>
            </w:tcBorders>
            <w:shd w:val="clear" w:color="auto" w:fill="auto"/>
            <w:noWrap/>
            <w:vAlign w:val="center"/>
          </w:tcPr>
          <w:p w14:paraId="424A0DB4" w14:textId="54C0FE1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988" w:type="dxa"/>
            <w:tcBorders>
              <w:top w:val="nil"/>
              <w:left w:val="nil"/>
              <w:bottom w:val="single" w:sz="4" w:space="0" w:color="auto"/>
              <w:right w:val="single" w:sz="4" w:space="0" w:color="auto"/>
            </w:tcBorders>
            <w:shd w:val="clear" w:color="auto" w:fill="auto"/>
            <w:vAlign w:val="center"/>
          </w:tcPr>
          <w:p w14:paraId="2DFC7F1E" w14:textId="625E507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4AA57BBD" w14:textId="14D2531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54.9</w:t>
            </w:r>
          </w:p>
        </w:tc>
        <w:tc>
          <w:tcPr>
            <w:tcW w:w="841" w:type="dxa"/>
            <w:tcBorders>
              <w:top w:val="nil"/>
              <w:left w:val="nil"/>
              <w:bottom w:val="single" w:sz="4" w:space="0" w:color="auto"/>
              <w:right w:val="single" w:sz="4" w:space="0" w:color="auto"/>
            </w:tcBorders>
            <w:shd w:val="clear" w:color="auto" w:fill="auto"/>
            <w:noWrap/>
            <w:vAlign w:val="center"/>
          </w:tcPr>
          <w:p w14:paraId="4988D355" w14:textId="6CB448A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61.5</w:t>
            </w:r>
          </w:p>
        </w:tc>
        <w:tc>
          <w:tcPr>
            <w:tcW w:w="1126" w:type="dxa"/>
            <w:tcBorders>
              <w:top w:val="nil"/>
              <w:left w:val="nil"/>
              <w:bottom w:val="single" w:sz="4" w:space="0" w:color="auto"/>
              <w:right w:val="single" w:sz="4" w:space="0" w:color="auto"/>
            </w:tcBorders>
            <w:shd w:val="clear" w:color="auto" w:fill="auto"/>
            <w:noWrap/>
            <w:vAlign w:val="center"/>
          </w:tcPr>
          <w:p w14:paraId="21203D45" w14:textId="56C264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62.3</w:t>
            </w:r>
          </w:p>
        </w:tc>
        <w:tc>
          <w:tcPr>
            <w:tcW w:w="696" w:type="dxa"/>
            <w:tcBorders>
              <w:top w:val="nil"/>
              <w:left w:val="nil"/>
              <w:bottom w:val="single" w:sz="4" w:space="0" w:color="auto"/>
              <w:right w:val="single" w:sz="4" w:space="0" w:color="auto"/>
            </w:tcBorders>
            <w:shd w:val="clear" w:color="auto" w:fill="auto"/>
            <w:vAlign w:val="center"/>
          </w:tcPr>
          <w:p w14:paraId="6CDB4E4A" w14:textId="3D8573A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49.2</w:t>
            </w:r>
          </w:p>
        </w:tc>
        <w:tc>
          <w:tcPr>
            <w:tcW w:w="1295" w:type="dxa"/>
            <w:tcBorders>
              <w:top w:val="nil"/>
              <w:left w:val="nil"/>
              <w:bottom w:val="single" w:sz="4" w:space="0" w:color="auto"/>
              <w:right w:val="single" w:sz="4" w:space="0" w:color="auto"/>
            </w:tcBorders>
            <w:shd w:val="clear" w:color="auto" w:fill="auto"/>
            <w:noWrap/>
            <w:vAlign w:val="center"/>
          </w:tcPr>
          <w:p w14:paraId="34575F00" w14:textId="5838C2A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43.9</w:t>
            </w:r>
          </w:p>
        </w:tc>
        <w:tc>
          <w:tcPr>
            <w:tcW w:w="1173" w:type="dxa"/>
            <w:tcBorders>
              <w:top w:val="nil"/>
              <w:left w:val="nil"/>
              <w:bottom w:val="single" w:sz="4" w:space="0" w:color="auto"/>
              <w:right w:val="single" w:sz="4" w:space="0" w:color="auto"/>
            </w:tcBorders>
            <w:shd w:val="clear" w:color="auto" w:fill="auto"/>
            <w:noWrap/>
            <w:vAlign w:val="center"/>
          </w:tcPr>
          <w:p w14:paraId="16E44F0E" w14:textId="11FE3A5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34.4</w:t>
            </w:r>
          </w:p>
        </w:tc>
      </w:tr>
      <w:tr w:rsidR="005A3FC1" w:rsidRPr="00646B6F" w14:paraId="6EE5113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C7910CE" w14:textId="49F6C45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101–125</w:t>
            </w:r>
          </w:p>
        </w:tc>
        <w:tc>
          <w:tcPr>
            <w:tcW w:w="3452" w:type="dxa"/>
            <w:tcBorders>
              <w:top w:val="nil"/>
              <w:left w:val="nil"/>
              <w:bottom w:val="single" w:sz="4" w:space="0" w:color="auto"/>
              <w:right w:val="single" w:sz="4" w:space="0" w:color="auto"/>
            </w:tcBorders>
            <w:shd w:val="clear" w:color="000000" w:fill="E7E6E6"/>
            <w:noWrap/>
            <w:vAlign w:val="center"/>
          </w:tcPr>
          <w:p w14:paraId="6B865E7D" w14:textId="4F007925"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988" w:type="dxa"/>
            <w:tcBorders>
              <w:top w:val="nil"/>
              <w:left w:val="nil"/>
              <w:bottom w:val="single" w:sz="4" w:space="0" w:color="auto"/>
              <w:right w:val="single" w:sz="4" w:space="0" w:color="auto"/>
            </w:tcBorders>
            <w:shd w:val="clear" w:color="000000" w:fill="E7E6E6"/>
            <w:vAlign w:val="center"/>
          </w:tcPr>
          <w:p w14:paraId="1CE3CF55" w14:textId="55C8733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A95B556" w14:textId="0E7BC8C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48.1–50.7</w:t>
            </w:r>
          </w:p>
        </w:tc>
        <w:tc>
          <w:tcPr>
            <w:tcW w:w="841" w:type="dxa"/>
            <w:tcBorders>
              <w:top w:val="nil"/>
              <w:left w:val="nil"/>
              <w:bottom w:val="single" w:sz="4" w:space="0" w:color="auto"/>
              <w:right w:val="single" w:sz="4" w:space="0" w:color="auto"/>
            </w:tcBorders>
            <w:shd w:val="clear" w:color="000000" w:fill="E7E6E6"/>
            <w:noWrap/>
            <w:vAlign w:val="center"/>
          </w:tcPr>
          <w:p w14:paraId="0C5A8CB2" w14:textId="475A406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36.2</w:t>
            </w:r>
          </w:p>
        </w:tc>
        <w:tc>
          <w:tcPr>
            <w:tcW w:w="1126" w:type="dxa"/>
            <w:tcBorders>
              <w:top w:val="nil"/>
              <w:left w:val="nil"/>
              <w:bottom w:val="single" w:sz="4" w:space="0" w:color="auto"/>
              <w:right w:val="single" w:sz="4" w:space="0" w:color="auto"/>
            </w:tcBorders>
            <w:shd w:val="clear" w:color="000000" w:fill="E7E6E6"/>
            <w:noWrap/>
            <w:vAlign w:val="center"/>
          </w:tcPr>
          <w:p w14:paraId="08D44416" w14:textId="78B4F37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40.4</w:t>
            </w:r>
          </w:p>
        </w:tc>
        <w:tc>
          <w:tcPr>
            <w:tcW w:w="696" w:type="dxa"/>
            <w:tcBorders>
              <w:top w:val="nil"/>
              <w:left w:val="nil"/>
              <w:bottom w:val="single" w:sz="4" w:space="0" w:color="auto"/>
              <w:right w:val="single" w:sz="4" w:space="0" w:color="auto"/>
            </w:tcBorders>
            <w:shd w:val="clear" w:color="000000" w:fill="E7E6E6"/>
            <w:vAlign w:val="center"/>
          </w:tcPr>
          <w:p w14:paraId="5244B50A" w14:textId="3745739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65.4</w:t>
            </w:r>
          </w:p>
        </w:tc>
        <w:tc>
          <w:tcPr>
            <w:tcW w:w="1295" w:type="dxa"/>
            <w:tcBorders>
              <w:top w:val="nil"/>
              <w:left w:val="nil"/>
              <w:bottom w:val="single" w:sz="4" w:space="0" w:color="auto"/>
              <w:right w:val="single" w:sz="4" w:space="0" w:color="auto"/>
            </w:tcBorders>
            <w:shd w:val="clear" w:color="000000" w:fill="E7E6E6"/>
            <w:noWrap/>
            <w:vAlign w:val="center"/>
          </w:tcPr>
          <w:p w14:paraId="30E2318D" w14:textId="2954B16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52.3</w:t>
            </w:r>
          </w:p>
        </w:tc>
        <w:tc>
          <w:tcPr>
            <w:tcW w:w="1173" w:type="dxa"/>
            <w:tcBorders>
              <w:top w:val="nil"/>
              <w:left w:val="nil"/>
              <w:bottom w:val="single" w:sz="4" w:space="0" w:color="auto"/>
              <w:right w:val="single" w:sz="4" w:space="0" w:color="auto"/>
            </w:tcBorders>
            <w:shd w:val="clear" w:color="000000" w:fill="E7E6E6"/>
            <w:noWrap/>
            <w:vAlign w:val="center"/>
          </w:tcPr>
          <w:p w14:paraId="7093BDCB" w14:textId="3C406AD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57.7</w:t>
            </w:r>
          </w:p>
        </w:tc>
      </w:tr>
      <w:tr w:rsidR="005A3FC1" w:rsidRPr="00646B6F" w14:paraId="04F4DB7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D1C67D" w14:textId="031B316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2" w:type="dxa"/>
            <w:tcBorders>
              <w:top w:val="nil"/>
              <w:left w:val="nil"/>
              <w:bottom w:val="single" w:sz="4" w:space="0" w:color="auto"/>
              <w:right w:val="single" w:sz="4" w:space="0" w:color="auto"/>
            </w:tcBorders>
            <w:shd w:val="clear" w:color="auto" w:fill="auto"/>
            <w:noWrap/>
            <w:vAlign w:val="center"/>
          </w:tcPr>
          <w:p w14:paraId="5EB89814" w14:textId="4DEA0B1F"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Javeriana</w:t>
            </w:r>
          </w:p>
        </w:tc>
        <w:tc>
          <w:tcPr>
            <w:tcW w:w="988" w:type="dxa"/>
            <w:tcBorders>
              <w:top w:val="nil"/>
              <w:left w:val="nil"/>
              <w:bottom w:val="single" w:sz="4" w:space="0" w:color="auto"/>
              <w:right w:val="single" w:sz="4" w:space="0" w:color="auto"/>
            </w:tcBorders>
            <w:shd w:val="clear" w:color="auto" w:fill="auto"/>
            <w:vAlign w:val="center"/>
          </w:tcPr>
          <w:p w14:paraId="6AAF1BF8" w14:textId="37B3FFC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Colombia</w:t>
            </w:r>
          </w:p>
        </w:tc>
        <w:tc>
          <w:tcPr>
            <w:tcW w:w="1044" w:type="dxa"/>
            <w:tcBorders>
              <w:top w:val="nil"/>
              <w:left w:val="nil"/>
              <w:bottom w:val="single" w:sz="4" w:space="0" w:color="auto"/>
              <w:right w:val="single" w:sz="4" w:space="0" w:color="auto"/>
            </w:tcBorders>
            <w:shd w:val="clear" w:color="auto" w:fill="auto"/>
            <w:noWrap/>
            <w:vAlign w:val="center"/>
          </w:tcPr>
          <w:p w14:paraId="5AD0D7BA" w14:textId="166A202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44.1–45.6</w:t>
            </w:r>
          </w:p>
        </w:tc>
        <w:tc>
          <w:tcPr>
            <w:tcW w:w="841" w:type="dxa"/>
            <w:tcBorders>
              <w:top w:val="nil"/>
              <w:left w:val="nil"/>
              <w:bottom w:val="single" w:sz="4" w:space="0" w:color="auto"/>
              <w:right w:val="single" w:sz="4" w:space="0" w:color="auto"/>
            </w:tcBorders>
            <w:shd w:val="clear" w:color="auto" w:fill="auto"/>
            <w:noWrap/>
            <w:vAlign w:val="center"/>
          </w:tcPr>
          <w:p w14:paraId="18F0E439" w14:textId="720A1ED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w:t>
            </w:r>
          </w:p>
        </w:tc>
        <w:tc>
          <w:tcPr>
            <w:tcW w:w="1126" w:type="dxa"/>
            <w:tcBorders>
              <w:top w:val="nil"/>
              <w:left w:val="nil"/>
              <w:bottom w:val="single" w:sz="4" w:space="0" w:color="auto"/>
              <w:right w:val="single" w:sz="4" w:space="0" w:color="auto"/>
            </w:tcBorders>
            <w:shd w:val="clear" w:color="auto" w:fill="auto"/>
            <w:noWrap/>
            <w:vAlign w:val="center"/>
          </w:tcPr>
          <w:p w14:paraId="6C701687" w14:textId="0AF7EF7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10.2</w:t>
            </w:r>
          </w:p>
        </w:tc>
        <w:tc>
          <w:tcPr>
            <w:tcW w:w="696" w:type="dxa"/>
            <w:tcBorders>
              <w:top w:val="nil"/>
              <w:left w:val="nil"/>
              <w:bottom w:val="single" w:sz="4" w:space="0" w:color="auto"/>
              <w:right w:val="single" w:sz="4" w:space="0" w:color="auto"/>
            </w:tcBorders>
            <w:shd w:val="clear" w:color="auto" w:fill="auto"/>
            <w:vAlign w:val="center"/>
          </w:tcPr>
          <w:p w14:paraId="231D1F3F" w14:textId="02E4124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95.5</w:t>
            </w:r>
          </w:p>
        </w:tc>
        <w:tc>
          <w:tcPr>
            <w:tcW w:w="1295" w:type="dxa"/>
            <w:tcBorders>
              <w:top w:val="nil"/>
              <w:left w:val="nil"/>
              <w:bottom w:val="single" w:sz="4" w:space="0" w:color="auto"/>
              <w:right w:val="single" w:sz="4" w:space="0" w:color="auto"/>
            </w:tcBorders>
            <w:shd w:val="clear" w:color="auto" w:fill="auto"/>
            <w:noWrap/>
            <w:vAlign w:val="center"/>
          </w:tcPr>
          <w:p w14:paraId="2F448470" w14:textId="1FF1BCF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41.3</w:t>
            </w:r>
          </w:p>
        </w:tc>
        <w:tc>
          <w:tcPr>
            <w:tcW w:w="1173" w:type="dxa"/>
            <w:tcBorders>
              <w:top w:val="nil"/>
              <w:left w:val="nil"/>
              <w:bottom w:val="single" w:sz="4" w:space="0" w:color="auto"/>
              <w:right w:val="single" w:sz="4" w:space="0" w:color="auto"/>
            </w:tcBorders>
            <w:shd w:val="clear" w:color="auto" w:fill="auto"/>
            <w:noWrap/>
            <w:vAlign w:val="center"/>
          </w:tcPr>
          <w:p w14:paraId="72997A47" w14:textId="46E54C0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44.8</w:t>
            </w:r>
          </w:p>
        </w:tc>
      </w:tr>
      <w:tr w:rsidR="005A3FC1" w:rsidRPr="00646B6F" w14:paraId="31DFF5BB"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094772A" w14:textId="39A41E2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2" w:type="dxa"/>
            <w:tcBorders>
              <w:top w:val="nil"/>
              <w:left w:val="nil"/>
              <w:bottom w:val="single" w:sz="4" w:space="0" w:color="auto"/>
              <w:right w:val="single" w:sz="4" w:space="0" w:color="auto"/>
            </w:tcBorders>
            <w:shd w:val="clear" w:color="000000" w:fill="E7E6E6"/>
            <w:noWrap/>
            <w:vAlign w:val="center"/>
          </w:tcPr>
          <w:p w14:paraId="1AAC67AB" w14:textId="5EBC123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Metropolitana</w:t>
            </w:r>
          </w:p>
        </w:tc>
        <w:tc>
          <w:tcPr>
            <w:tcW w:w="988" w:type="dxa"/>
            <w:tcBorders>
              <w:top w:val="nil"/>
              <w:left w:val="nil"/>
              <w:bottom w:val="single" w:sz="4" w:space="0" w:color="auto"/>
              <w:right w:val="single" w:sz="4" w:space="0" w:color="auto"/>
            </w:tcBorders>
            <w:shd w:val="clear" w:color="000000" w:fill="E7E6E6"/>
            <w:vAlign w:val="center"/>
          </w:tcPr>
          <w:p w14:paraId="6311C3B1" w14:textId="683D8BB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000000" w:fill="E7E6E6"/>
            <w:noWrap/>
            <w:vAlign w:val="center"/>
          </w:tcPr>
          <w:p w14:paraId="3B8D3C76" w14:textId="1C362FF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44.1–45.6</w:t>
            </w:r>
          </w:p>
        </w:tc>
        <w:tc>
          <w:tcPr>
            <w:tcW w:w="841" w:type="dxa"/>
            <w:tcBorders>
              <w:top w:val="nil"/>
              <w:left w:val="nil"/>
              <w:bottom w:val="single" w:sz="4" w:space="0" w:color="auto"/>
              <w:right w:val="single" w:sz="4" w:space="0" w:color="auto"/>
            </w:tcBorders>
            <w:shd w:val="clear" w:color="000000" w:fill="E7E6E6"/>
            <w:noWrap/>
            <w:vAlign w:val="center"/>
          </w:tcPr>
          <w:p w14:paraId="34554892" w14:textId="07C8037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14.1</w:t>
            </w:r>
          </w:p>
        </w:tc>
        <w:tc>
          <w:tcPr>
            <w:tcW w:w="1126" w:type="dxa"/>
            <w:tcBorders>
              <w:top w:val="nil"/>
              <w:left w:val="nil"/>
              <w:bottom w:val="single" w:sz="4" w:space="0" w:color="auto"/>
              <w:right w:val="single" w:sz="4" w:space="0" w:color="auto"/>
            </w:tcBorders>
            <w:shd w:val="clear" w:color="000000" w:fill="E7E6E6"/>
            <w:noWrap/>
            <w:vAlign w:val="center"/>
          </w:tcPr>
          <w:p w14:paraId="46CDCA60" w14:textId="1BA37E0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11</w:t>
            </w:r>
          </w:p>
        </w:tc>
        <w:tc>
          <w:tcPr>
            <w:tcW w:w="696" w:type="dxa"/>
            <w:tcBorders>
              <w:top w:val="nil"/>
              <w:left w:val="nil"/>
              <w:bottom w:val="single" w:sz="4" w:space="0" w:color="auto"/>
              <w:right w:val="single" w:sz="4" w:space="0" w:color="auto"/>
            </w:tcBorders>
            <w:shd w:val="clear" w:color="000000" w:fill="E7E6E6"/>
            <w:vAlign w:val="center"/>
          </w:tcPr>
          <w:p w14:paraId="5FD9ADB3" w14:textId="00B1A8C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98.6</w:t>
            </w:r>
          </w:p>
        </w:tc>
        <w:tc>
          <w:tcPr>
            <w:tcW w:w="1295" w:type="dxa"/>
            <w:tcBorders>
              <w:top w:val="nil"/>
              <w:left w:val="nil"/>
              <w:bottom w:val="single" w:sz="4" w:space="0" w:color="auto"/>
              <w:right w:val="single" w:sz="4" w:space="0" w:color="auto"/>
            </w:tcBorders>
            <w:shd w:val="clear" w:color="000000" w:fill="E7E6E6"/>
            <w:noWrap/>
            <w:vAlign w:val="center"/>
          </w:tcPr>
          <w:p w14:paraId="3CE98A4A" w14:textId="57B6FB0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41.7</w:t>
            </w:r>
          </w:p>
        </w:tc>
        <w:tc>
          <w:tcPr>
            <w:tcW w:w="1173" w:type="dxa"/>
            <w:tcBorders>
              <w:top w:val="nil"/>
              <w:left w:val="nil"/>
              <w:bottom w:val="single" w:sz="4" w:space="0" w:color="auto"/>
              <w:right w:val="single" w:sz="4" w:space="0" w:color="auto"/>
            </w:tcBorders>
            <w:shd w:val="clear" w:color="000000" w:fill="E7E6E6"/>
            <w:noWrap/>
            <w:vAlign w:val="center"/>
          </w:tcPr>
          <w:p w14:paraId="666AFFB0" w14:textId="3E2015E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28.3</w:t>
            </w:r>
          </w:p>
        </w:tc>
      </w:tr>
      <w:tr w:rsidR="005A3FC1" w:rsidRPr="00646B6F" w14:paraId="3B1D9E1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E2C4E5" w14:textId="3AD4AC1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151–175</w:t>
            </w:r>
          </w:p>
        </w:tc>
        <w:tc>
          <w:tcPr>
            <w:tcW w:w="3452" w:type="dxa"/>
            <w:tcBorders>
              <w:top w:val="nil"/>
              <w:left w:val="nil"/>
              <w:bottom w:val="single" w:sz="4" w:space="0" w:color="auto"/>
              <w:right w:val="single" w:sz="4" w:space="0" w:color="auto"/>
            </w:tcBorders>
            <w:shd w:val="clear" w:color="auto" w:fill="auto"/>
            <w:noWrap/>
            <w:vAlign w:val="center"/>
          </w:tcPr>
          <w:p w14:paraId="51A88DB6" w14:textId="3BDB3D8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Católica de Portugal</w:t>
            </w:r>
          </w:p>
        </w:tc>
        <w:tc>
          <w:tcPr>
            <w:tcW w:w="988" w:type="dxa"/>
            <w:tcBorders>
              <w:top w:val="nil"/>
              <w:left w:val="nil"/>
              <w:bottom w:val="single" w:sz="4" w:space="0" w:color="auto"/>
              <w:right w:val="single" w:sz="4" w:space="0" w:color="auto"/>
            </w:tcBorders>
            <w:shd w:val="clear" w:color="auto" w:fill="auto"/>
            <w:vAlign w:val="center"/>
          </w:tcPr>
          <w:p w14:paraId="4A515728" w14:textId="25552D4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auto" w:fill="auto"/>
            <w:noWrap/>
            <w:vAlign w:val="center"/>
          </w:tcPr>
          <w:p w14:paraId="2D8983C8" w14:textId="2C9B2F8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44.1–45.6</w:t>
            </w:r>
          </w:p>
        </w:tc>
        <w:tc>
          <w:tcPr>
            <w:tcW w:w="841" w:type="dxa"/>
            <w:tcBorders>
              <w:top w:val="nil"/>
              <w:left w:val="nil"/>
              <w:bottom w:val="single" w:sz="4" w:space="0" w:color="auto"/>
              <w:right w:val="single" w:sz="4" w:space="0" w:color="auto"/>
            </w:tcBorders>
            <w:shd w:val="clear" w:color="auto" w:fill="auto"/>
            <w:noWrap/>
            <w:vAlign w:val="center"/>
          </w:tcPr>
          <w:p w14:paraId="0F9158DD" w14:textId="5EDC714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15.6</w:t>
            </w:r>
          </w:p>
        </w:tc>
        <w:tc>
          <w:tcPr>
            <w:tcW w:w="1126" w:type="dxa"/>
            <w:tcBorders>
              <w:top w:val="nil"/>
              <w:left w:val="nil"/>
              <w:bottom w:val="single" w:sz="4" w:space="0" w:color="auto"/>
              <w:right w:val="single" w:sz="4" w:space="0" w:color="auto"/>
            </w:tcBorders>
            <w:shd w:val="clear" w:color="auto" w:fill="auto"/>
            <w:noWrap/>
            <w:vAlign w:val="center"/>
          </w:tcPr>
          <w:p w14:paraId="560ADB85" w14:textId="6087D15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9.8</w:t>
            </w:r>
          </w:p>
        </w:tc>
        <w:tc>
          <w:tcPr>
            <w:tcW w:w="696" w:type="dxa"/>
            <w:tcBorders>
              <w:top w:val="nil"/>
              <w:left w:val="nil"/>
              <w:bottom w:val="single" w:sz="4" w:space="0" w:color="auto"/>
              <w:right w:val="single" w:sz="4" w:space="0" w:color="auto"/>
            </w:tcBorders>
            <w:shd w:val="clear" w:color="auto" w:fill="auto"/>
            <w:vAlign w:val="center"/>
          </w:tcPr>
          <w:p w14:paraId="799450DC" w14:textId="590B0B9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94.5</w:t>
            </w:r>
          </w:p>
        </w:tc>
        <w:tc>
          <w:tcPr>
            <w:tcW w:w="1295" w:type="dxa"/>
            <w:tcBorders>
              <w:top w:val="nil"/>
              <w:left w:val="nil"/>
              <w:bottom w:val="single" w:sz="4" w:space="0" w:color="auto"/>
              <w:right w:val="single" w:sz="4" w:space="0" w:color="auto"/>
            </w:tcBorders>
            <w:shd w:val="clear" w:color="auto" w:fill="auto"/>
            <w:noWrap/>
            <w:vAlign w:val="center"/>
          </w:tcPr>
          <w:p w14:paraId="49EEF611" w14:textId="0F95CAB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41.8</w:t>
            </w:r>
          </w:p>
        </w:tc>
        <w:tc>
          <w:tcPr>
            <w:tcW w:w="1173" w:type="dxa"/>
            <w:tcBorders>
              <w:top w:val="nil"/>
              <w:left w:val="nil"/>
              <w:bottom w:val="single" w:sz="4" w:space="0" w:color="auto"/>
              <w:right w:val="single" w:sz="4" w:space="0" w:color="auto"/>
            </w:tcBorders>
            <w:shd w:val="clear" w:color="auto" w:fill="auto"/>
            <w:noWrap/>
            <w:vAlign w:val="center"/>
          </w:tcPr>
          <w:p w14:paraId="6F62C49D" w14:textId="5E99347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w:t>
            </w:r>
          </w:p>
        </w:tc>
      </w:tr>
      <w:tr w:rsidR="005A3FC1" w:rsidRPr="00646B6F" w14:paraId="6898B143"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A46B749" w14:textId="4D34304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000000" w:fill="E7E6E6"/>
            <w:noWrap/>
            <w:vAlign w:val="center"/>
          </w:tcPr>
          <w:p w14:paraId="05F2710C" w14:textId="45DE3401"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988" w:type="dxa"/>
            <w:tcBorders>
              <w:top w:val="nil"/>
              <w:left w:val="nil"/>
              <w:bottom w:val="single" w:sz="4" w:space="0" w:color="auto"/>
              <w:right w:val="single" w:sz="4" w:space="0" w:color="auto"/>
            </w:tcBorders>
            <w:shd w:val="clear" w:color="000000" w:fill="E7E6E6"/>
            <w:vAlign w:val="center"/>
          </w:tcPr>
          <w:p w14:paraId="40E780D9" w14:textId="1323B3F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0C46D41C" w14:textId="6AAB6D4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42.5–44.0</w:t>
            </w:r>
          </w:p>
        </w:tc>
        <w:tc>
          <w:tcPr>
            <w:tcW w:w="841" w:type="dxa"/>
            <w:tcBorders>
              <w:top w:val="nil"/>
              <w:left w:val="nil"/>
              <w:bottom w:val="single" w:sz="4" w:space="0" w:color="auto"/>
              <w:right w:val="single" w:sz="4" w:space="0" w:color="auto"/>
            </w:tcBorders>
            <w:shd w:val="clear" w:color="000000" w:fill="E7E6E6"/>
            <w:noWrap/>
            <w:vAlign w:val="center"/>
          </w:tcPr>
          <w:p w14:paraId="1443F065" w14:textId="306A7BA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26.5</w:t>
            </w:r>
          </w:p>
        </w:tc>
        <w:tc>
          <w:tcPr>
            <w:tcW w:w="1126" w:type="dxa"/>
            <w:tcBorders>
              <w:top w:val="nil"/>
              <w:left w:val="nil"/>
              <w:bottom w:val="single" w:sz="4" w:space="0" w:color="auto"/>
              <w:right w:val="single" w:sz="4" w:space="0" w:color="auto"/>
            </w:tcBorders>
            <w:shd w:val="clear" w:color="000000" w:fill="E7E6E6"/>
            <w:noWrap/>
            <w:vAlign w:val="center"/>
          </w:tcPr>
          <w:p w14:paraId="0D6A0B57" w14:textId="189E7C9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28.1</w:t>
            </w:r>
          </w:p>
        </w:tc>
        <w:tc>
          <w:tcPr>
            <w:tcW w:w="696" w:type="dxa"/>
            <w:tcBorders>
              <w:top w:val="nil"/>
              <w:left w:val="nil"/>
              <w:bottom w:val="single" w:sz="4" w:space="0" w:color="auto"/>
              <w:right w:val="single" w:sz="4" w:space="0" w:color="auto"/>
            </w:tcBorders>
            <w:shd w:val="clear" w:color="000000" w:fill="E7E6E6"/>
            <w:vAlign w:val="center"/>
          </w:tcPr>
          <w:p w14:paraId="3841C85F" w14:textId="0C20E1B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66.2</w:t>
            </w:r>
          </w:p>
        </w:tc>
        <w:tc>
          <w:tcPr>
            <w:tcW w:w="1295" w:type="dxa"/>
            <w:tcBorders>
              <w:top w:val="nil"/>
              <w:left w:val="nil"/>
              <w:bottom w:val="single" w:sz="4" w:space="0" w:color="auto"/>
              <w:right w:val="single" w:sz="4" w:space="0" w:color="auto"/>
            </w:tcBorders>
            <w:shd w:val="clear" w:color="000000" w:fill="E7E6E6"/>
            <w:noWrap/>
            <w:vAlign w:val="center"/>
          </w:tcPr>
          <w:p w14:paraId="4EB0AE17" w14:textId="18448D0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48.1</w:t>
            </w:r>
          </w:p>
        </w:tc>
        <w:tc>
          <w:tcPr>
            <w:tcW w:w="1173" w:type="dxa"/>
            <w:tcBorders>
              <w:top w:val="nil"/>
              <w:left w:val="nil"/>
              <w:bottom w:val="single" w:sz="4" w:space="0" w:color="auto"/>
              <w:right w:val="single" w:sz="4" w:space="0" w:color="auto"/>
            </w:tcBorders>
            <w:shd w:val="clear" w:color="000000" w:fill="E7E6E6"/>
            <w:noWrap/>
            <w:vAlign w:val="center"/>
          </w:tcPr>
          <w:p w14:paraId="6B13906E" w14:textId="62285FD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53.2</w:t>
            </w:r>
          </w:p>
        </w:tc>
      </w:tr>
      <w:tr w:rsidR="005A3FC1" w:rsidRPr="00646B6F" w14:paraId="014F7EC1"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4D5475C" w14:textId="099923C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auto" w:fill="auto"/>
            <w:noWrap/>
            <w:vAlign w:val="center"/>
          </w:tcPr>
          <w:p w14:paraId="451F5D1A" w14:textId="04983C3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988" w:type="dxa"/>
            <w:tcBorders>
              <w:top w:val="nil"/>
              <w:left w:val="nil"/>
              <w:bottom w:val="single" w:sz="4" w:space="0" w:color="auto"/>
              <w:right w:val="single" w:sz="4" w:space="0" w:color="auto"/>
            </w:tcBorders>
            <w:shd w:val="clear" w:color="auto" w:fill="auto"/>
            <w:vAlign w:val="center"/>
          </w:tcPr>
          <w:p w14:paraId="5F438FA0" w14:textId="79A552C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3DE9DD85" w14:textId="7D8E5F0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40.3–42.4</w:t>
            </w:r>
          </w:p>
        </w:tc>
        <w:tc>
          <w:tcPr>
            <w:tcW w:w="841" w:type="dxa"/>
            <w:tcBorders>
              <w:top w:val="nil"/>
              <w:left w:val="nil"/>
              <w:bottom w:val="single" w:sz="4" w:space="0" w:color="auto"/>
              <w:right w:val="single" w:sz="4" w:space="0" w:color="auto"/>
            </w:tcBorders>
            <w:shd w:val="clear" w:color="auto" w:fill="auto"/>
            <w:noWrap/>
            <w:vAlign w:val="center"/>
          </w:tcPr>
          <w:p w14:paraId="4FE3FC79" w14:textId="05A9CB8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30.3</w:t>
            </w:r>
          </w:p>
        </w:tc>
        <w:tc>
          <w:tcPr>
            <w:tcW w:w="1126" w:type="dxa"/>
            <w:tcBorders>
              <w:top w:val="nil"/>
              <w:left w:val="nil"/>
              <w:bottom w:val="single" w:sz="4" w:space="0" w:color="auto"/>
              <w:right w:val="single" w:sz="4" w:space="0" w:color="auto"/>
            </w:tcBorders>
            <w:shd w:val="clear" w:color="auto" w:fill="auto"/>
            <w:noWrap/>
            <w:vAlign w:val="center"/>
          </w:tcPr>
          <w:p w14:paraId="7859A0E5" w14:textId="78784DA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28.4</w:t>
            </w:r>
          </w:p>
        </w:tc>
        <w:tc>
          <w:tcPr>
            <w:tcW w:w="696" w:type="dxa"/>
            <w:tcBorders>
              <w:top w:val="nil"/>
              <w:left w:val="nil"/>
              <w:bottom w:val="single" w:sz="4" w:space="0" w:color="auto"/>
              <w:right w:val="single" w:sz="4" w:space="0" w:color="auto"/>
            </w:tcBorders>
            <w:shd w:val="clear" w:color="auto" w:fill="auto"/>
            <w:vAlign w:val="center"/>
          </w:tcPr>
          <w:p w14:paraId="217E6376" w14:textId="6C543C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60.1</w:t>
            </w:r>
          </w:p>
        </w:tc>
        <w:tc>
          <w:tcPr>
            <w:tcW w:w="1295" w:type="dxa"/>
            <w:tcBorders>
              <w:top w:val="nil"/>
              <w:left w:val="nil"/>
              <w:bottom w:val="single" w:sz="4" w:space="0" w:color="auto"/>
              <w:right w:val="single" w:sz="4" w:space="0" w:color="auto"/>
            </w:tcBorders>
            <w:shd w:val="clear" w:color="auto" w:fill="auto"/>
            <w:noWrap/>
            <w:vAlign w:val="center"/>
          </w:tcPr>
          <w:p w14:paraId="08BA597F" w14:textId="1D057F0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42.6</w:t>
            </w:r>
          </w:p>
        </w:tc>
        <w:tc>
          <w:tcPr>
            <w:tcW w:w="1173" w:type="dxa"/>
            <w:tcBorders>
              <w:top w:val="nil"/>
              <w:left w:val="nil"/>
              <w:bottom w:val="single" w:sz="4" w:space="0" w:color="auto"/>
              <w:right w:val="single" w:sz="4" w:space="0" w:color="auto"/>
            </w:tcBorders>
            <w:shd w:val="clear" w:color="auto" w:fill="auto"/>
            <w:noWrap/>
            <w:vAlign w:val="center"/>
          </w:tcPr>
          <w:p w14:paraId="70081661" w14:textId="1CC6939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48.7</w:t>
            </w:r>
          </w:p>
        </w:tc>
      </w:tr>
      <w:tr w:rsidR="005A3FC1" w:rsidRPr="00646B6F" w14:paraId="52DFEC2E"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1BE5ACC" w14:textId="08AB89B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000000" w:fill="E7E6E6"/>
            <w:noWrap/>
            <w:vAlign w:val="center"/>
          </w:tcPr>
          <w:p w14:paraId="5EAE3626" w14:textId="41EEB07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Costa Rica</w:t>
            </w:r>
          </w:p>
        </w:tc>
        <w:tc>
          <w:tcPr>
            <w:tcW w:w="988" w:type="dxa"/>
            <w:tcBorders>
              <w:top w:val="nil"/>
              <w:left w:val="nil"/>
              <w:bottom w:val="single" w:sz="4" w:space="0" w:color="auto"/>
              <w:right w:val="single" w:sz="4" w:space="0" w:color="auto"/>
            </w:tcBorders>
            <w:shd w:val="clear" w:color="000000" w:fill="E7E6E6"/>
            <w:vAlign w:val="center"/>
          </w:tcPr>
          <w:p w14:paraId="5C6046A4" w14:textId="4A96801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Costa Rica</w:t>
            </w:r>
          </w:p>
        </w:tc>
        <w:tc>
          <w:tcPr>
            <w:tcW w:w="1044" w:type="dxa"/>
            <w:tcBorders>
              <w:top w:val="nil"/>
              <w:left w:val="nil"/>
              <w:bottom w:val="single" w:sz="4" w:space="0" w:color="auto"/>
              <w:right w:val="single" w:sz="4" w:space="0" w:color="auto"/>
            </w:tcBorders>
            <w:shd w:val="clear" w:color="000000" w:fill="E7E6E6"/>
            <w:noWrap/>
            <w:vAlign w:val="center"/>
          </w:tcPr>
          <w:p w14:paraId="7482DE90" w14:textId="2BEC4D7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40.3–42.4</w:t>
            </w:r>
          </w:p>
        </w:tc>
        <w:tc>
          <w:tcPr>
            <w:tcW w:w="841" w:type="dxa"/>
            <w:tcBorders>
              <w:top w:val="nil"/>
              <w:left w:val="nil"/>
              <w:bottom w:val="single" w:sz="4" w:space="0" w:color="auto"/>
              <w:right w:val="single" w:sz="4" w:space="0" w:color="auto"/>
            </w:tcBorders>
            <w:shd w:val="clear" w:color="000000" w:fill="E7E6E6"/>
            <w:noWrap/>
            <w:vAlign w:val="center"/>
          </w:tcPr>
          <w:p w14:paraId="5BA1241C" w14:textId="77B6123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12.6</w:t>
            </w:r>
          </w:p>
        </w:tc>
        <w:tc>
          <w:tcPr>
            <w:tcW w:w="1126" w:type="dxa"/>
            <w:tcBorders>
              <w:top w:val="nil"/>
              <w:left w:val="nil"/>
              <w:bottom w:val="single" w:sz="4" w:space="0" w:color="auto"/>
              <w:right w:val="single" w:sz="4" w:space="0" w:color="auto"/>
            </w:tcBorders>
            <w:shd w:val="clear" w:color="000000" w:fill="E7E6E6"/>
            <w:noWrap/>
            <w:vAlign w:val="center"/>
          </w:tcPr>
          <w:p w14:paraId="4FF3324B" w14:textId="0FF3179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8.1</w:t>
            </w:r>
          </w:p>
        </w:tc>
        <w:tc>
          <w:tcPr>
            <w:tcW w:w="696" w:type="dxa"/>
            <w:tcBorders>
              <w:top w:val="nil"/>
              <w:left w:val="nil"/>
              <w:bottom w:val="single" w:sz="4" w:space="0" w:color="auto"/>
              <w:right w:val="single" w:sz="4" w:space="0" w:color="auto"/>
            </w:tcBorders>
            <w:shd w:val="clear" w:color="000000" w:fill="E7E6E6"/>
            <w:vAlign w:val="center"/>
          </w:tcPr>
          <w:p w14:paraId="3FDD4535" w14:textId="77E7030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90.2</w:t>
            </w:r>
          </w:p>
        </w:tc>
        <w:tc>
          <w:tcPr>
            <w:tcW w:w="1295" w:type="dxa"/>
            <w:tcBorders>
              <w:top w:val="nil"/>
              <w:left w:val="nil"/>
              <w:bottom w:val="single" w:sz="4" w:space="0" w:color="auto"/>
              <w:right w:val="single" w:sz="4" w:space="0" w:color="auto"/>
            </w:tcBorders>
            <w:shd w:val="clear" w:color="000000" w:fill="E7E6E6"/>
            <w:noWrap/>
            <w:vAlign w:val="center"/>
          </w:tcPr>
          <w:p w14:paraId="26B4D38E" w14:textId="64C0939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41.2</w:t>
            </w:r>
          </w:p>
        </w:tc>
        <w:tc>
          <w:tcPr>
            <w:tcW w:w="1173" w:type="dxa"/>
            <w:tcBorders>
              <w:top w:val="nil"/>
              <w:left w:val="nil"/>
              <w:bottom w:val="single" w:sz="4" w:space="0" w:color="auto"/>
              <w:right w:val="single" w:sz="4" w:space="0" w:color="auto"/>
            </w:tcBorders>
            <w:shd w:val="clear" w:color="000000" w:fill="E7E6E6"/>
            <w:noWrap/>
            <w:vAlign w:val="center"/>
          </w:tcPr>
          <w:p w14:paraId="0224A523" w14:textId="5BA6033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49.9</w:t>
            </w:r>
          </w:p>
        </w:tc>
      </w:tr>
      <w:tr w:rsidR="005A3FC1" w:rsidRPr="00646B6F" w14:paraId="737CCF7D"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37490F4" w14:textId="62C9EA7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auto" w:fill="auto"/>
            <w:noWrap/>
            <w:vAlign w:val="center"/>
          </w:tcPr>
          <w:p w14:paraId="59E9D53A" w14:textId="34A0601A"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Navarra</w:t>
            </w:r>
          </w:p>
        </w:tc>
        <w:tc>
          <w:tcPr>
            <w:tcW w:w="988" w:type="dxa"/>
            <w:tcBorders>
              <w:top w:val="nil"/>
              <w:left w:val="nil"/>
              <w:bottom w:val="single" w:sz="4" w:space="0" w:color="auto"/>
              <w:right w:val="single" w:sz="4" w:space="0" w:color="auto"/>
            </w:tcBorders>
            <w:shd w:val="clear" w:color="auto" w:fill="auto"/>
            <w:vAlign w:val="center"/>
          </w:tcPr>
          <w:p w14:paraId="7AA6042F" w14:textId="4289A54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DFB716A" w14:textId="53BDAD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40.3–42.4</w:t>
            </w:r>
          </w:p>
        </w:tc>
        <w:tc>
          <w:tcPr>
            <w:tcW w:w="841" w:type="dxa"/>
            <w:tcBorders>
              <w:top w:val="nil"/>
              <w:left w:val="nil"/>
              <w:bottom w:val="single" w:sz="4" w:space="0" w:color="auto"/>
              <w:right w:val="single" w:sz="4" w:space="0" w:color="auto"/>
            </w:tcBorders>
            <w:shd w:val="clear" w:color="auto" w:fill="auto"/>
            <w:noWrap/>
            <w:vAlign w:val="center"/>
          </w:tcPr>
          <w:p w14:paraId="423AD08A" w14:textId="738D36C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23.4</w:t>
            </w:r>
          </w:p>
        </w:tc>
        <w:tc>
          <w:tcPr>
            <w:tcW w:w="1126" w:type="dxa"/>
            <w:tcBorders>
              <w:top w:val="nil"/>
              <w:left w:val="nil"/>
              <w:bottom w:val="single" w:sz="4" w:space="0" w:color="auto"/>
              <w:right w:val="single" w:sz="4" w:space="0" w:color="auto"/>
            </w:tcBorders>
            <w:shd w:val="clear" w:color="auto" w:fill="auto"/>
            <w:noWrap/>
            <w:vAlign w:val="center"/>
          </w:tcPr>
          <w:p w14:paraId="655F2096" w14:textId="2584408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22.2</w:t>
            </w:r>
          </w:p>
        </w:tc>
        <w:tc>
          <w:tcPr>
            <w:tcW w:w="696" w:type="dxa"/>
            <w:tcBorders>
              <w:top w:val="nil"/>
              <w:left w:val="nil"/>
              <w:bottom w:val="single" w:sz="4" w:space="0" w:color="auto"/>
              <w:right w:val="single" w:sz="4" w:space="0" w:color="auto"/>
            </w:tcBorders>
            <w:shd w:val="clear" w:color="auto" w:fill="auto"/>
            <w:vAlign w:val="center"/>
          </w:tcPr>
          <w:p w14:paraId="0D720E43" w14:textId="4901C74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64.9</w:t>
            </w:r>
          </w:p>
        </w:tc>
        <w:tc>
          <w:tcPr>
            <w:tcW w:w="1295" w:type="dxa"/>
            <w:tcBorders>
              <w:top w:val="nil"/>
              <w:left w:val="nil"/>
              <w:bottom w:val="single" w:sz="4" w:space="0" w:color="auto"/>
              <w:right w:val="single" w:sz="4" w:space="0" w:color="auto"/>
            </w:tcBorders>
            <w:shd w:val="clear" w:color="auto" w:fill="auto"/>
            <w:noWrap/>
            <w:vAlign w:val="center"/>
          </w:tcPr>
          <w:p w14:paraId="6B99C5CD" w14:textId="396CC49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67</w:t>
            </w:r>
          </w:p>
        </w:tc>
        <w:tc>
          <w:tcPr>
            <w:tcW w:w="1173" w:type="dxa"/>
            <w:tcBorders>
              <w:top w:val="nil"/>
              <w:left w:val="nil"/>
              <w:bottom w:val="single" w:sz="4" w:space="0" w:color="auto"/>
              <w:right w:val="single" w:sz="4" w:space="0" w:color="auto"/>
            </w:tcBorders>
            <w:shd w:val="clear" w:color="auto" w:fill="auto"/>
            <w:noWrap/>
            <w:vAlign w:val="center"/>
          </w:tcPr>
          <w:p w14:paraId="054642C9" w14:textId="5763B55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46.3</w:t>
            </w:r>
          </w:p>
        </w:tc>
      </w:tr>
      <w:tr w:rsidR="005A3FC1" w:rsidRPr="00646B6F" w14:paraId="58F85266"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630F0A3" w14:textId="6A13D15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52" w:type="dxa"/>
            <w:tcBorders>
              <w:top w:val="nil"/>
              <w:left w:val="nil"/>
              <w:bottom w:val="single" w:sz="4" w:space="0" w:color="auto"/>
              <w:right w:val="single" w:sz="4" w:space="0" w:color="auto"/>
            </w:tcBorders>
            <w:shd w:val="clear" w:color="000000" w:fill="E7E6E6"/>
            <w:noWrap/>
            <w:vAlign w:val="center"/>
          </w:tcPr>
          <w:p w14:paraId="6E8C6B5D" w14:textId="534DC2A7"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Nueva de Lisboa</w:t>
            </w:r>
          </w:p>
        </w:tc>
        <w:tc>
          <w:tcPr>
            <w:tcW w:w="988" w:type="dxa"/>
            <w:tcBorders>
              <w:top w:val="nil"/>
              <w:left w:val="nil"/>
              <w:bottom w:val="single" w:sz="4" w:space="0" w:color="auto"/>
              <w:right w:val="single" w:sz="4" w:space="0" w:color="auto"/>
            </w:tcBorders>
            <w:shd w:val="clear" w:color="000000" w:fill="E7E6E6"/>
            <w:vAlign w:val="center"/>
          </w:tcPr>
          <w:p w14:paraId="1BFFB9EF" w14:textId="23E0309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3C8CD613" w14:textId="6028A4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40.3–42.4</w:t>
            </w:r>
          </w:p>
        </w:tc>
        <w:tc>
          <w:tcPr>
            <w:tcW w:w="841" w:type="dxa"/>
            <w:tcBorders>
              <w:top w:val="nil"/>
              <w:left w:val="nil"/>
              <w:bottom w:val="single" w:sz="4" w:space="0" w:color="auto"/>
              <w:right w:val="single" w:sz="4" w:space="0" w:color="auto"/>
            </w:tcBorders>
            <w:shd w:val="clear" w:color="000000" w:fill="E7E6E6"/>
            <w:noWrap/>
            <w:vAlign w:val="center"/>
          </w:tcPr>
          <w:p w14:paraId="01FD5EFD" w14:textId="462669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16.4</w:t>
            </w:r>
          </w:p>
        </w:tc>
        <w:tc>
          <w:tcPr>
            <w:tcW w:w="1126" w:type="dxa"/>
            <w:tcBorders>
              <w:top w:val="nil"/>
              <w:left w:val="nil"/>
              <w:bottom w:val="single" w:sz="4" w:space="0" w:color="auto"/>
              <w:right w:val="single" w:sz="4" w:space="0" w:color="auto"/>
            </w:tcBorders>
            <w:shd w:val="clear" w:color="000000" w:fill="E7E6E6"/>
            <w:noWrap/>
            <w:vAlign w:val="center"/>
          </w:tcPr>
          <w:p w14:paraId="7031B958" w14:textId="1D872D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16.5</w:t>
            </w:r>
          </w:p>
        </w:tc>
        <w:tc>
          <w:tcPr>
            <w:tcW w:w="696" w:type="dxa"/>
            <w:tcBorders>
              <w:top w:val="nil"/>
              <w:left w:val="nil"/>
              <w:bottom w:val="single" w:sz="4" w:space="0" w:color="auto"/>
              <w:right w:val="single" w:sz="4" w:space="0" w:color="auto"/>
            </w:tcBorders>
            <w:shd w:val="clear" w:color="000000" w:fill="E7E6E6"/>
            <w:vAlign w:val="center"/>
          </w:tcPr>
          <w:p w14:paraId="3EA04FF8" w14:textId="5F6A490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74.8</w:t>
            </w:r>
          </w:p>
        </w:tc>
        <w:tc>
          <w:tcPr>
            <w:tcW w:w="1295" w:type="dxa"/>
            <w:tcBorders>
              <w:top w:val="nil"/>
              <w:left w:val="nil"/>
              <w:bottom w:val="single" w:sz="4" w:space="0" w:color="auto"/>
              <w:right w:val="single" w:sz="4" w:space="0" w:color="auto"/>
            </w:tcBorders>
            <w:shd w:val="clear" w:color="000000" w:fill="E7E6E6"/>
            <w:noWrap/>
            <w:vAlign w:val="center"/>
          </w:tcPr>
          <w:p w14:paraId="2728B656" w14:textId="4F7DA9A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43.2</w:t>
            </w:r>
          </w:p>
        </w:tc>
        <w:tc>
          <w:tcPr>
            <w:tcW w:w="1173" w:type="dxa"/>
            <w:tcBorders>
              <w:top w:val="nil"/>
              <w:left w:val="nil"/>
              <w:bottom w:val="single" w:sz="4" w:space="0" w:color="auto"/>
              <w:right w:val="single" w:sz="4" w:space="0" w:color="auto"/>
            </w:tcBorders>
            <w:shd w:val="clear" w:color="000000" w:fill="E7E6E6"/>
            <w:noWrap/>
            <w:vAlign w:val="center"/>
          </w:tcPr>
          <w:p w14:paraId="5FE7C187" w14:textId="7D668F4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57.5</w:t>
            </w:r>
          </w:p>
        </w:tc>
      </w:tr>
      <w:tr w:rsidR="00F22221" w:rsidRPr="00F46F74" w14:paraId="65A8677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97E04A5" w14:textId="506BBAB3"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501–600</w:t>
            </w:r>
          </w:p>
        </w:tc>
        <w:tc>
          <w:tcPr>
            <w:tcW w:w="3452" w:type="dxa"/>
            <w:tcBorders>
              <w:top w:val="nil"/>
              <w:left w:val="nil"/>
              <w:bottom w:val="single" w:sz="4" w:space="0" w:color="auto"/>
              <w:right w:val="single" w:sz="4" w:space="0" w:color="auto"/>
            </w:tcBorders>
            <w:shd w:val="clear" w:color="auto" w:fill="auto"/>
            <w:noWrap/>
            <w:vAlign w:val="center"/>
          </w:tcPr>
          <w:p w14:paraId="028515DF" w14:textId="4FE633C7" w:rsidR="00F22221" w:rsidRPr="00F27222" w:rsidRDefault="00F2222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988" w:type="dxa"/>
            <w:tcBorders>
              <w:top w:val="nil"/>
              <w:left w:val="nil"/>
              <w:bottom w:val="single" w:sz="4" w:space="0" w:color="auto"/>
              <w:right w:val="single" w:sz="4" w:space="0" w:color="auto"/>
            </w:tcBorders>
            <w:shd w:val="clear" w:color="auto" w:fill="auto"/>
            <w:vAlign w:val="center"/>
          </w:tcPr>
          <w:p w14:paraId="46A4BD04" w14:textId="4D5D2F76"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38F4145A" w14:textId="0AF2975D"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27.8–30.4</w:t>
            </w:r>
          </w:p>
        </w:tc>
        <w:tc>
          <w:tcPr>
            <w:tcW w:w="841" w:type="dxa"/>
            <w:tcBorders>
              <w:top w:val="nil"/>
              <w:left w:val="nil"/>
              <w:bottom w:val="single" w:sz="4" w:space="0" w:color="auto"/>
              <w:right w:val="single" w:sz="4" w:space="0" w:color="auto"/>
            </w:tcBorders>
            <w:shd w:val="clear" w:color="auto" w:fill="auto"/>
            <w:noWrap/>
            <w:vAlign w:val="center"/>
          </w:tcPr>
          <w:p w14:paraId="06BD9FA2" w14:textId="17A587EE"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27.6</w:t>
            </w:r>
          </w:p>
        </w:tc>
        <w:tc>
          <w:tcPr>
            <w:tcW w:w="1126" w:type="dxa"/>
            <w:tcBorders>
              <w:top w:val="nil"/>
              <w:left w:val="nil"/>
              <w:bottom w:val="single" w:sz="4" w:space="0" w:color="auto"/>
              <w:right w:val="single" w:sz="4" w:space="0" w:color="auto"/>
            </w:tcBorders>
            <w:shd w:val="clear" w:color="auto" w:fill="auto"/>
            <w:noWrap/>
            <w:vAlign w:val="center"/>
          </w:tcPr>
          <w:p w14:paraId="33A1C2A6" w14:textId="445C7154"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22.1</w:t>
            </w:r>
          </w:p>
        </w:tc>
        <w:tc>
          <w:tcPr>
            <w:tcW w:w="696" w:type="dxa"/>
            <w:tcBorders>
              <w:top w:val="nil"/>
              <w:left w:val="nil"/>
              <w:bottom w:val="single" w:sz="4" w:space="0" w:color="auto"/>
              <w:right w:val="single" w:sz="4" w:space="0" w:color="auto"/>
            </w:tcBorders>
            <w:shd w:val="clear" w:color="auto" w:fill="auto"/>
            <w:vAlign w:val="center"/>
          </w:tcPr>
          <w:p w14:paraId="5FB52801" w14:textId="2974826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34.8</w:t>
            </w:r>
          </w:p>
        </w:tc>
        <w:tc>
          <w:tcPr>
            <w:tcW w:w="1295" w:type="dxa"/>
            <w:tcBorders>
              <w:top w:val="nil"/>
              <w:left w:val="nil"/>
              <w:bottom w:val="single" w:sz="4" w:space="0" w:color="auto"/>
              <w:right w:val="single" w:sz="4" w:space="0" w:color="auto"/>
            </w:tcBorders>
            <w:shd w:val="clear" w:color="auto" w:fill="auto"/>
            <w:noWrap/>
            <w:vAlign w:val="center"/>
          </w:tcPr>
          <w:p w14:paraId="43CC9610" w14:textId="75BA751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43.6</w:t>
            </w:r>
          </w:p>
        </w:tc>
        <w:tc>
          <w:tcPr>
            <w:tcW w:w="1173" w:type="dxa"/>
            <w:tcBorders>
              <w:top w:val="nil"/>
              <w:left w:val="nil"/>
              <w:bottom w:val="single" w:sz="4" w:space="0" w:color="auto"/>
              <w:right w:val="single" w:sz="4" w:space="0" w:color="auto"/>
            </w:tcBorders>
            <w:shd w:val="clear" w:color="auto" w:fill="auto"/>
            <w:noWrap/>
            <w:vAlign w:val="center"/>
          </w:tcPr>
          <w:p w14:paraId="1AA5CCA4" w14:textId="0D29DF0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34.8</w:t>
            </w:r>
          </w:p>
        </w:tc>
      </w:tr>
    </w:tbl>
    <w:p w14:paraId="342C0456" w14:textId="17AF17E8" w:rsidR="001B5079" w:rsidRPr="00646B6F" w:rsidRDefault="001B5079" w:rsidP="0078703F">
      <w:pPr>
        <w:spacing w:line="240" w:lineRule="auto"/>
      </w:pPr>
    </w:p>
    <w:tbl>
      <w:tblPr>
        <w:tblW w:w="11427" w:type="dxa"/>
        <w:jc w:val="center"/>
        <w:tblCellMar>
          <w:left w:w="70" w:type="dxa"/>
          <w:right w:w="70" w:type="dxa"/>
        </w:tblCellMar>
        <w:tblLook w:val="04A0" w:firstRow="1" w:lastRow="0" w:firstColumn="1" w:lastColumn="0" w:noHBand="0" w:noVBand="1"/>
      </w:tblPr>
      <w:tblGrid>
        <w:gridCol w:w="801"/>
        <w:gridCol w:w="3452"/>
        <w:gridCol w:w="896"/>
        <w:gridCol w:w="1044"/>
        <w:gridCol w:w="841"/>
        <w:gridCol w:w="1126"/>
        <w:gridCol w:w="788"/>
        <w:gridCol w:w="1295"/>
        <w:gridCol w:w="1173"/>
        <w:gridCol w:w="11"/>
      </w:tblGrid>
      <w:tr w:rsidR="001B5079" w:rsidRPr="00646B6F" w14:paraId="471754E1" w14:textId="77777777" w:rsidTr="00F27222">
        <w:trPr>
          <w:trHeight w:val="298"/>
          <w:jc w:val="center"/>
        </w:trPr>
        <w:tc>
          <w:tcPr>
            <w:tcW w:w="11427" w:type="dxa"/>
            <w:gridSpan w:val="10"/>
            <w:tcBorders>
              <w:top w:val="nil"/>
              <w:left w:val="nil"/>
              <w:bottom w:val="single" w:sz="4" w:space="0" w:color="auto"/>
              <w:right w:val="nil"/>
            </w:tcBorders>
            <w:shd w:val="clear" w:color="auto" w:fill="auto"/>
            <w:vAlign w:val="center"/>
            <w:hideMark/>
          </w:tcPr>
          <w:p w14:paraId="10DE9C1A" w14:textId="77777777" w:rsidR="001B5079" w:rsidRPr="00646B6F" w:rsidRDefault="001B5079" w:rsidP="002708D4">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9. Posición de las universidades iberoamericanas en el TOP 10 del ranking THE en el área de Ciencias de la Computación, 2021.</w:t>
            </w:r>
          </w:p>
        </w:tc>
      </w:tr>
      <w:tr w:rsidR="001B5079" w:rsidRPr="00646B6F" w14:paraId="5973A1F1" w14:textId="77777777" w:rsidTr="00F27222">
        <w:trPr>
          <w:gridAfter w:val="1"/>
          <w:wAfter w:w="11" w:type="dxa"/>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652027DC"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auto" w:fill="BDD6EE" w:themeFill="accent1" w:themeFillTint="66"/>
            <w:vAlign w:val="center"/>
            <w:hideMark/>
          </w:tcPr>
          <w:p w14:paraId="1DA600E2"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047CAF67"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3E61B8F7"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4601BE90"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4BF86431"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13288964"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152B6FC9"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3E6C3D2C"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1271BBFE"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418760A" w14:textId="3688CCA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2" w:type="dxa"/>
            <w:tcBorders>
              <w:top w:val="nil"/>
              <w:left w:val="nil"/>
              <w:bottom w:val="single" w:sz="4" w:space="0" w:color="auto"/>
              <w:right w:val="single" w:sz="4" w:space="0" w:color="auto"/>
            </w:tcBorders>
            <w:shd w:val="clear" w:color="auto" w:fill="auto"/>
            <w:noWrap/>
            <w:vAlign w:val="center"/>
          </w:tcPr>
          <w:p w14:paraId="79752F27" w14:textId="0CA4FFFE"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Granada</w:t>
            </w:r>
          </w:p>
        </w:tc>
        <w:tc>
          <w:tcPr>
            <w:tcW w:w="896" w:type="dxa"/>
            <w:tcBorders>
              <w:top w:val="nil"/>
              <w:left w:val="nil"/>
              <w:bottom w:val="single" w:sz="4" w:space="0" w:color="auto"/>
              <w:right w:val="single" w:sz="4" w:space="0" w:color="auto"/>
            </w:tcBorders>
            <w:shd w:val="clear" w:color="auto" w:fill="auto"/>
            <w:vAlign w:val="center"/>
          </w:tcPr>
          <w:p w14:paraId="1F9EDCFD" w14:textId="0313F42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C908617" w14:textId="7BAA863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37.9–40.0</w:t>
            </w:r>
          </w:p>
        </w:tc>
        <w:tc>
          <w:tcPr>
            <w:tcW w:w="841" w:type="dxa"/>
            <w:tcBorders>
              <w:top w:val="nil"/>
              <w:left w:val="nil"/>
              <w:bottom w:val="single" w:sz="4" w:space="0" w:color="auto"/>
              <w:right w:val="single" w:sz="4" w:space="0" w:color="auto"/>
            </w:tcBorders>
            <w:shd w:val="clear" w:color="auto" w:fill="auto"/>
            <w:noWrap/>
            <w:vAlign w:val="center"/>
          </w:tcPr>
          <w:p w14:paraId="3F74F254" w14:textId="2BD1C1B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w:t>
            </w:r>
          </w:p>
        </w:tc>
        <w:tc>
          <w:tcPr>
            <w:tcW w:w="1126" w:type="dxa"/>
            <w:tcBorders>
              <w:top w:val="nil"/>
              <w:left w:val="nil"/>
              <w:bottom w:val="single" w:sz="4" w:space="0" w:color="auto"/>
              <w:right w:val="single" w:sz="4" w:space="0" w:color="auto"/>
            </w:tcBorders>
            <w:shd w:val="clear" w:color="auto" w:fill="auto"/>
            <w:noWrap/>
            <w:vAlign w:val="center"/>
          </w:tcPr>
          <w:p w14:paraId="04814F6B" w14:textId="38F808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10.6</w:t>
            </w:r>
          </w:p>
        </w:tc>
        <w:tc>
          <w:tcPr>
            <w:tcW w:w="788" w:type="dxa"/>
            <w:tcBorders>
              <w:top w:val="nil"/>
              <w:left w:val="nil"/>
              <w:bottom w:val="single" w:sz="4" w:space="0" w:color="auto"/>
              <w:right w:val="single" w:sz="4" w:space="0" w:color="auto"/>
            </w:tcBorders>
            <w:shd w:val="clear" w:color="auto" w:fill="auto"/>
            <w:vAlign w:val="center"/>
          </w:tcPr>
          <w:p w14:paraId="6FD0799C" w14:textId="23DCAE8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94.5</w:t>
            </w:r>
          </w:p>
        </w:tc>
        <w:tc>
          <w:tcPr>
            <w:tcW w:w="1295" w:type="dxa"/>
            <w:tcBorders>
              <w:top w:val="nil"/>
              <w:left w:val="nil"/>
              <w:bottom w:val="single" w:sz="4" w:space="0" w:color="auto"/>
              <w:right w:val="single" w:sz="4" w:space="0" w:color="auto"/>
            </w:tcBorders>
            <w:shd w:val="clear" w:color="auto" w:fill="auto"/>
            <w:noWrap/>
            <w:vAlign w:val="center"/>
          </w:tcPr>
          <w:p w14:paraId="2BD6494A" w14:textId="26F0965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44.5</w:t>
            </w:r>
          </w:p>
        </w:tc>
        <w:tc>
          <w:tcPr>
            <w:tcW w:w="1173" w:type="dxa"/>
            <w:tcBorders>
              <w:top w:val="nil"/>
              <w:left w:val="nil"/>
              <w:bottom w:val="single" w:sz="4" w:space="0" w:color="auto"/>
              <w:right w:val="single" w:sz="4" w:space="0" w:color="auto"/>
            </w:tcBorders>
            <w:shd w:val="clear" w:color="auto" w:fill="auto"/>
            <w:noWrap/>
            <w:vAlign w:val="center"/>
          </w:tcPr>
          <w:p w14:paraId="56C659D9" w14:textId="50B982F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43.5</w:t>
            </w:r>
          </w:p>
        </w:tc>
      </w:tr>
      <w:tr w:rsidR="005A3FC1" w:rsidRPr="00646B6F" w14:paraId="774A983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045B0CD" w14:textId="588F93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52" w:type="dxa"/>
            <w:tcBorders>
              <w:top w:val="nil"/>
              <w:left w:val="nil"/>
              <w:bottom w:val="single" w:sz="4" w:space="0" w:color="auto"/>
              <w:right w:val="single" w:sz="4" w:space="0" w:color="auto"/>
            </w:tcBorders>
            <w:shd w:val="clear" w:color="000000" w:fill="E7E6E6"/>
            <w:noWrap/>
            <w:vAlign w:val="center"/>
          </w:tcPr>
          <w:p w14:paraId="7C9C84C8" w14:textId="4E32D2E5"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Jaén</w:t>
            </w:r>
          </w:p>
        </w:tc>
        <w:tc>
          <w:tcPr>
            <w:tcW w:w="896" w:type="dxa"/>
            <w:tcBorders>
              <w:top w:val="nil"/>
              <w:left w:val="nil"/>
              <w:bottom w:val="single" w:sz="4" w:space="0" w:color="auto"/>
              <w:right w:val="single" w:sz="4" w:space="0" w:color="auto"/>
            </w:tcBorders>
            <w:shd w:val="clear" w:color="000000" w:fill="E7E6E6"/>
            <w:vAlign w:val="center"/>
          </w:tcPr>
          <w:p w14:paraId="1B9EE478" w14:textId="126CDD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39AF9427" w14:textId="33D87F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37.9–40.0</w:t>
            </w:r>
          </w:p>
        </w:tc>
        <w:tc>
          <w:tcPr>
            <w:tcW w:w="841" w:type="dxa"/>
            <w:tcBorders>
              <w:top w:val="nil"/>
              <w:left w:val="nil"/>
              <w:bottom w:val="single" w:sz="4" w:space="0" w:color="auto"/>
              <w:right w:val="single" w:sz="4" w:space="0" w:color="auto"/>
            </w:tcBorders>
            <w:shd w:val="clear" w:color="000000" w:fill="E7E6E6"/>
            <w:noWrap/>
            <w:vAlign w:val="center"/>
          </w:tcPr>
          <w:p w14:paraId="1FD37DBA" w14:textId="6060508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13.9</w:t>
            </w:r>
          </w:p>
        </w:tc>
        <w:tc>
          <w:tcPr>
            <w:tcW w:w="1126" w:type="dxa"/>
            <w:tcBorders>
              <w:top w:val="nil"/>
              <w:left w:val="nil"/>
              <w:bottom w:val="single" w:sz="4" w:space="0" w:color="auto"/>
              <w:right w:val="single" w:sz="4" w:space="0" w:color="auto"/>
            </w:tcBorders>
            <w:shd w:val="clear" w:color="000000" w:fill="E7E6E6"/>
            <w:noWrap/>
            <w:vAlign w:val="center"/>
          </w:tcPr>
          <w:p w14:paraId="0F8B0F15" w14:textId="7D713BC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8.4</w:t>
            </w:r>
          </w:p>
        </w:tc>
        <w:tc>
          <w:tcPr>
            <w:tcW w:w="788" w:type="dxa"/>
            <w:tcBorders>
              <w:top w:val="nil"/>
              <w:left w:val="nil"/>
              <w:bottom w:val="single" w:sz="4" w:space="0" w:color="auto"/>
              <w:right w:val="single" w:sz="4" w:space="0" w:color="auto"/>
            </w:tcBorders>
            <w:shd w:val="clear" w:color="000000" w:fill="E7E6E6"/>
            <w:vAlign w:val="center"/>
          </w:tcPr>
          <w:p w14:paraId="64CE492E" w14:textId="60532F0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98</w:t>
            </w:r>
          </w:p>
        </w:tc>
        <w:tc>
          <w:tcPr>
            <w:tcW w:w="1295" w:type="dxa"/>
            <w:tcBorders>
              <w:top w:val="nil"/>
              <w:left w:val="nil"/>
              <w:bottom w:val="single" w:sz="4" w:space="0" w:color="auto"/>
              <w:right w:val="single" w:sz="4" w:space="0" w:color="auto"/>
            </w:tcBorders>
            <w:shd w:val="clear" w:color="000000" w:fill="E7E6E6"/>
            <w:noWrap/>
            <w:vAlign w:val="center"/>
          </w:tcPr>
          <w:p w14:paraId="58DA5E86" w14:textId="331CE41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44.2</w:t>
            </w:r>
          </w:p>
        </w:tc>
        <w:tc>
          <w:tcPr>
            <w:tcW w:w="1173" w:type="dxa"/>
            <w:tcBorders>
              <w:top w:val="nil"/>
              <w:left w:val="nil"/>
              <w:bottom w:val="single" w:sz="4" w:space="0" w:color="auto"/>
              <w:right w:val="single" w:sz="4" w:space="0" w:color="auto"/>
            </w:tcBorders>
            <w:shd w:val="clear" w:color="000000" w:fill="E7E6E6"/>
            <w:noWrap/>
            <w:vAlign w:val="center"/>
          </w:tcPr>
          <w:p w14:paraId="4C691B56" w14:textId="0005982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36.3</w:t>
            </w:r>
          </w:p>
        </w:tc>
      </w:tr>
      <w:tr w:rsidR="005A3FC1" w:rsidRPr="00646B6F" w14:paraId="5391041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BE7E5B" w14:textId="15CE3E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3E020CA6" w14:textId="0D70B397"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Católica de Chile</w:t>
            </w:r>
          </w:p>
        </w:tc>
        <w:tc>
          <w:tcPr>
            <w:tcW w:w="896" w:type="dxa"/>
            <w:tcBorders>
              <w:top w:val="nil"/>
              <w:left w:val="nil"/>
              <w:bottom w:val="single" w:sz="4" w:space="0" w:color="auto"/>
              <w:right w:val="single" w:sz="4" w:space="0" w:color="auto"/>
            </w:tcBorders>
            <w:shd w:val="clear" w:color="auto" w:fill="auto"/>
            <w:vAlign w:val="center"/>
          </w:tcPr>
          <w:p w14:paraId="6FAC20DB" w14:textId="06B6BEC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3975689F" w14:textId="37C8FC8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auto" w:fill="auto"/>
            <w:noWrap/>
            <w:vAlign w:val="center"/>
          </w:tcPr>
          <w:p w14:paraId="683B675D" w14:textId="0549226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14.8</w:t>
            </w:r>
          </w:p>
        </w:tc>
        <w:tc>
          <w:tcPr>
            <w:tcW w:w="1126" w:type="dxa"/>
            <w:tcBorders>
              <w:top w:val="nil"/>
              <w:left w:val="nil"/>
              <w:bottom w:val="single" w:sz="4" w:space="0" w:color="auto"/>
              <w:right w:val="single" w:sz="4" w:space="0" w:color="auto"/>
            </w:tcBorders>
            <w:shd w:val="clear" w:color="auto" w:fill="auto"/>
            <w:noWrap/>
            <w:vAlign w:val="center"/>
          </w:tcPr>
          <w:p w14:paraId="49F93F30" w14:textId="50D7AA1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15.5</w:t>
            </w:r>
          </w:p>
        </w:tc>
        <w:tc>
          <w:tcPr>
            <w:tcW w:w="788" w:type="dxa"/>
            <w:tcBorders>
              <w:top w:val="nil"/>
              <w:left w:val="nil"/>
              <w:bottom w:val="single" w:sz="4" w:space="0" w:color="auto"/>
              <w:right w:val="single" w:sz="4" w:space="0" w:color="auto"/>
            </w:tcBorders>
            <w:shd w:val="clear" w:color="auto" w:fill="auto"/>
            <w:vAlign w:val="center"/>
          </w:tcPr>
          <w:p w14:paraId="79F9FD8F" w14:textId="50527E5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80.9</w:t>
            </w:r>
          </w:p>
        </w:tc>
        <w:tc>
          <w:tcPr>
            <w:tcW w:w="1295" w:type="dxa"/>
            <w:tcBorders>
              <w:top w:val="nil"/>
              <w:left w:val="nil"/>
              <w:bottom w:val="single" w:sz="4" w:space="0" w:color="auto"/>
              <w:right w:val="single" w:sz="4" w:space="0" w:color="auto"/>
            </w:tcBorders>
            <w:shd w:val="clear" w:color="auto" w:fill="auto"/>
            <w:noWrap/>
            <w:vAlign w:val="center"/>
          </w:tcPr>
          <w:p w14:paraId="06815116" w14:textId="32AF1F2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45.2</w:t>
            </w:r>
          </w:p>
        </w:tc>
        <w:tc>
          <w:tcPr>
            <w:tcW w:w="1173" w:type="dxa"/>
            <w:tcBorders>
              <w:top w:val="nil"/>
              <w:left w:val="nil"/>
              <w:bottom w:val="single" w:sz="4" w:space="0" w:color="auto"/>
              <w:right w:val="single" w:sz="4" w:space="0" w:color="auto"/>
            </w:tcBorders>
            <w:shd w:val="clear" w:color="auto" w:fill="auto"/>
            <w:noWrap/>
            <w:vAlign w:val="center"/>
          </w:tcPr>
          <w:p w14:paraId="2A106F77" w14:textId="63E14FE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50.5</w:t>
            </w:r>
          </w:p>
        </w:tc>
      </w:tr>
      <w:tr w:rsidR="005A3FC1" w:rsidRPr="00646B6F" w14:paraId="032E9D64"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D56DAB7" w14:textId="495B1B3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0811A20F" w14:textId="31F3DBB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Abierta de Cataluña</w:t>
            </w:r>
          </w:p>
        </w:tc>
        <w:tc>
          <w:tcPr>
            <w:tcW w:w="896" w:type="dxa"/>
            <w:tcBorders>
              <w:top w:val="nil"/>
              <w:left w:val="nil"/>
              <w:bottom w:val="single" w:sz="4" w:space="0" w:color="auto"/>
              <w:right w:val="single" w:sz="4" w:space="0" w:color="auto"/>
            </w:tcBorders>
            <w:shd w:val="clear" w:color="000000" w:fill="E7E6E6"/>
            <w:vAlign w:val="center"/>
          </w:tcPr>
          <w:p w14:paraId="2782CB6E" w14:textId="6F4E7FC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FC2F45B" w14:textId="42B3906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000000" w:fill="E7E6E6"/>
            <w:noWrap/>
            <w:vAlign w:val="center"/>
          </w:tcPr>
          <w:p w14:paraId="55252624" w14:textId="1191B6A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w:t>
            </w:r>
          </w:p>
        </w:tc>
        <w:tc>
          <w:tcPr>
            <w:tcW w:w="1126" w:type="dxa"/>
            <w:tcBorders>
              <w:top w:val="nil"/>
              <w:left w:val="nil"/>
              <w:bottom w:val="single" w:sz="4" w:space="0" w:color="auto"/>
              <w:right w:val="single" w:sz="4" w:space="0" w:color="auto"/>
            </w:tcBorders>
            <w:shd w:val="clear" w:color="000000" w:fill="E7E6E6"/>
            <w:noWrap/>
            <w:vAlign w:val="center"/>
          </w:tcPr>
          <w:p w14:paraId="0D35202D" w14:textId="324CAFA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10.3</w:t>
            </w:r>
          </w:p>
        </w:tc>
        <w:tc>
          <w:tcPr>
            <w:tcW w:w="788" w:type="dxa"/>
            <w:tcBorders>
              <w:top w:val="nil"/>
              <w:left w:val="nil"/>
              <w:bottom w:val="single" w:sz="4" w:space="0" w:color="auto"/>
              <w:right w:val="single" w:sz="4" w:space="0" w:color="auto"/>
            </w:tcBorders>
            <w:shd w:val="clear" w:color="000000" w:fill="E7E6E6"/>
            <w:vAlign w:val="center"/>
          </w:tcPr>
          <w:p w14:paraId="4A2023CE" w14:textId="335A0E6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87.9</w:t>
            </w:r>
          </w:p>
        </w:tc>
        <w:tc>
          <w:tcPr>
            <w:tcW w:w="1295" w:type="dxa"/>
            <w:tcBorders>
              <w:top w:val="nil"/>
              <w:left w:val="nil"/>
              <w:bottom w:val="single" w:sz="4" w:space="0" w:color="auto"/>
              <w:right w:val="single" w:sz="4" w:space="0" w:color="auto"/>
            </w:tcBorders>
            <w:shd w:val="clear" w:color="000000" w:fill="E7E6E6"/>
            <w:noWrap/>
            <w:vAlign w:val="center"/>
          </w:tcPr>
          <w:p w14:paraId="4E0A7E49" w14:textId="4F9E48C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44.4</w:t>
            </w:r>
          </w:p>
        </w:tc>
        <w:tc>
          <w:tcPr>
            <w:tcW w:w="1173" w:type="dxa"/>
            <w:tcBorders>
              <w:top w:val="nil"/>
              <w:left w:val="nil"/>
              <w:bottom w:val="single" w:sz="4" w:space="0" w:color="auto"/>
              <w:right w:val="single" w:sz="4" w:space="0" w:color="auto"/>
            </w:tcBorders>
            <w:shd w:val="clear" w:color="000000" w:fill="E7E6E6"/>
            <w:noWrap/>
            <w:vAlign w:val="center"/>
          </w:tcPr>
          <w:p w14:paraId="039B984E" w14:textId="3D507D4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40.8</w:t>
            </w:r>
          </w:p>
        </w:tc>
      </w:tr>
      <w:tr w:rsidR="005A3FC1" w:rsidRPr="00646B6F" w14:paraId="5A769FF2"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E58A985" w14:textId="35E9B9F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1A6C22E5" w14:textId="3D7B259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auto" w:fill="auto"/>
            <w:vAlign w:val="center"/>
          </w:tcPr>
          <w:p w14:paraId="418371ED" w14:textId="24847FA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6AB6568E" w14:textId="41EB0A5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auto" w:fill="auto"/>
            <w:noWrap/>
            <w:vAlign w:val="center"/>
          </w:tcPr>
          <w:p w14:paraId="70236E09" w14:textId="228493D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18.8</w:t>
            </w:r>
          </w:p>
        </w:tc>
        <w:tc>
          <w:tcPr>
            <w:tcW w:w="1126" w:type="dxa"/>
            <w:tcBorders>
              <w:top w:val="nil"/>
              <w:left w:val="nil"/>
              <w:bottom w:val="single" w:sz="4" w:space="0" w:color="auto"/>
              <w:right w:val="single" w:sz="4" w:space="0" w:color="auto"/>
            </w:tcBorders>
            <w:shd w:val="clear" w:color="auto" w:fill="auto"/>
            <w:noWrap/>
            <w:vAlign w:val="center"/>
          </w:tcPr>
          <w:p w14:paraId="1A41310E" w14:textId="25F8B0D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15.6</w:t>
            </w:r>
          </w:p>
        </w:tc>
        <w:tc>
          <w:tcPr>
            <w:tcW w:w="788" w:type="dxa"/>
            <w:tcBorders>
              <w:top w:val="nil"/>
              <w:left w:val="nil"/>
              <w:bottom w:val="single" w:sz="4" w:space="0" w:color="auto"/>
              <w:right w:val="single" w:sz="4" w:space="0" w:color="auto"/>
            </w:tcBorders>
            <w:shd w:val="clear" w:color="auto" w:fill="auto"/>
            <w:vAlign w:val="center"/>
          </w:tcPr>
          <w:p w14:paraId="52039B36" w14:textId="484A808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66.3</w:t>
            </w:r>
          </w:p>
        </w:tc>
        <w:tc>
          <w:tcPr>
            <w:tcW w:w="1295" w:type="dxa"/>
            <w:tcBorders>
              <w:top w:val="nil"/>
              <w:left w:val="nil"/>
              <w:bottom w:val="single" w:sz="4" w:space="0" w:color="auto"/>
              <w:right w:val="single" w:sz="4" w:space="0" w:color="auto"/>
            </w:tcBorders>
            <w:shd w:val="clear" w:color="auto" w:fill="auto"/>
            <w:noWrap/>
            <w:vAlign w:val="center"/>
          </w:tcPr>
          <w:p w14:paraId="6F663823" w14:textId="01B069C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45.5</w:t>
            </w:r>
          </w:p>
        </w:tc>
        <w:tc>
          <w:tcPr>
            <w:tcW w:w="1173" w:type="dxa"/>
            <w:tcBorders>
              <w:top w:val="nil"/>
              <w:left w:val="nil"/>
              <w:bottom w:val="single" w:sz="4" w:space="0" w:color="auto"/>
              <w:right w:val="single" w:sz="4" w:space="0" w:color="auto"/>
            </w:tcBorders>
            <w:shd w:val="clear" w:color="auto" w:fill="auto"/>
            <w:noWrap/>
            <w:vAlign w:val="center"/>
          </w:tcPr>
          <w:p w14:paraId="3F848888" w14:textId="40A769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52.9</w:t>
            </w:r>
          </w:p>
        </w:tc>
      </w:tr>
      <w:tr w:rsidR="005A3FC1" w:rsidRPr="00646B6F" w14:paraId="4259EEA8"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3E2FF40" w14:textId="1804058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06670927" w14:textId="4F31384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Beira Interior</w:t>
            </w:r>
          </w:p>
        </w:tc>
        <w:tc>
          <w:tcPr>
            <w:tcW w:w="896" w:type="dxa"/>
            <w:tcBorders>
              <w:top w:val="nil"/>
              <w:left w:val="nil"/>
              <w:bottom w:val="single" w:sz="4" w:space="0" w:color="auto"/>
              <w:right w:val="single" w:sz="4" w:space="0" w:color="auto"/>
            </w:tcBorders>
            <w:shd w:val="clear" w:color="000000" w:fill="E7E6E6"/>
            <w:vAlign w:val="center"/>
          </w:tcPr>
          <w:p w14:paraId="39D6DAE9" w14:textId="25F9EE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0298E9E6" w14:textId="7105382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000000" w:fill="E7E6E6"/>
            <w:noWrap/>
            <w:vAlign w:val="center"/>
          </w:tcPr>
          <w:p w14:paraId="3F51DA72" w14:textId="7602477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14.1</w:t>
            </w:r>
          </w:p>
        </w:tc>
        <w:tc>
          <w:tcPr>
            <w:tcW w:w="1126" w:type="dxa"/>
            <w:tcBorders>
              <w:top w:val="nil"/>
              <w:left w:val="nil"/>
              <w:bottom w:val="single" w:sz="4" w:space="0" w:color="auto"/>
              <w:right w:val="single" w:sz="4" w:space="0" w:color="auto"/>
            </w:tcBorders>
            <w:shd w:val="clear" w:color="000000" w:fill="E7E6E6"/>
            <w:noWrap/>
            <w:vAlign w:val="center"/>
          </w:tcPr>
          <w:p w14:paraId="4236229B" w14:textId="4615640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10.8</w:t>
            </w:r>
          </w:p>
        </w:tc>
        <w:tc>
          <w:tcPr>
            <w:tcW w:w="788" w:type="dxa"/>
            <w:tcBorders>
              <w:top w:val="nil"/>
              <w:left w:val="nil"/>
              <w:bottom w:val="single" w:sz="4" w:space="0" w:color="auto"/>
              <w:right w:val="single" w:sz="4" w:space="0" w:color="auto"/>
            </w:tcBorders>
            <w:shd w:val="clear" w:color="000000" w:fill="E7E6E6"/>
            <w:vAlign w:val="center"/>
          </w:tcPr>
          <w:p w14:paraId="31DA60F6" w14:textId="6C5EB99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85.1</w:t>
            </w:r>
          </w:p>
        </w:tc>
        <w:tc>
          <w:tcPr>
            <w:tcW w:w="1295" w:type="dxa"/>
            <w:tcBorders>
              <w:top w:val="nil"/>
              <w:left w:val="nil"/>
              <w:bottom w:val="single" w:sz="4" w:space="0" w:color="auto"/>
              <w:right w:val="single" w:sz="4" w:space="0" w:color="auto"/>
            </w:tcBorders>
            <w:shd w:val="clear" w:color="000000" w:fill="E7E6E6"/>
            <w:noWrap/>
            <w:vAlign w:val="center"/>
          </w:tcPr>
          <w:p w14:paraId="21C6903D" w14:textId="654C959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46.2</w:t>
            </w:r>
          </w:p>
        </w:tc>
        <w:tc>
          <w:tcPr>
            <w:tcW w:w="1173" w:type="dxa"/>
            <w:tcBorders>
              <w:top w:val="nil"/>
              <w:left w:val="nil"/>
              <w:bottom w:val="single" w:sz="4" w:space="0" w:color="auto"/>
              <w:right w:val="single" w:sz="4" w:space="0" w:color="auto"/>
            </w:tcBorders>
            <w:shd w:val="clear" w:color="000000" w:fill="E7E6E6"/>
            <w:noWrap/>
            <w:vAlign w:val="center"/>
          </w:tcPr>
          <w:p w14:paraId="599849F4" w14:textId="68CA2B5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58.1</w:t>
            </w:r>
          </w:p>
        </w:tc>
      </w:tr>
      <w:tr w:rsidR="005A3FC1" w:rsidRPr="00646B6F" w14:paraId="60AB7237"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F2574C8" w14:textId="45001C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2AFDD6A7" w14:textId="3607E33C"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Chile</w:t>
            </w:r>
          </w:p>
        </w:tc>
        <w:tc>
          <w:tcPr>
            <w:tcW w:w="896" w:type="dxa"/>
            <w:tcBorders>
              <w:top w:val="nil"/>
              <w:left w:val="nil"/>
              <w:bottom w:val="single" w:sz="4" w:space="0" w:color="auto"/>
              <w:right w:val="single" w:sz="4" w:space="0" w:color="auto"/>
            </w:tcBorders>
            <w:shd w:val="clear" w:color="auto" w:fill="auto"/>
            <w:vAlign w:val="center"/>
          </w:tcPr>
          <w:p w14:paraId="67208EC5" w14:textId="48A498F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67120E0E" w14:textId="5E04B4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auto" w:fill="auto"/>
            <w:noWrap/>
            <w:vAlign w:val="center"/>
          </w:tcPr>
          <w:p w14:paraId="3AB21DE8" w14:textId="257F6AE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20.2</w:t>
            </w:r>
          </w:p>
        </w:tc>
        <w:tc>
          <w:tcPr>
            <w:tcW w:w="1126" w:type="dxa"/>
            <w:tcBorders>
              <w:top w:val="nil"/>
              <w:left w:val="nil"/>
              <w:bottom w:val="single" w:sz="4" w:space="0" w:color="auto"/>
              <w:right w:val="single" w:sz="4" w:space="0" w:color="auto"/>
            </w:tcBorders>
            <w:shd w:val="clear" w:color="auto" w:fill="auto"/>
            <w:noWrap/>
            <w:vAlign w:val="center"/>
          </w:tcPr>
          <w:p w14:paraId="5E32198F" w14:textId="7F7AC8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15.4</w:t>
            </w:r>
          </w:p>
        </w:tc>
        <w:tc>
          <w:tcPr>
            <w:tcW w:w="788" w:type="dxa"/>
            <w:tcBorders>
              <w:top w:val="nil"/>
              <w:left w:val="nil"/>
              <w:bottom w:val="single" w:sz="4" w:space="0" w:color="auto"/>
              <w:right w:val="single" w:sz="4" w:space="0" w:color="auto"/>
            </w:tcBorders>
            <w:shd w:val="clear" w:color="auto" w:fill="auto"/>
            <w:vAlign w:val="center"/>
          </w:tcPr>
          <w:p w14:paraId="430B5957" w14:textId="4AA1EC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64.4</w:t>
            </w:r>
          </w:p>
        </w:tc>
        <w:tc>
          <w:tcPr>
            <w:tcW w:w="1295" w:type="dxa"/>
            <w:tcBorders>
              <w:top w:val="nil"/>
              <w:left w:val="nil"/>
              <w:bottom w:val="single" w:sz="4" w:space="0" w:color="auto"/>
              <w:right w:val="single" w:sz="4" w:space="0" w:color="auto"/>
            </w:tcBorders>
            <w:shd w:val="clear" w:color="auto" w:fill="auto"/>
            <w:noWrap/>
            <w:vAlign w:val="center"/>
          </w:tcPr>
          <w:p w14:paraId="256F4901" w14:textId="0D7DD13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51.2</w:t>
            </w:r>
          </w:p>
        </w:tc>
        <w:tc>
          <w:tcPr>
            <w:tcW w:w="1173" w:type="dxa"/>
            <w:tcBorders>
              <w:top w:val="nil"/>
              <w:left w:val="nil"/>
              <w:bottom w:val="single" w:sz="4" w:space="0" w:color="auto"/>
              <w:right w:val="single" w:sz="4" w:space="0" w:color="auto"/>
            </w:tcBorders>
            <w:shd w:val="clear" w:color="auto" w:fill="auto"/>
            <w:noWrap/>
            <w:vAlign w:val="center"/>
          </w:tcPr>
          <w:p w14:paraId="39508281" w14:textId="6F16021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72.2</w:t>
            </w:r>
          </w:p>
        </w:tc>
      </w:tr>
      <w:tr w:rsidR="005A3FC1" w:rsidRPr="00646B6F" w14:paraId="738F86B9"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C49A2A4" w14:textId="3BCDD26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1FF12E52" w14:textId="2D4CFB26"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Salamanca</w:t>
            </w:r>
          </w:p>
        </w:tc>
        <w:tc>
          <w:tcPr>
            <w:tcW w:w="896" w:type="dxa"/>
            <w:tcBorders>
              <w:top w:val="nil"/>
              <w:left w:val="nil"/>
              <w:bottom w:val="single" w:sz="4" w:space="0" w:color="auto"/>
              <w:right w:val="single" w:sz="4" w:space="0" w:color="auto"/>
            </w:tcBorders>
            <w:shd w:val="clear" w:color="000000" w:fill="E7E6E6"/>
            <w:vAlign w:val="center"/>
          </w:tcPr>
          <w:p w14:paraId="028AB0DF" w14:textId="58C9313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1DB00D84" w14:textId="6089A7C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000000" w:fill="E7E6E6"/>
            <w:noWrap/>
            <w:vAlign w:val="center"/>
          </w:tcPr>
          <w:p w14:paraId="060344C5" w14:textId="6698F44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13.6</w:t>
            </w:r>
          </w:p>
        </w:tc>
        <w:tc>
          <w:tcPr>
            <w:tcW w:w="1126" w:type="dxa"/>
            <w:tcBorders>
              <w:top w:val="nil"/>
              <w:left w:val="nil"/>
              <w:bottom w:val="single" w:sz="4" w:space="0" w:color="auto"/>
              <w:right w:val="single" w:sz="4" w:space="0" w:color="auto"/>
            </w:tcBorders>
            <w:shd w:val="clear" w:color="000000" w:fill="E7E6E6"/>
            <w:noWrap/>
            <w:vAlign w:val="center"/>
          </w:tcPr>
          <w:p w14:paraId="4671EC71" w14:textId="0A37268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11.9</w:t>
            </w:r>
          </w:p>
        </w:tc>
        <w:tc>
          <w:tcPr>
            <w:tcW w:w="788" w:type="dxa"/>
            <w:tcBorders>
              <w:top w:val="nil"/>
              <w:left w:val="nil"/>
              <w:bottom w:val="single" w:sz="4" w:space="0" w:color="auto"/>
              <w:right w:val="single" w:sz="4" w:space="0" w:color="auto"/>
            </w:tcBorders>
            <w:shd w:val="clear" w:color="000000" w:fill="E7E6E6"/>
            <w:vAlign w:val="center"/>
          </w:tcPr>
          <w:p w14:paraId="1B8891B5" w14:textId="783D6A7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79.6</w:t>
            </w:r>
          </w:p>
        </w:tc>
        <w:tc>
          <w:tcPr>
            <w:tcW w:w="1295" w:type="dxa"/>
            <w:tcBorders>
              <w:top w:val="nil"/>
              <w:left w:val="nil"/>
              <w:bottom w:val="single" w:sz="4" w:space="0" w:color="auto"/>
              <w:right w:val="single" w:sz="4" w:space="0" w:color="auto"/>
            </w:tcBorders>
            <w:shd w:val="clear" w:color="000000" w:fill="E7E6E6"/>
            <w:noWrap/>
            <w:vAlign w:val="center"/>
          </w:tcPr>
          <w:p w14:paraId="614A7A62" w14:textId="69DD16B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46</w:t>
            </w:r>
          </w:p>
        </w:tc>
        <w:tc>
          <w:tcPr>
            <w:tcW w:w="1173" w:type="dxa"/>
            <w:tcBorders>
              <w:top w:val="nil"/>
              <w:left w:val="nil"/>
              <w:bottom w:val="single" w:sz="4" w:space="0" w:color="auto"/>
              <w:right w:val="single" w:sz="4" w:space="0" w:color="auto"/>
            </w:tcBorders>
            <w:shd w:val="clear" w:color="000000" w:fill="E7E6E6"/>
            <w:noWrap/>
            <w:vAlign w:val="center"/>
          </w:tcPr>
          <w:p w14:paraId="0145F332" w14:textId="1B7E54A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w:t>
            </w:r>
          </w:p>
        </w:tc>
      </w:tr>
      <w:tr w:rsidR="005A3FC1" w:rsidRPr="00646B6F" w14:paraId="75C67720"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3064F0" w14:textId="0F0B65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2F9D28A0" w14:textId="77E9F004"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Sao Paulo</w:t>
            </w:r>
          </w:p>
        </w:tc>
        <w:tc>
          <w:tcPr>
            <w:tcW w:w="896" w:type="dxa"/>
            <w:tcBorders>
              <w:top w:val="nil"/>
              <w:left w:val="nil"/>
              <w:bottom w:val="single" w:sz="4" w:space="0" w:color="auto"/>
              <w:right w:val="single" w:sz="4" w:space="0" w:color="auto"/>
            </w:tcBorders>
            <w:shd w:val="clear" w:color="auto" w:fill="auto"/>
            <w:vAlign w:val="center"/>
          </w:tcPr>
          <w:p w14:paraId="3B2C4902" w14:textId="5DBBC5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2CF9A520" w14:textId="08407AB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auto" w:fill="auto"/>
            <w:noWrap/>
            <w:vAlign w:val="center"/>
          </w:tcPr>
          <w:p w14:paraId="00407679" w14:textId="33D27DB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35.3</w:t>
            </w:r>
          </w:p>
        </w:tc>
        <w:tc>
          <w:tcPr>
            <w:tcW w:w="1126" w:type="dxa"/>
            <w:tcBorders>
              <w:top w:val="nil"/>
              <w:left w:val="nil"/>
              <w:bottom w:val="single" w:sz="4" w:space="0" w:color="auto"/>
              <w:right w:val="single" w:sz="4" w:space="0" w:color="auto"/>
            </w:tcBorders>
            <w:shd w:val="clear" w:color="auto" w:fill="auto"/>
            <w:noWrap/>
            <w:vAlign w:val="center"/>
          </w:tcPr>
          <w:p w14:paraId="440DBC20" w14:textId="2C46C39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29.6</w:t>
            </w:r>
          </w:p>
        </w:tc>
        <w:tc>
          <w:tcPr>
            <w:tcW w:w="788" w:type="dxa"/>
            <w:tcBorders>
              <w:top w:val="nil"/>
              <w:left w:val="nil"/>
              <w:bottom w:val="single" w:sz="4" w:space="0" w:color="auto"/>
              <w:right w:val="single" w:sz="4" w:space="0" w:color="auto"/>
            </w:tcBorders>
            <w:shd w:val="clear" w:color="auto" w:fill="auto"/>
            <w:vAlign w:val="center"/>
          </w:tcPr>
          <w:p w14:paraId="5DF6EBFF" w14:textId="169BDF3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36.5</w:t>
            </w:r>
          </w:p>
        </w:tc>
        <w:tc>
          <w:tcPr>
            <w:tcW w:w="1295" w:type="dxa"/>
            <w:tcBorders>
              <w:top w:val="nil"/>
              <w:left w:val="nil"/>
              <w:bottom w:val="single" w:sz="4" w:space="0" w:color="auto"/>
              <w:right w:val="single" w:sz="4" w:space="0" w:color="auto"/>
            </w:tcBorders>
            <w:shd w:val="clear" w:color="auto" w:fill="auto"/>
            <w:noWrap/>
            <w:vAlign w:val="center"/>
          </w:tcPr>
          <w:p w14:paraId="64C86BBA" w14:textId="50B37AD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44.7</w:t>
            </w:r>
          </w:p>
        </w:tc>
        <w:tc>
          <w:tcPr>
            <w:tcW w:w="1173" w:type="dxa"/>
            <w:tcBorders>
              <w:top w:val="nil"/>
              <w:left w:val="nil"/>
              <w:bottom w:val="single" w:sz="4" w:space="0" w:color="auto"/>
              <w:right w:val="single" w:sz="4" w:space="0" w:color="auto"/>
            </w:tcBorders>
            <w:shd w:val="clear" w:color="auto" w:fill="auto"/>
            <w:noWrap/>
            <w:vAlign w:val="center"/>
          </w:tcPr>
          <w:p w14:paraId="77D9B375" w14:textId="0B24F9D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w:t>
            </w:r>
          </w:p>
        </w:tc>
      </w:tr>
      <w:tr w:rsidR="005A3FC1" w:rsidRPr="00646B6F" w14:paraId="61D62BB4"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9D50EEB" w14:textId="0CD0985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5DAA36CB" w14:textId="5E96BACA"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Politécnica de Cataluña</w:t>
            </w:r>
          </w:p>
        </w:tc>
        <w:tc>
          <w:tcPr>
            <w:tcW w:w="896" w:type="dxa"/>
            <w:tcBorders>
              <w:top w:val="nil"/>
              <w:left w:val="nil"/>
              <w:bottom w:val="single" w:sz="4" w:space="0" w:color="auto"/>
              <w:right w:val="single" w:sz="4" w:space="0" w:color="auto"/>
            </w:tcBorders>
            <w:shd w:val="clear" w:color="000000" w:fill="E7E6E6"/>
            <w:vAlign w:val="center"/>
          </w:tcPr>
          <w:p w14:paraId="6604F963" w14:textId="328DA32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7E03D87" w14:textId="3297437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33.9–37.8</w:t>
            </w:r>
          </w:p>
        </w:tc>
        <w:tc>
          <w:tcPr>
            <w:tcW w:w="841" w:type="dxa"/>
            <w:tcBorders>
              <w:top w:val="nil"/>
              <w:left w:val="nil"/>
              <w:bottom w:val="single" w:sz="4" w:space="0" w:color="auto"/>
              <w:right w:val="single" w:sz="4" w:space="0" w:color="auto"/>
            </w:tcBorders>
            <w:shd w:val="clear" w:color="000000" w:fill="E7E6E6"/>
            <w:noWrap/>
            <w:vAlign w:val="center"/>
          </w:tcPr>
          <w:p w14:paraId="20A559D5" w14:textId="49F86E4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24.9</w:t>
            </w:r>
          </w:p>
        </w:tc>
        <w:tc>
          <w:tcPr>
            <w:tcW w:w="1126" w:type="dxa"/>
            <w:tcBorders>
              <w:top w:val="nil"/>
              <w:left w:val="nil"/>
              <w:bottom w:val="single" w:sz="4" w:space="0" w:color="auto"/>
              <w:right w:val="single" w:sz="4" w:space="0" w:color="auto"/>
            </w:tcBorders>
            <w:shd w:val="clear" w:color="000000" w:fill="E7E6E6"/>
            <w:noWrap/>
            <w:vAlign w:val="center"/>
          </w:tcPr>
          <w:p w14:paraId="0274088A" w14:textId="074D7A2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24.9</w:t>
            </w:r>
          </w:p>
        </w:tc>
        <w:tc>
          <w:tcPr>
            <w:tcW w:w="788" w:type="dxa"/>
            <w:tcBorders>
              <w:top w:val="nil"/>
              <w:left w:val="nil"/>
              <w:bottom w:val="single" w:sz="4" w:space="0" w:color="auto"/>
              <w:right w:val="single" w:sz="4" w:space="0" w:color="auto"/>
            </w:tcBorders>
            <w:shd w:val="clear" w:color="000000" w:fill="E7E6E6"/>
            <w:vAlign w:val="center"/>
          </w:tcPr>
          <w:p w14:paraId="3878468A" w14:textId="0E18ACB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53.4</w:t>
            </w:r>
          </w:p>
        </w:tc>
        <w:tc>
          <w:tcPr>
            <w:tcW w:w="1295" w:type="dxa"/>
            <w:tcBorders>
              <w:top w:val="nil"/>
              <w:left w:val="nil"/>
              <w:bottom w:val="single" w:sz="4" w:space="0" w:color="auto"/>
              <w:right w:val="single" w:sz="4" w:space="0" w:color="auto"/>
            </w:tcBorders>
            <w:shd w:val="clear" w:color="000000" w:fill="E7E6E6"/>
            <w:noWrap/>
            <w:vAlign w:val="center"/>
          </w:tcPr>
          <w:p w14:paraId="7936DCA5" w14:textId="2A49E0A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45.5</w:t>
            </w:r>
          </w:p>
        </w:tc>
        <w:tc>
          <w:tcPr>
            <w:tcW w:w="1173" w:type="dxa"/>
            <w:tcBorders>
              <w:top w:val="nil"/>
              <w:left w:val="nil"/>
              <w:bottom w:val="single" w:sz="4" w:space="0" w:color="auto"/>
              <w:right w:val="single" w:sz="4" w:space="0" w:color="auto"/>
            </w:tcBorders>
            <w:shd w:val="clear" w:color="000000" w:fill="E7E6E6"/>
            <w:noWrap/>
            <w:vAlign w:val="center"/>
          </w:tcPr>
          <w:p w14:paraId="48BBA5D8" w14:textId="55B13B6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48.6</w:t>
            </w:r>
          </w:p>
        </w:tc>
      </w:tr>
      <w:tr w:rsidR="00F22221" w:rsidRPr="00F46F74" w14:paraId="7813065B" w14:textId="77777777" w:rsidTr="00F27222">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57893B" w14:textId="5EC7EF4B"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601–800</w:t>
            </w:r>
          </w:p>
        </w:tc>
        <w:tc>
          <w:tcPr>
            <w:tcW w:w="3452" w:type="dxa"/>
            <w:tcBorders>
              <w:top w:val="nil"/>
              <w:left w:val="nil"/>
              <w:bottom w:val="single" w:sz="4" w:space="0" w:color="auto"/>
              <w:right w:val="single" w:sz="4" w:space="0" w:color="auto"/>
            </w:tcBorders>
            <w:shd w:val="clear" w:color="auto" w:fill="auto"/>
            <w:noWrap/>
            <w:vAlign w:val="center"/>
          </w:tcPr>
          <w:p w14:paraId="69388B66" w14:textId="3733F58D" w:rsidR="00F22221" w:rsidRPr="00F27222" w:rsidRDefault="00F2222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3948C8B5" w14:textId="5F5FEBE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38489CE0" w14:textId="7DE8DF6A"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15.1–25.6</w:t>
            </w:r>
          </w:p>
        </w:tc>
        <w:tc>
          <w:tcPr>
            <w:tcW w:w="841" w:type="dxa"/>
            <w:tcBorders>
              <w:top w:val="nil"/>
              <w:left w:val="nil"/>
              <w:bottom w:val="single" w:sz="4" w:space="0" w:color="auto"/>
              <w:right w:val="single" w:sz="4" w:space="0" w:color="auto"/>
            </w:tcBorders>
            <w:shd w:val="clear" w:color="auto" w:fill="auto"/>
            <w:noWrap/>
            <w:vAlign w:val="center"/>
          </w:tcPr>
          <w:p w14:paraId="54B6FE0A" w14:textId="69CFED0D"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23</w:t>
            </w:r>
          </w:p>
        </w:tc>
        <w:tc>
          <w:tcPr>
            <w:tcW w:w="1126" w:type="dxa"/>
            <w:tcBorders>
              <w:top w:val="nil"/>
              <w:left w:val="nil"/>
              <w:bottom w:val="single" w:sz="4" w:space="0" w:color="auto"/>
              <w:right w:val="single" w:sz="4" w:space="0" w:color="auto"/>
            </w:tcBorders>
            <w:shd w:val="clear" w:color="auto" w:fill="auto"/>
            <w:noWrap/>
            <w:vAlign w:val="center"/>
          </w:tcPr>
          <w:p w14:paraId="0B3C961C" w14:textId="68C5FC3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10.4</w:t>
            </w:r>
          </w:p>
        </w:tc>
        <w:tc>
          <w:tcPr>
            <w:tcW w:w="788" w:type="dxa"/>
            <w:tcBorders>
              <w:top w:val="nil"/>
              <w:left w:val="nil"/>
              <w:bottom w:val="single" w:sz="4" w:space="0" w:color="auto"/>
              <w:right w:val="single" w:sz="4" w:space="0" w:color="auto"/>
            </w:tcBorders>
            <w:shd w:val="clear" w:color="auto" w:fill="auto"/>
            <w:vAlign w:val="center"/>
          </w:tcPr>
          <w:p w14:paraId="2E5766CC" w14:textId="0E68AFEE"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16.1</w:t>
            </w:r>
          </w:p>
        </w:tc>
        <w:tc>
          <w:tcPr>
            <w:tcW w:w="1295" w:type="dxa"/>
            <w:tcBorders>
              <w:top w:val="nil"/>
              <w:left w:val="nil"/>
              <w:bottom w:val="single" w:sz="4" w:space="0" w:color="auto"/>
              <w:right w:val="single" w:sz="4" w:space="0" w:color="auto"/>
            </w:tcBorders>
            <w:shd w:val="clear" w:color="auto" w:fill="auto"/>
            <w:noWrap/>
            <w:vAlign w:val="center"/>
          </w:tcPr>
          <w:p w14:paraId="6A0F638B" w14:textId="613205EA"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49.4</w:t>
            </w:r>
          </w:p>
        </w:tc>
        <w:tc>
          <w:tcPr>
            <w:tcW w:w="1173" w:type="dxa"/>
            <w:tcBorders>
              <w:top w:val="nil"/>
              <w:left w:val="nil"/>
              <w:bottom w:val="single" w:sz="4" w:space="0" w:color="auto"/>
              <w:right w:val="single" w:sz="4" w:space="0" w:color="auto"/>
            </w:tcBorders>
            <w:shd w:val="clear" w:color="auto" w:fill="auto"/>
            <w:noWrap/>
            <w:vAlign w:val="center"/>
          </w:tcPr>
          <w:p w14:paraId="6B6AB79E" w14:textId="5719D4A6"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42.9</w:t>
            </w:r>
          </w:p>
        </w:tc>
      </w:tr>
    </w:tbl>
    <w:p w14:paraId="685C728D" w14:textId="77777777" w:rsidR="0081233E" w:rsidRPr="00646B6F" w:rsidRDefault="0081233E" w:rsidP="0078703F">
      <w:pPr>
        <w:spacing w:line="240" w:lineRule="auto"/>
      </w:pPr>
    </w:p>
    <w:tbl>
      <w:tblPr>
        <w:tblW w:w="11454" w:type="dxa"/>
        <w:jc w:val="center"/>
        <w:tblCellMar>
          <w:left w:w="70" w:type="dxa"/>
          <w:right w:w="70" w:type="dxa"/>
        </w:tblCellMar>
        <w:tblLook w:val="04A0" w:firstRow="1" w:lastRow="0" w:firstColumn="1" w:lastColumn="0" w:noHBand="0" w:noVBand="1"/>
      </w:tblPr>
      <w:tblGrid>
        <w:gridCol w:w="805"/>
        <w:gridCol w:w="3448"/>
        <w:gridCol w:w="838"/>
        <w:gridCol w:w="1049"/>
        <w:gridCol w:w="845"/>
        <w:gridCol w:w="1131"/>
        <w:gridCol w:w="854"/>
        <w:gridCol w:w="1301"/>
        <w:gridCol w:w="1183"/>
      </w:tblGrid>
      <w:tr w:rsidR="00810B7C" w:rsidRPr="00646B6F" w14:paraId="6FEBDD1B" w14:textId="77777777" w:rsidTr="00F27222">
        <w:trPr>
          <w:trHeight w:val="277"/>
          <w:jc w:val="center"/>
        </w:trPr>
        <w:tc>
          <w:tcPr>
            <w:tcW w:w="11454" w:type="dxa"/>
            <w:gridSpan w:val="9"/>
            <w:tcBorders>
              <w:top w:val="nil"/>
              <w:left w:val="nil"/>
              <w:bottom w:val="single" w:sz="4" w:space="0" w:color="auto"/>
              <w:right w:val="nil"/>
            </w:tcBorders>
            <w:shd w:val="clear" w:color="auto" w:fill="auto"/>
            <w:vAlign w:val="center"/>
            <w:hideMark/>
          </w:tcPr>
          <w:p w14:paraId="484A92BB" w14:textId="46CD5C50" w:rsidR="00810B7C" w:rsidRPr="00646B6F" w:rsidRDefault="00810B7C"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1</w:t>
            </w:r>
            <w:r w:rsidR="0024082E" w:rsidRPr="00646B6F">
              <w:rPr>
                <w:rFonts w:ascii="Calibri" w:eastAsia="Times New Roman" w:hAnsi="Calibri" w:cs="Calibri"/>
                <w:b/>
                <w:bCs/>
                <w:color w:val="000000"/>
                <w:sz w:val="20"/>
                <w:szCs w:val="20"/>
                <w:lang w:eastAsia="es-MX"/>
              </w:rPr>
              <w:t>0</w:t>
            </w:r>
            <w:r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Pr="00646B6F">
              <w:rPr>
                <w:rFonts w:ascii="Calibri" w:eastAsia="Times New Roman" w:hAnsi="Calibri" w:cs="Calibri"/>
                <w:b/>
                <w:bCs/>
                <w:color w:val="000000"/>
                <w:sz w:val="20"/>
                <w:szCs w:val="20"/>
                <w:lang w:eastAsia="es-MX"/>
              </w:rPr>
              <w:t>Ciencias Físicas, 202</w:t>
            </w:r>
            <w:r w:rsidR="001B5079" w:rsidRPr="00646B6F">
              <w:rPr>
                <w:rFonts w:ascii="Calibri" w:eastAsia="Times New Roman" w:hAnsi="Calibri" w:cs="Calibri"/>
                <w:b/>
                <w:bCs/>
                <w:color w:val="000000"/>
                <w:sz w:val="20"/>
                <w:szCs w:val="20"/>
                <w:lang w:eastAsia="es-MX"/>
              </w:rPr>
              <w:t>1</w:t>
            </w:r>
            <w:r w:rsidRPr="00646B6F">
              <w:rPr>
                <w:rFonts w:ascii="Calibri" w:eastAsia="Times New Roman" w:hAnsi="Calibri" w:cs="Calibri"/>
                <w:b/>
                <w:bCs/>
                <w:color w:val="000000"/>
                <w:sz w:val="20"/>
                <w:szCs w:val="20"/>
                <w:lang w:eastAsia="es-MX"/>
              </w:rPr>
              <w:t>.</w:t>
            </w:r>
          </w:p>
        </w:tc>
      </w:tr>
      <w:tr w:rsidR="00810B7C" w:rsidRPr="00646B6F" w14:paraId="425442CF" w14:textId="77777777" w:rsidTr="00F27222">
        <w:trPr>
          <w:trHeight w:val="443"/>
          <w:jc w:val="center"/>
        </w:trPr>
        <w:tc>
          <w:tcPr>
            <w:tcW w:w="805" w:type="dxa"/>
            <w:tcBorders>
              <w:top w:val="nil"/>
              <w:left w:val="single" w:sz="4" w:space="0" w:color="auto"/>
              <w:bottom w:val="single" w:sz="4" w:space="0" w:color="auto"/>
              <w:right w:val="single" w:sz="4" w:space="0" w:color="auto"/>
            </w:tcBorders>
            <w:shd w:val="clear" w:color="000000" w:fill="BDD6EE"/>
            <w:vAlign w:val="center"/>
            <w:hideMark/>
          </w:tcPr>
          <w:p w14:paraId="468E5875"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48" w:type="dxa"/>
            <w:tcBorders>
              <w:top w:val="nil"/>
              <w:left w:val="nil"/>
              <w:bottom w:val="single" w:sz="4" w:space="0" w:color="auto"/>
              <w:right w:val="single" w:sz="4" w:space="0" w:color="auto"/>
            </w:tcBorders>
            <w:shd w:val="clear" w:color="000000" w:fill="BDD6EE"/>
            <w:vAlign w:val="center"/>
            <w:hideMark/>
          </w:tcPr>
          <w:p w14:paraId="5DE45FE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38" w:type="dxa"/>
            <w:tcBorders>
              <w:top w:val="nil"/>
              <w:left w:val="nil"/>
              <w:bottom w:val="single" w:sz="4" w:space="0" w:color="auto"/>
              <w:right w:val="single" w:sz="4" w:space="0" w:color="auto"/>
            </w:tcBorders>
            <w:shd w:val="clear" w:color="000000" w:fill="BDD6EE"/>
            <w:vAlign w:val="center"/>
            <w:hideMark/>
          </w:tcPr>
          <w:p w14:paraId="1D3F6A1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9" w:type="dxa"/>
            <w:tcBorders>
              <w:top w:val="nil"/>
              <w:left w:val="nil"/>
              <w:bottom w:val="single" w:sz="4" w:space="0" w:color="auto"/>
              <w:right w:val="single" w:sz="4" w:space="0" w:color="auto"/>
            </w:tcBorders>
            <w:shd w:val="clear" w:color="000000" w:fill="BDD6EE"/>
            <w:vAlign w:val="center"/>
            <w:hideMark/>
          </w:tcPr>
          <w:p w14:paraId="24D50FE1"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5" w:type="dxa"/>
            <w:tcBorders>
              <w:top w:val="nil"/>
              <w:left w:val="nil"/>
              <w:bottom w:val="single" w:sz="4" w:space="0" w:color="auto"/>
              <w:right w:val="single" w:sz="4" w:space="0" w:color="auto"/>
            </w:tcBorders>
            <w:shd w:val="clear" w:color="000000" w:fill="BDD6EE"/>
            <w:vAlign w:val="center"/>
            <w:hideMark/>
          </w:tcPr>
          <w:p w14:paraId="1CCEEE5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31" w:type="dxa"/>
            <w:tcBorders>
              <w:top w:val="nil"/>
              <w:left w:val="nil"/>
              <w:bottom w:val="single" w:sz="4" w:space="0" w:color="auto"/>
              <w:right w:val="single" w:sz="4" w:space="0" w:color="auto"/>
            </w:tcBorders>
            <w:shd w:val="clear" w:color="000000" w:fill="BDD6EE"/>
            <w:vAlign w:val="center"/>
            <w:hideMark/>
          </w:tcPr>
          <w:p w14:paraId="4999B9D9"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854" w:type="dxa"/>
            <w:tcBorders>
              <w:top w:val="nil"/>
              <w:left w:val="nil"/>
              <w:bottom w:val="single" w:sz="4" w:space="0" w:color="auto"/>
              <w:right w:val="single" w:sz="4" w:space="0" w:color="auto"/>
            </w:tcBorders>
            <w:shd w:val="clear" w:color="000000" w:fill="BDD6EE"/>
            <w:vAlign w:val="center"/>
            <w:hideMark/>
          </w:tcPr>
          <w:p w14:paraId="297B8F8D"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301" w:type="dxa"/>
            <w:tcBorders>
              <w:top w:val="nil"/>
              <w:left w:val="nil"/>
              <w:bottom w:val="single" w:sz="4" w:space="0" w:color="auto"/>
              <w:right w:val="single" w:sz="4" w:space="0" w:color="auto"/>
            </w:tcBorders>
            <w:shd w:val="clear" w:color="000000" w:fill="BDD6EE"/>
            <w:vAlign w:val="center"/>
            <w:hideMark/>
          </w:tcPr>
          <w:p w14:paraId="043EE646"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81" w:type="dxa"/>
            <w:tcBorders>
              <w:top w:val="nil"/>
              <w:left w:val="nil"/>
              <w:bottom w:val="single" w:sz="4" w:space="0" w:color="auto"/>
              <w:right w:val="single" w:sz="4" w:space="0" w:color="auto"/>
            </w:tcBorders>
            <w:shd w:val="clear" w:color="000000" w:fill="BDD6EE"/>
            <w:vAlign w:val="center"/>
            <w:hideMark/>
          </w:tcPr>
          <w:p w14:paraId="7C14BAEE"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5A3FC1" w:rsidRPr="00646B6F" w14:paraId="16A615D3"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593CCE7" w14:textId="6225290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201–250</w:t>
            </w:r>
          </w:p>
        </w:tc>
        <w:tc>
          <w:tcPr>
            <w:tcW w:w="3448" w:type="dxa"/>
            <w:tcBorders>
              <w:top w:val="nil"/>
              <w:left w:val="nil"/>
              <w:bottom w:val="single" w:sz="4" w:space="0" w:color="auto"/>
              <w:right w:val="single" w:sz="4" w:space="0" w:color="auto"/>
            </w:tcBorders>
            <w:shd w:val="clear" w:color="auto" w:fill="auto"/>
            <w:noWrap/>
            <w:vAlign w:val="center"/>
          </w:tcPr>
          <w:p w14:paraId="02287B42" w14:textId="72624C0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Barcelona</w:t>
            </w:r>
          </w:p>
        </w:tc>
        <w:tc>
          <w:tcPr>
            <w:tcW w:w="838" w:type="dxa"/>
            <w:tcBorders>
              <w:top w:val="nil"/>
              <w:left w:val="nil"/>
              <w:bottom w:val="single" w:sz="4" w:space="0" w:color="auto"/>
              <w:right w:val="single" w:sz="4" w:space="0" w:color="auto"/>
            </w:tcBorders>
            <w:shd w:val="clear" w:color="auto" w:fill="auto"/>
            <w:vAlign w:val="center"/>
          </w:tcPr>
          <w:p w14:paraId="660D5570" w14:textId="7BDC181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auto" w:fill="auto"/>
            <w:noWrap/>
            <w:vAlign w:val="center"/>
          </w:tcPr>
          <w:p w14:paraId="289387F4" w14:textId="32E5E2E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47.1–50.0</w:t>
            </w:r>
          </w:p>
        </w:tc>
        <w:tc>
          <w:tcPr>
            <w:tcW w:w="845" w:type="dxa"/>
            <w:tcBorders>
              <w:top w:val="nil"/>
              <w:left w:val="nil"/>
              <w:bottom w:val="single" w:sz="4" w:space="0" w:color="auto"/>
              <w:right w:val="single" w:sz="4" w:space="0" w:color="auto"/>
            </w:tcBorders>
            <w:shd w:val="clear" w:color="auto" w:fill="auto"/>
            <w:noWrap/>
            <w:vAlign w:val="center"/>
          </w:tcPr>
          <w:p w14:paraId="3ED35317" w14:textId="6364F91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28</w:t>
            </w:r>
          </w:p>
        </w:tc>
        <w:tc>
          <w:tcPr>
            <w:tcW w:w="1131" w:type="dxa"/>
            <w:tcBorders>
              <w:top w:val="nil"/>
              <w:left w:val="nil"/>
              <w:bottom w:val="single" w:sz="4" w:space="0" w:color="auto"/>
              <w:right w:val="single" w:sz="4" w:space="0" w:color="auto"/>
            </w:tcBorders>
            <w:shd w:val="clear" w:color="auto" w:fill="auto"/>
            <w:noWrap/>
            <w:vAlign w:val="center"/>
          </w:tcPr>
          <w:p w14:paraId="4C275CB7" w14:textId="615D74E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22.4</w:t>
            </w:r>
          </w:p>
        </w:tc>
        <w:tc>
          <w:tcPr>
            <w:tcW w:w="854" w:type="dxa"/>
            <w:tcBorders>
              <w:top w:val="nil"/>
              <w:left w:val="nil"/>
              <w:bottom w:val="single" w:sz="4" w:space="0" w:color="auto"/>
              <w:right w:val="single" w:sz="4" w:space="0" w:color="auto"/>
            </w:tcBorders>
            <w:shd w:val="clear" w:color="auto" w:fill="auto"/>
            <w:vAlign w:val="center"/>
          </w:tcPr>
          <w:p w14:paraId="1D1CBDA3" w14:textId="269D457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86</w:t>
            </w:r>
          </w:p>
        </w:tc>
        <w:tc>
          <w:tcPr>
            <w:tcW w:w="1301" w:type="dxa"/>
            <w:tcBorders>
              <w:top w:val="nil"/>
              <w:left w:val="nil"/>
              <w:bottom w:val="single" w:sz="4" w:space="0" w:color="auto"/>
              <w:right w:val="single" w:sz="4" w:space="0" w:color="auto"/>
            </w:tcBorders>
            <w:shd w:val="clear" w:color="auto" w:fill="auto"/>
            <w:noWrap/>
            <w:vAlign w:val="center"/>
          </w:tcPr>
          <w:p w14:paraId="72A3D1EE" w14:textId="752F35E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39.1</w:t>
            </w:r>
          </w:p>
        </w:tc>
        <w:tc>
          <w:tcPr>
            <w:tcW w:w="1181" w:type="dxa"/>
            <w:tcBorders>
              <w:top w:val="nil"/>
              <w:left w:val="nil"/>
              <w:bottom w:val="single" w:sz="4" w:space="0" w:color="auto"/>
              <w:right w:val="single" w:sz="4" w:space="0" w:color="auto"/>
            </w:tcBorders>
            <w:shd w:val="clear" w:color="auto" w:fill="auto"/>
            <w:noWrap/>
            <w:vAlign w:val="center"/>
          </w:tcPr>
          <w:p w14:paraId="11B98EC0" w14:textId="64D528D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65.7</w:t>
            </w:r>
          </w:p>
        </w:tc>
      </w:tr>
      <w:tr w:rsidR="005A3FC1" w:rsidRPr="00646B6F" w14:paraId="0C59DD18"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7C9FEA5C" w14:textId="264CA6F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251–300</w:t>
            </w:r>
          </w:p>
        </w:tc>
        <w:tc>
          <w:tcPr>
            <w:tcW w:w="3448" w:type="dxa"/>
            <w:tcBorders>
              <w:top w:val="nil"/>
              <w:left w:val="nil"/>
              <w:bottom w:val="single" w:sz="4" w:space="0" w:color="auto"/>
              <w:right w:val="single" w:sz="4" w:space="0" w:color="auto"/>
            </w:tcBorders>
            <w:shd w:val="clear" w:color="000000" w:fill="E7E6E6"/>
            <w:noWrap/>
            <w:vAlign w:val="center"/>
          </w:tcPr>
          <w:p w14:paraId="1DEEB9CB" w14:textId="58DDC69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Barcelona</w:t>
            </w:r>
          </w:p>
        </w:tc>
        <w:tc>
          <w:tcPr>
            <w:tcW w:w="838" w:type="dxa"/>
            <w:tcBorders>
              <w:top w:val="nil"/>
              <w:left w:val="nil"/>
              <w:bottom w:val="single" w:sz="4" w:space="0" w:color="auto"/>
              <w:right w:val="single" w:sz="4" w:space="0" w:color="auto"/>
            </w:tcBorders>
            <w:shd w:val="clear" w:color="000000" w:fill="E7E6E6"/>
            <w:vAlign w:val="center"/>
          </w:tcPr>
          <w:p w14:paraId="6A5A69A6" w14:textId="51D78C1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000000" w:fill="E7E6E6"/>
            <w:noWrap/>
            <w:vAlign w:val="center"/>
          </w:tcPr>
          <w:p w14:paraId="2993FB65" w14:textId="130EB1D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44.0–47.0</w:t>
            </w:r>
          </w:p>
        </w:tc>
        <w:tc>
          <w:tcPr>
            <w:tcW w:w="845" w:type="dxa"/>
            <w:tcBorders>
              <w:top w:val="nil"/>
              <w:left w:val="nil"/>
              <w:bottom w:val="single" w:sz="4" w:space="0" w:color="auto"/>
              <w:right w:val="single" w:sz="4" w:space="0" w:color="auto"/>
            </w:tcBorders>
            <w:shd w:val="clear" w:color="000000" w:fill="E7E6E6"/>
            <w:noWrap/>
            <w:vAlign w:val="center"/>
          </w:tcPr>
          <w:p w14:paraId="2D200F5C" w14:textId="203153E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21.7</w:t>
            </w:r>
          </w:p>
        </w:tc>
        <w:tc>
          <w:tcPr>
            <w:tcW w:w="1131" w:type="dxa"/>
            <w:tcBorders>
              <w:top w:val="nil"/>
              <w:left w:val="nil"/>
              <w:bottom w:val="single" w:sz="4" w:space="0" w:color="auto"/>
              <w:right w:val="single" w:sz="4" w:space="0" w:color="auto"/>
            </w:tcBorders>
            <w:shd w:val="clear" w:color="000000" w:fill="E7E6E6"/>
            <w:noWrap/>
            <w:vAlign w:val="center"/>
          </w:tcPr>
          <w:p w14:paraId="41FA02B4" w14:textId="1391F3C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24.6</w:t>
            </w:r>
          </w:p>
        </w:tc>
        <w:tc>
          <w:tcPr>
            <w:tcW w:w="854" w:type="dxa"/>
            <w:tcBorders>
              <w:top w:val="nil"/>
              <w:left w:val="nil"/>
              <w:bottom w:val="single" w:sz="4" w:space="0" w:color="auto"/>
              <w:right w:val="single" w:sz="4" w:space="0" w:color="auto"/>
            </w:tcBorders>
            <w:shd w:val="clear" w:color="000000" w:fill="E7E6E6"/>
            <w:vAlign w:val="center"/>
          </w:tcPr>
          <w:p w14:paraId="2F469BC4" w14:textId="2B7D794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79.1</w:t>
            </w:r>
          </w:p>
        </w:tc>
        <w:tc>
          <w:tcPr>
            <w:tcW w:w="1301" w:type="dxa"/>
            <w:tcBorders>
              <w:top w:val="nil"/>
              <w:left w:val="nil"/>
              <w:bottom w:val="single" w:sz="4" w:space="0" w:color="auto"/>
              <w:right w:val="single" w:sz="4" w:space="0" w:color="auto"/>
            </w:tcBorders>
            <w:shd w:val="clear" w:color="000000" w:fill="E7E6E6"/>
            <w:noWrap/>
            <w:vAlign w:val="center"/>
          </w:tcPr>
          <w:p w14:paraId="42D28904" w14:textId="7C9BF37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42.9</w:t>
            </w:r>
          </w:p>
        </w:tc>
        <w:tc>
          <w:tcPr>
            <w:tcW w:w="1181" w:type="dxa"/>
            <w:tcBorders>
              <w:top w:val="nil"/>
              <w:left w:val="nil"/>
              <w:bottom w:val="single" w:sz="4" w:space="0" w:color="auto"/>
              <w:right w:val="single" w:sz="4" w:space="0" w:color="auto"/>
            </w:tcBorders>
            <w:shd w:val="clear" w:color="000000" w:fill="E7E6E6"/>
            <w:noWrap/>
            <w:vAlign w:val="center"/>
          </w:tcPr>
          <w:p w14:paraId="21DF3DFD" w14:textId="4960FE5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58.7</w:t>
            </w:r>
          </w:p>
        </w:tc>
      </w:tr>
      <w:tr w:rsidR="005A3FC1" w:rsidRPr="00646B6F" w14:paraId="20F7B28B"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E838E73" w14:textId="1743A40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auto" w:fill="auto"/>
            <w:noWrap/>
            <w:vAlign w:val="center"/>
          </w:tcPr>
          <w:p w14:paraId="47FCBC7A" w14:textId="02DFC483"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Autónoma de Madrid</w:t>
            </w:r>
          </w:p>
        </w:tc>
        <w:tc>
          <w:tcPr>
            <w:tcW w:w="838" w:type="dxa"/>
            <w:tcBorders>
              <w:top w:val="nil"/>
              <w:left w:val="nil"/>
              <w:bottom w:val="single" w:sz="4" w:space="0" w:color="auto"/>
              <w:right w:val="single" w:sz="4" w:space="0" w:color="auto"/>
            </w:tcBorders>
            <w:shd w:val="clear" w:color="auto" w:fill="auto"/>
            <w:vAlign w:val="center"/>
          </w:tcPr>
          <w:p w14:paraId="45D760F9" w14:textId="71A65BC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auto" w:fill="auto"/>
            <w:noWrap/>
            <w:vAlign w:val="center"/>
          </w:tcPr>
          <w:p w14:paraId="72B00353" w14:textId="70BC322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auto" w:fill="auto"/>
            <w:noWrap/>
            <w:vAlign w:val="center"/>
          </w:tcPr>
          <w:p w14:paraId="657C834E" w14:textId="141D7D1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29.5</w:t>
            </w:r>
          </w:p>
        </w:tc>
        <w:tc>
          <w:tcPr>
            <w:tcW w:w="1131" w:type="dxa"/>
            <w:tcBorders>
              <w:top w:val="nil"/>
              <w:left w:val="nil"/>
              <w:bottom w:val="single" w:sz="4" w:space="0" w:color="auto"/>
              <w:right w:val="single" w:sz="4" w:space="0" w:color="auto"/>
            </w:tcBorders>
            <w:shd w:val="clear" w:color="auto" w:fill="auto"/>
            <w:noWrap/>
            <w:vAlign w:val="center"/>
          </w:tcPr>
          <w:p w14:paraId="74C646C9" w14:textId="2E7313F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17.4</w:t>
            </w:r>
          </w:p>
        </w:tc>
        <w:tc>
          <w:tcPr>
            <w:tcW w:w="854" w:type="dxa"/>
            <w:tcBorders>
              <w:top w:val="nil"/>
              <w:left w:val="nil"/>
              <w:bottom w:val="single" w:sz="4" w:space="0" w:color="auto"/>
              <w:right w:val="single" w:sz="4" w:space="0" w:color="auto"/>
            </w:tcBorders>
            <w:shd w:val="clear" w:color="auto" w:fill="auto"/>
            <w:vAlign w:val="center"/>
          </w:tcPr>
          <w:p w14:paraId="75968C18" w14:textId="587250B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70.6</w:t>
            </w:r>
          </w:p>
        </w:tc>
        <w:tc>
          <w:tcPr>
            <w:tcW w:w="1301" w:type="dxa"/>
            <w:tcBorders>
              <w:top w:val="nil"/>
              <w:left w:val="nil"/>
              <w:bottom w:val="single" w:sz="4" w:space="0" w:color="auto"/>
              <w:right w:val="single" w:sz="4" w:space="0" w:color="auto"/>
            </w:tcBorders>
            <w:shd w:val="clear" w:color="auto" w:fill="auto"/>
            <w:noWrap/>
            <w:vAlign w:val="center"/>
          </w:tcPr>
          <w:p w14:paraId="2B897752" w14:textId="733E26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36.5</w:t>
            </w:r>
          </w:p>
        </w:tc>
        <w:tc>
          <w:tcPr>
            <w:tcW w:w="1181" w:type="dxa"/>
            <w:tcBorders>
              <w:top w:val="nil"/>
              <w:left w:val="nil"/>
              <w:bottom w:val="single" w:sz="4" w:space="0" w:color="auto"/>
              <w:right w:val="single" w:sz="4" w:space="0" w:color="auto"/>
            </w:tcBorders>
            <w:shd w:val="clear" w:color="auto" w:fill="auto"/>
            <w:noWrap/>
            <w:vAlign w:val="center"/>
          </w:tcPr>
          <w:p w14:paraId="53B34F58" w14:textId="2855426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53</w:t>
            </w:r>
          </w:p>
        </w:tc>
      </w:tr>
      <w:tr w:rsidR="005A3FC1" w:rsidRPr="00646B6F" w14:paraId="23E596E6"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59895496" w14:textId="2761BC9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000000" w:fill="E7E6E6"/>
            <w:noWrap/>
            <w:vAlign w:val="center"/>
          </w:tcPr>
          <w:p w14:paraId="047EF362" w14:textId="7677D154"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Antofagasta</w:t>
            </w:r>
          </w:p>
        </w:tc>
        <w:tc>
          <w:tcPr>
            <w:tcW w:w="838" w:type="dxa"/>
            <w:tcBorders>
              <w:top w:val="nil"/>
              <w:left w:val="nil"/>
              <w:bottom w:val="single" w:sz="4" w:space="0" w:color="auto"/>
              <w:right w:val="single" w:sz="4" w:space="0" w:color="auto"/>
            </w:tcBorders>
            <w:shd w:val="clear" w:color="000000" w:fill="E7E6E6"/>
            <w:vAlign w:val="center"/>
          </w:tcPr>
          <w:p w14:paraId="154BB7DE" w14:textId="27C1BF7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Chile</w:t>
            </w:r>
          </w:p>
        </w:tc>
        <w:tc>
          <w:tcPr>
            <w:tcW w:w="1049" w:type="dxa"/>
            <w:tcBorders>
              <w:top w:val="nil"/>
              <w:left w:val="nil"/>
              <w:bottom w:val="single" w:sz="4" w:space="0" w:color="auto"/>
              <w:right w:val="single" w:sz="4" w:space="0" w:color="auto"/>
            </w:tcBorders>
            <w:shd w:val="clear" w:color="000000" w:fill="E7E6E6"/>
            <w:noWrap/>
            <w:vAlign w:val="center"/>
          </w:tcPr>
          <w:p w14:paraId="14D97B25" w14:textId="4D5571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000000" w:fill="E7E6E6"/>
            <w:noWrap/>
            <w:vAlign w:val="center"/>
          </w:tcPr>
          <w:p w14:paraId="7655F675" w14:textId="764056B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14.1</w:t>
            </w:r>
          </w:p>
        </w:tc>
        <w:tc>
          <w:tcPr>
            <w:tcW w:w="1131" w:type="dxa"/>
            <w:tcBorders>
              <w:top w:val="nil"/>
              <w:left w:val="nil"/>
              <w:bottom w:val="single" w:sz="4" w:space="0" w:color="auto"/>
              <w:right w:val="single" w:sz="4" w:space="0" w:color="auto"/>
            </w:tcBorders>
            <w:shd w:val="clear" w:color="000000" w:fill="E7E6E6"/>
            <w:noWrap/>
            <w:vAlign w:val="center"/>
          </w:tcPr>
          <w:p w14:paraId="5ADCD34C" w14:textId="06E382F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8.7</w:t>
            </w:r>
          </w:p>
        </w:tc>
        <w:tc>
          <w:tcPr>
            <w:tcW w:w="854" w:type="dxa"/>
            <w:tcBorders>
              <w:top w:val="nil"/>
              <w:left w:val="nil"/>
              <w:bottom w:val="single" w:sz="4" w:space="0" w:color="auto"/>
              <w:right w:val="single" w:sz="4" w:space="0" w:color="auto"/>
            </w:tcBorders>
            <w:shd w:val="clear" w:color="000000" w:fill="E7E6E6"/>
            <w:vAlign w:val="center"/>
          </w:tcPr>
          <w:p w14:paraId="64A300EB" w14:textId="1F7AEB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91.5</w:t>
            </w:r>
          </w:p>
        </w:tc>
        <w:tc>
          <w:tcPr>
            <w:tcW w:w="1301" w:type="dxa"/>
            <w:tcBorders>
              <w:top w:val="nil"/>
              <w:left w:val="nil"/>
              <w:bottom w:val="single" w:sz="4" w:space="0" w:color="auto"/>
              <w:right w:val="single" w:sz="4" w:space="0" w:color="auto"/>
            </w:tcBorders>
            <w:shd w:val="clear" w:color="000000" w:fill="E7E6E6"/>
            <w:noWrap/>
            <w:vAlign w:val="center"/>
          </w:tcPr>
          <w:p w14:paraId="5C67304E" w14:textId="21BFFA4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33.7</w:t>
            </w:r>
          </w:p>
        </w:tc>
        <w:tc>
          <w:tcPr>
            <w:tcW w:w="1181" w:type="dxa"/>
            <w:tcBorders>
              <w:top w:val="nil"/>
              <w:left w:val="nil"/>
              <w:bottom w:val="single" w:sz="4" w:space="0" w:color="auto"/>
              <w:right w:val="single" w:sz="4" w:space="0" w:color="auto"/>
            </w:tcBorders>
            <w:shd w:val="clear" w:color="000000" w:fill="E7E6E6"/>
            <w:noWrap/>
            <w:vAlign w:val="center"/>
          </w:tcPr>
          <w:p w14:paraId="7DB5009E" w14:textId="2FEAB2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55.4</w:t>
            </w:r>
          </w:p>
        </w:tc>
      </w:tr>
      <w:tr w:rsidR="005A3FC1" w:rsidRPr="00646B6F" w14:paraId="63EB2B82"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9DAC5CE" w14:textId="323B1E9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auto" w:fill="auto"/>
            <w:noWrap/>
            <w:vAlign w:val="center"/>
          </w:tcPr>
          <w:p w14:paraId="18E337EB" w14:textId="53614620"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La Laguna</w:t>
            </w:r>
          </w:p>
        </w:tc>
        <w:tc>
          <w:tcPr>
            <w:tcW w:w="838" w:type="dxa"/>
            <w:tcBorders>
              <w:top w:val="nil"/>
              <w:left w:val="nil"/>
              <w:bottom w:val="single" w:sz="4" w:space="0" w:color="auto"/>
              <w:right w:val="single" w:sz="4" w:space="0" w:color="auto"/>
            </w:tcBorders>
            <w:shd w:val="clear" w:color="auto" w:fill="auto"/>
            <w:vAlign w:val="center"/>
          </w:tcPr>
          <w:p w14:paraId="5FE5022B" w14:textId="13F08CE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auto" w:fill="auto"/>
            <w:noWrap/>
            <w:vAlign w:val="center"/>
          </w:tcPr>
          <w:p w14:paraId="6F91169E" w14:textId="5A7778A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auto" w:fill="auto"/>
            <w:noWrap/>
            <w:vAlign w:val="center"/>
          </w:tcPr>
          <w:p w14:paraId="2C1D93ED" w14:textId="3954035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18.9</w:t>
            </w:r>
          </w:p>
        </w:tc>
        <w:tc>
          <w:tcPr>
            <w:tcW w:w="1131" w:type="dxa"/>
            <w:tcBorders>
              <w:top w:val="nil"/>
              <w:left w:val="nil"/>
              <w:bottom w:val="single" w:sz="4" w:space="0" w:color="auto"/>
              <w:right w:val="single" w:sz="4" w:space="0" w:color="auto"/>
            </w:tcBorders>
            <w:shd w:val="clear" w:color="auto" w:fill="auto"/>
            <w:noWrap/>
            <w:vAlign w:val="center"/>
          </w:tcPr>
          <w:p w14:paraId="05C0AD90" w14:textId="6CCCBE8E"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10.1</w:t>
            </w:r>
          </w:p>
        </w:tc>
        <w:tc>
          <w:tcPr>
            <w:tcW w:w="854" w:type="dxa"/>
            <w:tcBorders>
              <w:top w:val="nil"/>
              <w:left w:val="nil"/>
              <w:bottom w:val="single" w:sz="4" w:space="0" w:color="auto"/>
              <w:right w:val="single" w:sz="4" w:space="0" w:color="auto"/>
            </w:tcBorders>
            <w:shd w:val="clear" w:color="auto" w:fill="auto"/>
            <w:vAlign w:val="center"/>
          </w:tcPr>
          <w:p w14:paraId="4BCF2535" w14:textId="64A02B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81.4</w:t>
            </w:r>
          </w:p>
        </w:tc>
        <w:tc>
          <w:tcPr>
            <w:tcW w:w="1301" w:type="dxa"/>
            <w:tcBorders>
              <w:top w:val="nil"/>
              <w:left w:val="nil"/>
              <w:bottom w:val="single" w:sz="4" w:space="0" w:color="auto"/>
              <w:right w:val="single" w:sz="4" w:space="0" w:color="auto"/>
            </w:tcBorders>
            <w:shd w:val="clear" w:color="auto" w:fill="auto"/>
            <w:noWrap/>
            <w:vAlign w:val="center"/>
          </w:tcPr>
          <w:p w14:paraId="64D34F6C" w14:textId="1A329C3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33.8</w:t>
            </w:r>
          </w:p>
        </w:tc>
        <w:tc>
          <w:tcPr>
            <w:tcW w:w="1181" w:type="dxa"/>
            <w:tcBorders>
              <w:top w:val="nil"/>
              <w:left w:val="nil"/>
              <w:bottom w:val="single" w:sz="4" w:space="0" w:color="auto"/>
              <w:right w:val="single" w:sz="4" w:space="0" w:color="auto"/>
            </w:tcBorders>
            <w:shd w:val="clear" w:color="auto" w:fill="auto"/>
            <w:noWrap/>
            <w:vAlign w:val="center"/>
          </w:tcPr>
          <w:p w14:paraId="199AD507" w14:textId="035410F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54.3</w:t>
            </w:r>
          </w:p>
        </w:tc>
      </w:tr>
      <w:tr w:rsidR="005A3FC1" w:rsidRPr="00646B6F" w14:paraId="267B219F"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4FF0FC62" w14:textId="0AD40D7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000000" w:fill="E7E6E6"/>
            <w:noWrap/>
            <w:vAlign w:val="center"/>
          </w:tcPr>
          <w:p w14:paraId="6B0F137D" w14:textId="6B0BEDA5"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las Islas Baleares</w:t>
            </w:r>
          </w:p>
        </w:tc>
        <w:tc>
          <w:tcPr>
            <w:tcW w:w="838" w:type="dxa"/>
            <w:tcBorders>
              <w:top w:val="nil"/>
              <w:left w:val="nil"/>
              <w:bottom w:val="single" w:sz="4" w:space="0" w:color="auto"/>
              <w:right w:val="single" w:sz="4" w:space="0" w:color="auto"/>
            </w:tcBorders>
            <w:shd w:val="clear" w:color="000000" w:fill="E7E6E6"/>
            <w:vAlign w:val="center"/>
          </w:tcPr>
          <w:p w14:paraId="3C6BA516" w14:textId="3F12204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000000" w:fill="E7E6E6"/>
            <w:noWrap/>
            <w:vAlign w:val="center"/>
          </w:tcPr>
          <w:p w14:paraId="08A90E71" w14:textId="13B7CD6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000000" w:fill="E7E6E6"/>
            <w:noWrap/>
            <w:vAlign w:val="center"/>
          </w:tcPr>
          <w:p w14:paraId="589BC989" w14:textId="3580631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13.3</w:t>
            </w:r>
          </w:p>
        </w:tc>
        <w:tc>
          <w:tcPr>
            <w:tcW w:w="1131" w:type="dxa"/>
            <w:tcBorders>
              <w:top w:val="nil"/>
              <w:left w:val="nil"/>
              <w:bottom w:val="single" w:sz="4" w:space="0" w:color="auto"/>
              <w:right w:val="single" w:sz="4" w:space="0" w:color="auto"/>
            </w:tcBorders>
            <w:shd w:val="clear" w:color="000000" w:fill="E7E6E6"/>
            <w:noWrap/>
            <w:vAlign w:val="center"/>
          </w:tcPr>
          <w:p w14:paraId="6B8F675B" w14:textId="0C815B5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10.8</w:t>
            </w:r>
          </w:p>
        </w:tc>
        <w:tc>
          <w:tcPr>
            <w:tcW w:w="854" w:type="dxa"/>
            <w:tcBorders>
              <w:top w:val="nil"/>
              <w:left w:val="nil"/>
              <w:bottom w:val="single" w:sz="4" w:space="0" w:color="auto"/>
              <w:right w:val="single" w:sz="4" w:space="0" w:color="auto"/>
            </w:tcBorders>
            <w:shd w:val="clear" w:color="000000" w:fill="E7E6E6"/>
            <w:vAlign w:val="center"/>
          </w:tcPr>
          <w:p w14:paraId="777CFF0C" w14:textId="2899F41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88.8</w:t>
            </w:r>
          </w:p>
        </w:tc>
        <w:tc>
          <w:tcPr>
            <w:tcW w:w="1301" w:type="dxa"/>
            <w:tcBorders>
              <w:top w:val="nil"/>
              <w:left w:val="nil"/>
              <w:bottom w:val="single" w:sz="4" w:space="0" w:color="auto"/>
              <w:right w:val="single" w:sz="4" w:space="0" w:color="auto"/>
            </w:tcBorders>
            <w:shd w:val="clear" w:color="000000" w:fill="E7E6E6"/>
            <w:noWrap/>
            <w:vAlign w:val="center"/>
          </w:tcPr>
          <w:p w14:paraId="11516C45" w14:textId="5C50118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33.8</w:t>
            </w:r>
          </w:p>
        </w:tc>
        <w:tc>
          <w:tcPr>
            <w:tcW w:w="1181" w:type="dxa"/>
            <w:tcBorders>
              <w:top w:val="nil"/>
              <w:left w:val="nil"/>
              <w:bottom w:val="single" w:sz="4" w:space="0" w:color="auto"/>
              <w:right w:val="single" w:sz="4" w:space="0" w:color="auto"/>
            </w:tcBorders>
            <w:shd w:val="clear" w:color="000000" w:fill="E7E6E6"/>
            <w:noWrap/>
            <w:vAlign w:val="center"/>
          </w:tcPr>
          <w:p w14:paraId="7BB33EBF" w14:textId="40F2719B"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51.5</w:t>
            </w:r>
          </w:p>
        </w:tc>
      </w:tr>
      <w:tr w:rsidR="005A3FC1" w:rsidRPr="00646B6F" w14:paraId="64D8A049"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CC58A88" w14:textId="1E1593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auto" w:fill="auto"/>
            <w:noWrap/>
            <w:vAlign w:val="center"/>
          </w:tcPr>
          <w:p w14:paraId="21605EF9" w14:textId="760AD639"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Valencia</w:t>
            </w:r>
          </w:p>
        </w:tc>
        <w:tc>
          <w:tcPr>
            <w:tcW w:w="838" w:type="dxa"/>
            <w:tcBorders>
              <w:top w:val="nil"/>
              <w:left w:val="nil"/>
              <w:bottom w:val="single" w:sz="4" w:space="0" w:color="auto"/>
              <w:right w:val="single" w:sz="4" w:space="0" w:color="auto"/>
            </w:tcBorders>
            <w:shd w:val="clear" w:color="auto" w:fill="auto"/>
            <w:vAlign w:val="center"/>
          </w:tcPr>
          <w:p w14:paraId="09282896" w14:textId="7E0478B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auto" w:fill="auto"/>
            <w:noWrap/>
            <w:vAlign w:val="center"/>
          </w:tcPr>
          <w:p w14:paraId="64A9C9D2" w14:textId="1FCA068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auto" w:fill="auto"/>
            <w:noWrap/>
            <w:vAlign w:val="center"/>
          </w:tcPr>
          <w:p w14:paraId="60B07A7E" w14:textId="7EC5DBB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w:t>
            </w:r>
          </w:p>
        </w:tc>
        <w:tc>
          <w:tcPr>
            <w:tcW w:w="1131" w:type="dxa"/>
            <w:tcBorders>
              <w:top w:val="nil"/>
              <w:left w:val="nil"/>
              <w:bottom w:val="single" w:sz="4" w:space="0" w:color="auto"/>
              <w:right w:val="single" w:sz="4" w:space="0" w:color="auto"/>
            </w:tcBorders>
            <w:shd w:val="clear" w:color="auto" w:fill="auto"/>
            <w:noWrap/>
            <w:vAlign w:val="center"/>
          </w:tcPr>
          <w:p w14:paraId="6D58219E" w14:textId="7770B69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15.4</w:t>
            </w:r>
          </w:p>
        </w:tc>
        <w:tc>
          <w:tcPr>
            <w:tcW w:w="854" w:type="dxa"/>
            <w:tcBorders>
              <w:top w:val="nil"/>
              <w:left w:val="nil"/>
              <w:bottom w:val="single" w:sz="4" w:space="0" w:color="auto"/>
              <w:right w:val="single" w:sz="4" w:space="0" w:color="auto"/>
            </w:tcBorders>
            <w:shd w:val="clear" w:color="auto" w:fill="auto"/>
            <w:vAlign w:val="center"/>
          </w:tcPr>
          <w:p w14:paraId="690E8F2D" w14:textId="637941C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72.1</w:t>
            </w:r>
          </w:p>
        </w:tc>
        <w:tc>
          <w:tcPr>
            <w:tcW w:w="1301" w:type="dxa"/>
            <w:tcBorders>
              <w:top w:val="nil"/>
              <w:left w:val="nil"/>
              <w:bottom w:val="single" w:sz="4" w:space="0" w:color="auto"/>
              <w:right w:val="single" w:sz="4" w:space="0" w:color="auto"/>
            </w:tcBorders>
            <w:shd w:val="clear" w:color="auto" w:fill="auto"/>
            <w:noWrap/>
            <w:vAlign w:val="center"/>
          </w:tcPr>
          <w:p w14:paraId="6E979706" w14:textId="56DF114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39.6</w:t>
            </w:r>
          </w:p>
        </w:tc>
        <w:tc>
          <w:tcPr>
            <w:tcW w:w="1181" w:type="dxa"/>
            <w:tcBorders>
              <w:top w:val="nil"/>
              <w:left w:val="nil"/>
              <w:bottom w:val="single" w:sz="4" w:space="0" w:color="auto"/>
              <w:right w:val="single" w:sz="4" w:space="0" w:color="auto"/>
            </w:tcBorders>
            <w:shd w:val="clear" w:color="auto" w:fill="auto"/>
            <w:noWrap/>
            <w:vAlign w:val="center"/>
          </w:tcPr>
          <w:p w14:paraId="4889ADAD" w14:textId="115A9458"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52.8</w:t>
            </w:r>
          </w:p>
        </w:tc>
      </w:tr>
      <w:tr w:rsidR="005A3FC1" w:rsidRPr="00646B6F" w14:paraId="332BA213"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6589F393" w14:textId="3651B55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301–400</w:t>
            </w:r>
          </w:p>
        </w:tc>
        <w:tc>
          <w:tcPr>
            <w:tcW w:w="3448" w:type="dxa"/>
            <w:tcBorders>
              <w:top w:val="nil"/>
              <w:left w:val="nil"/>
              <w:bottom w:val="single" w:sz="4" w:space="0" w:color="auto"/>
              <w:right w:val="single" w:sz="4" w:space="0" w:color="auto"/>
            </w:tcBorders>
            <w:shd w:val="clear" w:color="000000" w:fill="E7E6E6"/>
            <w:noWrap/>
            <w:vAlign w:val="center"/>
          </w:tcPr>
          <w:p w14:paraId="78522D2F" w14:textId="3060BBC2"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Rovira i Virgili</w:t>
            </w:r>
          </w:p>
        </w:tc>
        <w:tc>
          <w:tcPr>
            <w:tcW w:w="838" w:type="dxa"/>
            <w:tcBorders>
              <w:top w:val="nil"/>
              <w:left w:val="nil"/>
              <w:bottom w:val="single" w:sz="4" w:space="0" w:color="auto"/>
              <w:right w:val="single" w:sz="4" w:space="0" w:color="auto"/>
            </w:tcBorders>
            <w:shd w:val="clear" w:color="000000" w:fill="E7E6E6"/>
            <w:vAlign w:val="center"/>
          </w:tcPr>
          <w:p w14:paraId="039C5BAA" w14:textId="1CF608C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España</w:t>
            </w:r>
          </w:p>
        </w:tc>
        <w:tc>
          <w:tcPr>
            <w:tcW w:w="1049" w:type="dxa"/>
            <w:tcBorders>
              <w:top w:val="nil"/>
              <w:left w:val="nil"/>
              <w:bottom w:val="single" w:sz="4" w:space="0" w:color="auto"/>
              <w:right w:val="single" w:sz="4" w:space="0" w:color="auto"/>
            </w:tcBorders>
            <w:shd w:val="clear" w:color="000000" w:fill="E7E6E6"/>
            <w:noWrap/>
            <w:vAlign w:val="center"/>
          </w:tcPr>
          <w:p w14:paraId="20753857" w14:textId="04DB84E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40.2–43.9</w:t>
            </w:r>
          </w:p>
        </w:tc>
        <w:tc>
          <w:tcPr>
            <w:tcW w:w="845" w:type="dxa"/>
            <w:tcBorders>
              <w:top w:val="nil"/>
              <w:left w:val="nil"/>
              <w:bottom w:val="single" w:sz="4" w:space="0" w:color="auto"/>
              <w:right w:val="single" w:sz="4" w:space="0" w:color="auto"/>
            </w:tcBorders>
            <w:shd w:val="clear" w:color="000000" w:fill="E7E6E6"/>
            <w:noWrap/>
            <w:vAlign w:val="center"/>
          </w:tcPr>
          <w:p w14:paraId="4BFF2231" w14:textId="46C6125C"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22.2</w:t>
            </w:r>
          </w:p>
        </w:tc>
        <w:tc>
          <w:tcPr>
            <w:tcW w:w="1131" w:type="dxa"/>
            <w:tcBorders>
              <w:top w:val="nil"/>
              <w:left w:val="nil"/>
              <w:bottom w:val="single" w:sz="4" w:space="0" w:color="auto"/>
              <w:right w:val="single" w:sz="4" w:space="0" w:color="auto"/>
            </w:tcBorders>
            <w:shd w:val="clear" w:color="000000" w:fill="E7E6E6"/>
            <w:noWrap/>
            <w:vAlign w:val="center"/>
          </w:tcPr>
          <w:p w14:paraId="15CFA1AC" w14:textId="253C989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22.1</w:t>
            </w:r>
          </w:p>
        </w:tc>
        <w:tc>
          <w:tcPr>
            <w:tcW w:w="854" w:type="dxa"/>
            <w:tcBorders>
              <w:top w:val="nil"/>
              <w:left w:val="nil"/>
              <w:bottom w:val="single" w:sz="4" w:space="0" w:color="auto"/>
              <w:right w:val="single" w:sz="4" w:space="0" w:color="auto"/>
            </w:tcBorders>
            <w:shd w:val="clear" w:color="000000" w:fill="E7E6E6"/>
            <w:vAlign w:val="center"/>
          </w:tcPr>
          <w:p w14:paraId="5979FE3A" w14:textId="6FFF6284"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73.3</w:t>
            </w:r>
          </w:p>
        </w:tc>
        <w:tc>
          <w:tcPr>
            <w:tcW w:w="1301" w:type="dxa"/>
            <w:tcBorders>
              <w:top w:val="nil"/>
              <w:left w:val="nil"/>
              <w:bottom w:val="single" w:sz="4" w:space="0" w:color="auto"/>
              <w:right w:val="single" w:sz="4" w:space="0" w:color="auto"/>
            </w:tcBorders>
            <w:shd w:val="clear" w:color="000000" w:fill="E7E6E6"/>
            <w:noWrap/>
            <w:vAlign w:val="center"/>
          </w:tcPr>
          <w:p w14:paraId="381AE07F" w14:textId="694D8F8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48.5</w:t>
            </w:r>
          </w:p>
        </w:tc>
        <w:tc>
          <w:tcPr>
            <w:tcW w:w="1181" w:type="dxa"/>
            <w:tcBorders>
              <w:top w:val="nil"/>
              <w:left w:val="nil"/>
              <w:bottom w:val="single" w:sz="4" w:space="0" w:color="auto"/>
              <w:right w:val="single" w:sz="4" w:space="0" w:color="auto"/>
            </w:tcBorders>
            <w:shd w:val="clear" w:color="000000" w:fill="E7E6E6"/>
            <w:noWrap/>
            <w:vAlign w:val="center"/>
          </w:tcPr>
          <w:p w14:paraId="7A23316A" w14:textId="7B8195D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54.3</w:t>
            </w:r>
          </w:p>
        </w:tc>
      </w:tr>
      <w:tr w:rsidR="005A3FC1" w:rsidRPr="00646B6F" w14:paraId="04C2A3D9"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BF58267" w14:textId="2E08C65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401–500</w:t>
            </w:r>
          </w:p>
        </w:tc>
        <w:tc>
          <w:tcPr>
            <w:tcW w:w="3448" w:type="dxa"/>
            <w:tcBorders>
              <w:top w:val="nil"/>
              <w:left w:val="nil"/>
              <w:bottom w:val="single" w:sz="4" w:space="0" w:color="auto"/>
              <w:right w:val="single" w:sz="4" w:space="0" w:color="auto"/>
            </w:tcBorders>
            <w:shd w:val="clear" w:color="auto" w:fill="auto"/>
            <w:noWrap/>
            <w:vAlign w:val="center"/>
          </w:tcPr>
          <w:p w14:paraId="0498788C" w14:textId="3323C8FD"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Pontificia Universidad Católica de Río de Janeiro</w:t>
            </w:r>
          </w:p>
        </w:tc>
        <w:tc>
          <w:tcPr>
            <w:tcW w:w="838" w:type="dxa"/>
            <w:tcBorders>
              <w:top w:val="nil"/>
              <w:left w:val="nil"/>
              <w:bottom w:val="single" w:sz="4" w:space="0" w:color="auto"/>
              <w:right w:val="single" w:sz="4" w:space="0" w:color="auto"/>
            </w:tcBorders>
            <w:shd w:val="clear" w:color="auto" w:fill="auto"/>
            <w:vAlign w:val="center"/>
          </w:tcPr>
          <w:p w14:paraId="68553F24" w14:textId="4E8BDF1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9" w:type="dxa"/>
            <w:tcBorders>
              <w:top w:val="nil"/>
              <w:left w:val="nil"/>
              <w:bottom w:val="single" w:sz="4" w:space="0" w:color="auto"/>
              <w:right w:val="single" w:sz="4" w:space="0" w:color="auto"/>
            </w:tcBorders>
            <w:shd w:val="clear" w:color="auto" w:fill="auto"/>
            <w:noWrap/>
            <w:vAlign w:val="center"/>
          </w:tcPr>
          <w:p w14:paraId="29642F55" w14:textId="271138A3"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35.7–40.1</w:t>
            </w:r>
          </w:p>
        </w:tc>
        <w:tc>
          <w:tcPr>
            <w:tcW w:w="845" w:type="dxa"/>
            <w:tcBorders>
              <w:top w:val="nil"/>
              <w:left w:val="nil"/>
              <w:bottom w:val="single" w:sz="4" w:space="0" w:color="auto"/>
              <w:right w:val="single" w:sz="4" w:space="0" w:color="auto"/>
            </w:tcBorders>
            <w:shd w:val="clear" w:color="auto" w:fill="auto"/>
            <w:noWrap/>
            <w:vAlign w:val="center"/>
          </w:tcPr>
          <w:p w14:paraId="03788EE6" w14:textId="2923833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21.4</w:t>
            </w:r>
          </w:p>
        </w:tc>
        <w:tc>
          <w:tcPr>
            <w:tcW w:w="1131" w:type="dxa"/>
            <w:tcBorders>
              <w:top w:val="nil"/>
              <w:left w:val="nil"/>
              <w:bottom w:val="single" w:sz="4" w:space="0" w:color="auto"/>
              <w:right w:val="single" w:sz="4" w:space="0" w:color="auto"/>
            </w:tcBorders>
            <w:shd w:val="clear" w:color="auto" w:fill="auto"/>
            <w:noWrap/>
            <w:vAlign w:val="center"/>
          </w:tcPr>
          <w:p w14:paraId="430EB7D0" w14:textId="650F45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17.9</w:t>
            </w:r>
          </w:p>
        </w:tc>
        <w:tc>
          <w:tcPr>
            <w:tcW w:w="854" w:type="dxa"/>
            <w:tcBorders>
              <w:top w:val="nil"/>
              <w:left w:val="nil"/>
              <w:bottom w:val="single" w:sz="4" w:space="0" w:color="auto"/>
              <w:right w:val="single" w:sz="4" w:space="0" w:color="auto"/>
            </w:tcBorders>
            <w:shd w:val="clear" w:color="auto" w:fill="auto"/>
            <w:vAlign w:val="center"/>
          </w:tcPr>
          <w:p w14:paraId="26AE917D" w14:textId="2C701A7F"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61.9</w:t>
            </w:r>
          </w:p>
        </w:tc>
        <w:tc>
          <w:tcPr>
            <w:tcW w:w="1301" w:type="dxa"/>
            <w:tcBorders>
              <w:top w:val="nil"/>
              <w:left w:val="nil"/>
              <w:bottom w:val="single" w:sz="4" w:space="0" w:color="auto"/>
              <w:right w:val="single" w:sz="4" w:space="0" w:color="auto"/>
            </w:tcBorders>
            <w:shd w:val="clear" w:color="auto" w:fill="auto"/>
            <w:noWrap/>
            <w:vAlign w:val="center"/>
          </w:tcPr>
          <w:p w14:paraId="1210239B" w14:textId="3ED66A52"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87.6</w:t>
            </w:r>
          </w:p>
        </w:tc>
        <w:tc>
          <w:tcPr>
            <w:tcW w:w="1181" w:type="dxa"/>
            <w:tcBorders>
              <w:top w:val="nil"/>
              <w:left w:val="nil"/>
              <w:bottom w:val="single" w:sz="4" w:space="0" w:color="auto"/>
              <w:right w:val="single" w:sz="4" w:space="0" w:color="auto"/>
            </w:tcBorders>
            <w:shd w:val="clear" w:color="auto" w:fill="auto"/>
            <w:noWrap/>
            <w:vAlign w:val="center"/>
          </w:tcPr>
          <w:p w14:paraId="1032B7D2" w14:textId="654DB797"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71.2</w:t>
            </w:r>
          </w:p>
        </w:tc>
      </w:tr>
      <w:tr w:rsidR="005A3FC1" w:rsidRPr="00646B6F" w14:paraId="42F4055B"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3A1463EB" w14:textId="33CCBFB5"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401–500</w:t>
            </w:r>
          </w:p>
        </w:tc>
        <w:tc>
          <w:tcPr>
            <w:tcW w:w="3448" w:type="dxa"/>
            <w:tcBorders>
              <w:top w:val="nil"/>
              <w:left w:val="nil"/>
              <w:bottom w:val="single" w:sz="4" w:space="0" w:color="auto"/>
              <w:right w:val="single" w:sz="4" w:space="0" w:color="auto"/>
            </w:tcBorders>
            <w:shd w:val="clear" w:color="000000" w:fill="E7E6E6"/>
            <w:noWrap/>
            <w:vAlign w:val="center"/>
          </w:tcPr>
          <w:p w14:paraId="3B4A0F07" w14:textId="3E32FB94" w:rsidR="005A3FC1" w:rsidRPr="005A3FC1" w:rsidRDefault="005A3FC1" w:rsidP="00CB24EA">
            <w:pPr>
              <w:spacing w:line="240" w:lineRule="auto"/>
              <w:rPr>
                <w:rFonts w:ascii="Calibri" w:eastAsia="Times New Roman" w:hAnsi="Calibri" w:cs="Calibri"/>
                <w:color w:val="000000"/>
                <w:sz w:val="18"/>
                <w:szCs w:val="18"/>
                <w:lang w:eastAsia="es-MX"/>
              </w:rPr>
            </w:pPr>
            <w:r w:rsidRPr="005A3FC1">
              <w:rPr>
                <w:rFonts w:ascii="Calibri" w:hAnsi="Calibri" w:cs="Calibri"/>
                <w:color w:val="000000"/>
                <w:sz w:val="18"/>
                <w:szCs w:val="18"/>
              </w:rPr>
              <w:t>Universidad de Campinas</w:t>
            </w:r>
          </w:p>
        </w:tc>
        <w:tc>
          <w:tcPr>
            <w:tcW w:w="838" w:type="dxa"/>
            <w:tcBorders>
              <w:top w:val="nil"/>
              <w:left w:val="nil"/>
              <w:bottom w:val="single" w:sz="4" w:space="0" w:color="auto"/>
              <w:right w:val="single" w:sz="4" w:space="0" w:color="auto"/>
            </w:tcBorders>
            <w:shd w:val="clear" w:color="000000" w:fill="E7E6E6"/>
            <w:vAlign w:val="center"/>
          </w:tcPr>
          <w:p w14:paraId="232F6586" w14:textId="69B3592A"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Brasil</w:t>
            </w:r>
          </w:p>
        </w:tc>
        <w:tc>
          <w:tcPr>
            <w:tcW w:w="1049" w:type="dxa"/>
            <w:tcBorders>
              <w:top w:val="nil"/>
              <w:left w:val="nil"/>
              <w:bottom w:val="single" w:sz="4" w:space="0" w:color="auto"/>
              <w:right w:val="single" w:sz="4" w:space="0" w:color="auto"/>
            </w:tcBorders>
            <w:shd w:val="clear" w:color="000000" w:fill="E7E6E6"/>
            <w:noWrap/>
            <w:vAlign w:val="center"/>
          </w:tcPr>
          <w:p w14:paraId="6C568152" w14:textId="1BEB1EFD"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35.7–40.1</w:t>
            </w:r>
          </w:p>
        </w:tc>
        <w:tc>
          <w:tcPr>
            <w:tcW w:w="845" w:type="dxa"/>
            <w:tcBorders>
              <w:top w:val="nil"/>
              <w:left w:val="nil"/>
              <w:bottom w:val="single" w:sz="4" w:space="0" w:color="auto"/>
              <w:right w:val="single" w:sz="4" w:space="0" w:color="auto"/>
            </w:tcBorders>
            <w:shd w:val="clear" w:color="000000" w:fill="E7E6E6"/>
            <w:noWrap/>
            <w:vAlign w:val="center"/>
          </w:tcPr>
          <w:p w14:paraId="4DAC171B" w14:textId="6692505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29.4</w:t>
            </w:r>
          </w:p>
        </w:tc>
        <w:tc>
          <w:tcPr>
            <w:tcW w:w="1131" w:type="dxa"/>
            <w:tcBorders>
              <w:top w:val="nil"/>
              <w:left w:val="nil"/>
              <w:bottom w:val="single" w:sz="4" w:space="0" w:color="auto"/>
              <w:right w:val="single" w:sz="4" w:space="0" w:color="auto"/>
            </w:tcBorders>
            <w:shd w:val="clear" w:color="000000" w:fill="E7E6E6"/>
            <w:noWrap/>
            <w:vAlign w:val="center"/>
          </w:tcPr>
          <w:p w14:paraId="5DFF4B70" w14:textId="06764D21"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26.7</w:t>
            </w:r>
          </w:p>
        </w:tc>
        <w:tc>
          <w:tcPr>
            <w:tcW w:w="854" w:type="dxa"/>
            <w:tcBorders>
              <w:top w:val="nil"/>
              <w:left w:val="nil"/>
              <w:bottom w:val="single" w:sz="4" w:space="0" w:color="auto"/>
              <w:right w:val="single" w:sz="4" w:space="0" w:color="auto"/>
            </w:tcBorders>
            <w:shd w:val="clear" w:color="000000" w:fill="E7E6E6"/>
            <w:vAlign w:val="center"/>
          </w:tcPr>
          <w:p w14:paraId="25FDDF5B" w14:textId="6A6DDC29"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47.6</w:t>
            </w:r>
          </w:p>
        </w:tc>
        <w:tc>
          <w:tcPr>
            <w:tcW w:w="1301" w:type="dxa"/>
            <w:tcBorders>
              <w:top w:val="nil"/>
              <w:left w:val="nil"/>
              <w:bottom w:val="single" w:sz="4" w:space="0" w:color="auto"/>
              <w:right w:val="single" w:sz="4" w:space="0" w:color="auto"/>
            </w:tcBorders>
            <w:shd w:val="clear" w:color="000000" w:fill="E7E6E6"/>
            <w:noWrap/>
            <w:vAlign w:val="center"/>
          </w:tcPr>
          <w:p w14:paraId="176E6D78" w14:textId="16425400"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47.8</w:t>
            </w:r>
          </w:p>
        </w:tc>
        <w:tc>
          <w:tcPr>
            <w:tcW w:w="1181" w:type="dxa"/>
            <w:tcBorders>
              <w:top w:val="nil"/>
              <w:left w:val="nil"/>
              <w:bottom w:val="single" w:sz="4" w:space="0" w:color="auto"/>
              <w:right w:val="single" w:sz="4" w:space="0" w:color="auto"/>
            </w:tcBorders>
            <w:shd w:val="clear" w:color="000000" w:fill="E7E6E6"/>
            <w:noWrap/>
            <w:vAlign w:val="center"/>
          </w:tcPr>
          <w:p w14:paraId="026A4C0B" w14:textId="72123636" w:rsidR="005A3FC1" w:rsidRPr="005A3FC1" w:rsidRDefault="005A3FC1" w:rsidP="00CB24EA">
            <w:pPr>
              <w:spacing w:line="240" w:lineRule="auto"/>
              <w:jc w:val="center"/>
              <w:rPr>
                <w:rFonts w:ascii="Calibri" w:eastAsia="Times New Roman" w:hAnsi="Calibri" w:cs="Calibri"/>
                <w:color w:val="000000"/>
                <w:sz w:val="18"/>
                <w:szCs w:val="18"/>
                <w:lang w:eastAsia="es-MX"/>
              </w:rPr>
            </w:pPr>
            <w:r w:rsidRPr="005A3FC1">
              <w:rPr>
                <w:rFonts w:ascii="Calibri" w:hAnsi="Calibri" w:cs="Calibri"/>
                <w:color w:val="000000"/>
                <w:sz w:val="18"/>
                <w:szCs w:val="18"/>
              </w:rPr>
              <w:t>37.9</w:t>
            </w:r>
          </w:p>
        </w:tc>
      </w:tr>
      <w:tr w:rsidR="00F22221" w:rsidRPr="00F46F74" w14:paraId="6C33CB15" w14:textId="77777777" w:rsidTr="00F27222">
        <w:trPr>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67E5937" w14:textId="217A32DA"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601–800</w:t>
            </w:r>
          </w:p>
        </w:tc>
        <w:tc>
          <w:tcPr>
            <w:tcW w:w="3448" w:type="dxa"/>
            <w:tcBorders>
              <w:top w:val="nil"/>
              <w:left w:val="nil"/>
              <w:bottom w:val="single" w:sz="4" w:space="0" w:color="auto"/>
              <w:right w:val="single" w:sz="4" w:space="0" w:color="auto"/>
            </w:tcBorders>
            <w:shd w:val="clear" w:color="auto" w:fill="auto"/>
            <w:noWrap/>
            <w:vAlign w:val="center"/>
          </w:tcPr>
          <w:p w14:paraId="583165B3" w14:textId="67FDA118" w:rsidR="00F22221" w:rsidRPr="00F27222" w:rsidRDefault="00F2222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38" w:type="dxa"/>
            <w:tcBorders>
              <w:top w:val="nil"/>
              <w:left w:val="nil"/>
              <w:bottom w:val="single" w:sz="4" w:space="0" w:color="auto"/>
              <w:right w:val="single" w:sz="4" w:space="0" w:color="auto"/>
            </w:tcBorders>
            <w:shd w:val="clear" w:color="auto" w:fill="auto"/>
            <w:vAlign w:val="center"/>
          </w:tcPr>
          <w:p w14:paraId="7A17723E" w14:textId="081A1600"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9" w:type="dxa"/>
            <w:tcBorders>
              <w:top w:val="nil"/>
              <w:left w:val="nil"/>
              <w:bottom w:val="single" w:sz="4" w:space="0" w:color="auto"/>
              <w:right w:val="single" w:sz="4" w:space="0" w:color="auto"/>
            </w:tcBorders>
            <w:shd w:val="clear" w:color="auto" w:fill="auto"/>
            <w:noWrap/>
            <w:vAlign w:val="center"/>
          </w:tcPr>
          <w:p w14:paraId="7086BC24" w14:textId="6BCAB046"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23.1–31.6</w:t>
            </w:r>
          </w:p>
        </w:tc>
        <w:tc>
          <w:tcPr>
            <w:tcW w:w="845" w:type="dxa"/>
            <w:tcBorders>
              <w:top w:val="nil"/>
              <w:left w:val="nil"/>
              <w:bottom w:val="single" w:sz="4" w:space="0" w:color="auto"/>
              <w:right w:val="single" w:sz="4" w:space="0" w:color="auto"/>
            </w:tcBorders>
            <w:shd w:val="clear" w:color="auto" w:fill="auto"/>
            <w:noWrap/>
            <w:vAlign w:val="center"/>
          </w:tcPr>
          <w:p w14:paraId="7BECA896" w14:textId="59D9690F"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20.8</w:t>
            </w:r>
          </w:p>
        </w:tc>
        <w:tc>
          <w:tcPr>
            <w:tcW w:w="1131" w:type="dxa"/>
            <w:tcBorders>
              <w:top w:val="nil"/>
              <w:left w:val="nil"/>
              <w:bottom w:val="single" w:sz="4" w:space="0" w:color="auto"/>
              <w:right w:val="single" w:sz="4" w:space="0" w:color="auto"/>
            </w:tcBorders>
            <w:shd w:val="clear" w:color="auto" w:fill="auto"/>
            <w:noWrap/>
            <w:vAlign w:val="center"/>
          </w:tcPr>
          <w:p w14:paraId="410C77E8" w14:textId="04A05991"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18.5</w:t>
            </w:r>
          </w:p>
        </w:tc>
        <w:tc>
          <w:tcPr>
            <w:tcW w:w="854" w:type="dxa"/>
            <w:tcBorders>
              <w:top w:val="nil"/>
              <w:left w:val="nil"/>
              <w:bottom w:val="single" w:sz="4" w:space="0" w:color="auto"/>
              <w:right w:val="single" w:sz="4" w:space="0" w:color="auto"/>
            </w:tcBorders>
            <w:shd w:val="clear" w:color="auto" w:fill="auto"/>
            <w:vAlign w:val="center"/>
          </w:tcPr>
          <w:p w14:paraId="1660CB09" w14:textId="1698BF7C"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26.4</w:t>
            </w:r>
          </w:p>
        </w:tc>
        <w:tc>
          <w:tcPr>
            <w:tcW w:w="1301" w:type="dxa"/>
            <w:tcBorders>
              <w:top w:val="nil"/>
              <w:left w:val="nil"/>
              <w:bottom w:val="single" w:sz="4" w:space="0" w:color="auto"/>
              <w:right w:val="single" w:sz="4" w:space="0" w:color="auto"/>
            </w:tcBorders>
            <w:shd w:val="clear" w:color="auto" w:fill="auto"/>
            <w:noWrap/>
            <w:vAlign w:val="center"/>
          </w:tcPr>
          <w:p w14:paraId="1A59E440" w14:textId="7CF6A72C"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86</w:t>
            </w:r>
          </w:p>
        </w:tc>
        <w:tc>
          <w:tcPr>
            <w:tcW w:w="1181" w:type="dxa"/>
            <w:tcBorders>
              <w:top w:val="nil"/>
              <w:left w:val="nil"/>
              <w:bottom w:val="single" w:sz="4" w:space="0" w:color="auto"/>
              <w:right w:val="single" w:sz="4" w:space="0" w:color="auto"/>
            </w:tcBorders>
            <w:shd w:val="clear" w:color="auto" w:fill="auto"/>
            <w:noWrap/>
            <w:vAlign w:val="center"/>
          </w:tcPr>
          <w:p w14:paraId="059625C6" w14:textId="1D784CDB"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59.1</w:t>
            </w:r>
          </w:p>
        </w:tc>
      </w:tr>
    </w:tbl>
    <w:p w14:paraId="41F2B6C4" w14:textId="77777777" w:rsidR="0081233E" w:rsidRPr="00646B6F" w:rsidRDefault="0081233E" w:rsidP="0078703F">
      <w:pPr>
        <w:spacing w:line="240" w:lineRule="auto"/>
      </w:pPr>
    </w:p>
    <w:tbl>
      <w:tblPr>
        <w:tblW w:w="11445" w:type="dxa"/>
        <w:jc w:val="center"/>
        <w:tblCellMar>
          <w:left w:w="70" w:type="dxa"/>
          <w:right w:w="70" w:type="dxa"/>
        </w:tblCellMar>
        <w:tblLook w:val="04A0" w:firstRow="1" w:lastRow="0" w:firstColumn="1" w:lastColumn="0" w:noHBand="0" w:noVBand="1"/>
      </w:tblPr>
      <w:tblGrid>
        <w:gridCol w:w="801"/>
        <w:gridCol w:w="3452"/>
        <w:gridCol w:w="888"/>
        <w:gridCol w:w="1045"/>
        <w:gridCol w:w="841"/>
        <w:gridCol w:w="1140"/>
        <w:gridCol w:w="769"/>
        <w:gridCol w:w="1310"/>
        <w:gridCol w:w="1175"/>
        <w:gridCol w:w="24"/>
      </w:tblGrid>
      <w:tr w:rsidR="00810B7C" w:rsidRPr="00646B6F" w14:paraId="4C23BFF8" w14:textId="77777777" w:rsidTr="00F27222">
        <w:trPr>
          <w:trHeight w:val="272"/>
          <w:tblHeader/>
          <w:jc w:val="center"/>
        </w:trPr>
        <w:tc>
          <w:tcPr>
            <w:tcW w:w="11445" w:type="dxa"/>
            <w:gridSpan w:val="10"/>
            <w:tcBorders>
              <w:top w:val="nil"/>
              <w:left w:val="nil"/>
              <w:bottom w:val="single" w:sz="4" w:space="0" w:color="auto"/>
              <w:right w:val="nil"/>
            </w:tcBorders>
            <w:shd w:val="clear" w:color="auto" w:fill="auto"/>
            <w:vAlign w:val="center"/>
            <w:hideMark/>
          </w:tcPr>
          <w:p w14:paraId="0F41032E" w14:textId="0EFC4C21" w:rsidR="00810B7C" w:rsidRPr="00646B6F" w:rsidRDefault="0024082E" w:rsidP="0078703F">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11</w:t>
            </w:r>
            <w:r w:rsidR="00810B7C" w:rsidRPr="00646B6F">
              <w:rPr>
                <w:rFonts w:ascii="Calibri" w:eastAsia="Times New Roman" w:hAnsi="Calibri" w:cs="Calibri"/>
                <w:b/>
                <w:bCs/>
                <w:color w:val="000000"/>
                <w:sz w:val="20"/>
                <w:szCs w:val="20"/>
                <w:lang w:eastAsia="es-MX"/>
              </w:rPr>
              <w:t xml:space="preserve">. Posición de las universidades iberoamericanas </w:t>
            </w:r>
            <w:r w:rsidR="0072387E" w:rsidRPr="00646B6F">
              <w:rPr>
                <w:rFonts w:ascii="Calibri" w:eastAsia="Times New Roman" w:hAnsi="Calibri" w:cs="Calibri"/>
                <w:b/>
                <w:bCs/>
                <w:color w:val="000000"/>
                <w:sz w:val="20"/>
                <w:szCs w:val="20"/>
                <w:lang w:eastAsia="es-MX"/>
              </w:rPr>
              <w:t xml:space="preserve">en el TOP 10 </w:t>
            </w:r>
            <w:r w:rsidR="00810B7C" w:rsidRPr="00646B6F">
              <w:rPr>
                <w:rFonts w:ascii="Calibri" w:eastAsia="Times New Roman" w:hAnsi="Calibri" w:cs="Calibri"/>
                <w:b/>
                <w:bCs/>
                <w:color w:val="000000"/>
                <w:sz w:val="20"/>
                <w:szCs w:val="20"/>
                <w:lang w:eastAsia="es-MX"/>
              </w:rPr>
              <w:t xml:space="preserve">del ranking </w:t>
            </w:r>
            <w:r w:rsidR="0081233E" w:rsidRPr="00646B6F">
              <w:rPr>
                <w:rFonts w:ascii="Calibri" w:eastAsia="Times New Roman" w:hAnsi="Calibri" w:cs="Calibri"/>
                <w:b/>
                <w:bCs/>
                <w:color w:val="000000"/>
                <w:sz w:val="20"/>
                <w:szCs w:val="20"/>
                <w:lang w:eastAsia="es-MX"/>
              </w:rPr>
              <w:t xml:space="preserve">THE en el área de </w:t>
            </w:r>
            <w:r w:rsidR="00810B7C" w:rsidRPr="00646B6F">
              <w:rPr>
                <w:rFonts w:ascii="Calibri" w:eastAsia="Times New Roman" w:hAnsi="Calibri" w:cs="Calibri"/>
                <w:b/>
                <w:bCs/>
                <w:color w:val="000000"/>
                <w:sz w:val="20"/>
                <w:szCs w:val="20"/>
                <w:lang w:eastAsia="es-MX"/>
              </w:rPr>
              <w:t>Ingeniería y Tecnología, 202</w:t>
            </w:r>
            <w:r w:rsidR="001B5079" w:rsidRPr="00646B6F">
              <w:rPr>
                <w:rFonts w:ascii="Calibri" w:eastAsia="Times New Roman" w:hAnsi="Calibri" w:cs="Calibri"/>
                <w:b/>
                <w:bCs/>
                <w:color w:val="000000"/>
                <w:sz w:val="20"/>
                <w:szCs w:val="20"/>
                <w:lang w:eastAsia="es-MX"/>
              </w:rPr>
              <w:t>1</w:t>
            </w:r>
            <w:r w:rsidR="00810B7C" w:rsidRPr="00646B6F">
              <w:rPr>
                <w:rFonts w:ascii="Calibri" w:eastAsia="Times New Roman" w:hAnsi="Calibri" w:cs="Calibri"/>
                <w:b/>
                <w:bCs/>
                <w:color w:val="000000"/>
                <w:sz w:val="20"/>
                <w:szCs w:val="20"/>
                <w:lang w:eastAsia="es-MX"/>
              </w:rPr>
              <w:t>.</w:t>
            </w:r>
          </w:p>
        </w:tc>
      </w:tr>
      <w:tr w:rsidR="00810B7C" w:rsidRPr="00646B6F" w14:paraId="254045A4" w14:textId="77777777" w:rsidTr="00F27222">
        <w:trPr>
          <w:gridAfter w:val="1"/>
          <w:wAfter w:w="24" w:type="dxa"/>
          <w:trHeight w:val="435"/>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12887925"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189C3113"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888" w:type="dxa"/>
            <w:tcBorders>
              <w:top w:val="nil"/>
              <w:left w:val="nil"/>
              <w:bottom w:val="single" w:sz="4" w:space="0" w:color="auto"/>
              <w:right w:val="single" w:sz="4" w:space="0" w:color="auto"/>
            </w:tcBorders>
            <w:shd w:val="clear" w:color="000000" w:fill="BDD6EE"/>
            <w:vAlign w:val="center"/>
            <w:hideMark/>
          </w:tcPr>
          <w:p w14:paraId="3B1354F5"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45" w:type="dxa"/>
            <w:tcBorders>
              <w:top w:val="nil"/>
              <w:left w:val="nil"/>
              <w:bottom w:val="single" w:sz="4" w:space="0" w:color="auto"/>
              <w:right w:val="single" w:sz="4" w:space="0" w:color="auto"/>
            </w:tcBorders>
            <w:shd w:val="clear" w:color="000000" w:fill="BDD6EE"/>
            <w:vAlign w:val="center"/>
            <w:hideMark/>
          </w:tcPr>
          <w:p w14:paraId="6FAF178A"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2B26EF7D"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40" w:type="dxa"/>
            <w:tcBorders>
              <w:top w:val="nil"/>
              <w:left w:val="nil"/>
              <w:bottom w:val="single" w:sz="4" w:space="0" w:color="auto"/>
              <w:right w:val="single" w:sz="4" w:space="0" w:color="auto"/>
            </w:tcBorders>
            <w:shd w:val="clear" w:color="000000" w:fill="BDD6EE"/>
            <w:vAlign w:val="center"/>
            <w:hideMark/>
          </w:tcPr>
          <w:p w14:paraId="0FBE46AF"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769" w:type="dxa"/>
            <w:tcBorders>
              <w:top w:val="nil"/>
              <w:left w:val="nil"/>
              <w:bottom w:val="single" w:sz="4" w:space="0" w:color="auto"/>
              <w:right w:val="single" w:sz="4" w:space="0" w:color="auto"/>
            </w:tcBorders>
            <w:shd w:val="clear" w:color="000000" w:fill="BDD6EE"/>
            <w:vAlign w:val="center"/>
            <w:hideMark/>
          </w:tcPr>
          <w:p w14:paraId="11AA6ADD"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310" w:type="dxa"/>
            <w:tcBorders>
              <w:top w:val="nil"/>
              <w:left w:val="nil"/>
              <w:bottom w:val="single" w:sz="4" w:space="0" w:color="auto"/>
              <w:right w:val="single" w:sz="4" w:space="0" w:color="auto"/>
            </w:tcBorders>
            <w:shd w:val="clear" w:color="000000" w:fill="BDD6EE"/>
            <w:vAlign w:val="center"/>
            <w:hideMark/>
          </w:tcPr>
          <w:p w14:paraId="51D2581B"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75" w:type="dxa"/>
            <w:tcBorders>
              <w:top w:val="nil"/>
              <w:left w:val="nil"/>
              <w:bottom w:val="single" w:sz="4" w:space="0" w:color="auto"/>
              <w:right w:val="single" w:sz="4" w:space="0" w:color="auto"/>
            </w:tcBorders>
            <w:shd w:val="clear" w:color="000000" w:fill="BDD6EE"/>
            <w:vAlign w:val="center"/>
            <w:hideMark/>
          </w:tcPr>
          <w:p w14:paraId="0D8AEA04" w14:textId="77777777" w:rsidR="00810B7C" w:rsidRPr="00646B6F" w:rsidRDefault="00810B7C" w:rsidP="0078703F">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CB24EA" w:rsidRPr="00646B6F" w14:paraId="79C6BA98"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DBC622C" w14:textId="5C36CCF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176–200</w:t>
            </w:r>
          </w:p>
        </w:tc>
        <w:tc>
          <w:tcPr>
            <w:tcW w:w="3452" w:type="dxa"/>
            <w:tcBorders>
              <w:top w:val="nil"/>
              <w:left w:val="nil"/>
              <w:bottom w:val="single" w:sz="4" w:space="0" w:color="auto"/>
              <w:right w:val="single" w:sz="4" w:space="0" w:color="auto"/>
            </w:tcBorders>
            <w:shd w:val="clear" w:color="auto" w:fill="auto"/>
            <w:noWrap/>
            <w:vAlign w:val="center"/>
          </w:tcPr>
          <w:p w14:paraId="2F0EF14D" w14:textId="73F21939"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Pompeu Fabra</w:t>
            </w:r>
          </w:p>
        </w:tc>
        <w:tc>
          <w:tcPr>
            <w:tcW w:w="888" w:type="dxa"/>
            <w:tcBorders>
              <w:top w:val="nil"/>
              <w:left w:val="nil"/>
              <w:bottom w:val="single" w:sz="4" w:space="0" w:color="auto"/>
              <w:right w:val="single" w:sz="4" w:space="0" w:color="auto"/>
            </w:tcBorders>
            <w:shd w:val="clear" w:color="auto" w:fill="auto"/>
            <w:vAlign w:val="center"/>
          </w:tcPr>
          <w:p w14:paraId="6B4BDD1A" w14:textId="10CA423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auto" w:fill="auto"/>
            <w:noWrap/>
            <w:vAlign w:val="center"/>
          </w:tcPr>
          <w:p w14:paraId="586E2F3F" w14:textId="7296E89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45.0–46.1</w:t>
            </w:r>
          </w:p>
        </w:tc>
        <w:tc>
          <w:tcPr>
            <w:tcW w:w="841" w:type="dxa"/>
            <w:tcBorders>
              <w:top w:val="nil"/>
              <w:left w:val="nil"/>
              <w:bottom w:val="single" w:sz="4" w:space="0" w:color="auto"/>
              <w:right w:val="single" w:sz="4" w:space="0" w:color="auto"/>
            </w:tcBorders>
            <w:shd w:val="clear" w:color="auto" w:fill="auto"/>
            <w:noWrap/>
            <w:vAlign w:val="center"/>
          </w:tcPr>
          <w:p w14:paraId="16176705" w14:textId="277A334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23.9</w:t>
            </w:r>
          </w:p>
        </w:tc>
        <w:tc>
          <w:tcPr>
            <w:tcW w:w="1140" w:type="dxa"/>
            <w:tcBorders>
              <w:top w:val="nil"/>
              <w:left w:val="nil"/>
              <w:bottom w:val="single" w:sz="4" w:space="0" w:color="auto"/>
              <w:right w:val="single" w:sz="4" w:space="0" w:color="auto"/>
            </w:tcBorders>
            <w:shd w:val="clear" w:color="auto" w:fill="auto"/>
            <w:noWrap/>
            <w:vAlign w:val="center"/>
          </w:tcPr>
          <w:p w14:paraId="1AD7EA35" w14:textId="43B4EA2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14.9</w:t>
            </w:r>
          </w:p>
        </w:tc>
        <w:tc>
          <w:tcPr>
            <w:tcW w:w="769" w:type="dxa"/>
            <w:tcBorders>
              <w:top w:val="nil"/>
              <w:left w:val="nil"/>
              <w:bottom w:val="single" w:sz="4" w:space="0" w:color="auto"/>
              <w:right w:val="single" w:sz="4" w:space="0" w:color="auto"/>
            </w:tcBorders>
            <w:shd w:val="clear" w:color="auto" w:fill="auto"/>
            <w:vAlign w:val="center"/>
          </w:tcPr>
          <w:p w14:paraId="6840C05A" w14:textId="7EA2C38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90.4</w:t>
            </w:r>
          </w:p>
        </w:tc>
        <w:tc>
          <w:tcPr>
            <w:tcW w:w="1310" w:type="dxa"/>
            <w:tcBorders>
              <w:top w:val="nil"/>
              <w:left w:val="nil"/>
              <w:bottom w:val="single" w:sz="4" w:space="0" w:color="auto"/>
              <w:right w:val="single" w:sz="4" w:space="0" w:color="auto"/>
            </w:tcBorders>
            <w:shd w:val="clear" w:color="auto" w:fill="auto"/>
            <w:noWrap/>
            <w:vAlign w:val="center"/>
          </w:tcPr>
          <w:p w14:paraId="17203961" w14:textId="6C3C078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74.2</w:t>
            </w:r>
          </w:p>
        </w:tc>
        <w:tc>
          <w:tcPr>
            <w:tcW w:w="1175" w:type="dxa"/>
            <w:tcBorders>
              <w:top w:val="nil"/>
              <w:left w:val="nil"/>
              <w:bottom w:val="single" w:sz="4" w:space="0" w:color="auto"/>
              <w:right w:val="single" w:sz="4" w:space="0" w:color="auto"/>
            </w:tcBorders>
            <w:shd w:val="clear" w:color="auto" w:fill="auto"/>
            <w:noWrap/>
            <w:vAlign w:val="center"/>
          </w:tcPr>
          <w:p w14:paraId="4A45FB4E" w14:textId="4D19A00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68.4</w:t>
            </w:r>
          </w:p>
        </w:tc>
      </w:tr>
      <w:tr w:rsidR="00CB24EA" w:rsidRPr="00646B6F" w14:paraId="5835B91D"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7F16290" w14:textId="7570C8D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251–300</w:t>
            </w:r>
          </w:p>
        </w:tc>
        <w:tc>
          <w:tcPr>
            <w:tcW w:w="3452" w:type="dxa"/>
            <w:tcBorders>
              <w:top w:val="nil"/>
              <w:left w:val="nil"/>
              <w:bottom w:val="single" w:sz="4" w:space="0" w:color="auto"/>
              <w:right w:val="single" w:sz="4" w:space="0" w:color="auto"/>
            </w:tcBorders>
            <w:shd w:val="clear" w:color="000000" w:fill="E7E6E6"/>
            <w:noWrap/>
            <w:vAlign w:val="center"/>
          </w:tcPr>
          <w:p w14:paraId="625F0634" w14:textId="5A799F9C"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Autónoma de Barcelona</w:t>
            </w:r>
          </w:p>
        </w:tc>
        <w:tc>
          <w:tcPr>
            <w:tcW w:w="888" w:type="dxa"/>
            <w:tcBorders>
              <w:top w:val="nil"/>
              <w:left w:val="nil"/>
              <w:bottom w:val="single" w:sz="4" w:space="0" w:color="auto"/>
              <w:right w:val="single" w:sz="4" w:space="0" w:color="auto"/>
            </w:tcBorders>
            <w:shd w:val="clear" w:color="000000" w:fill="E7E6E6"/>
            <w:vAlign w:val="center"/>
          </w:tcPr>
          <w:p w14:paraId="727DD533" w14:textId="5010AD5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000000" w:fill="E7E6E6"/>
            <w:noWrap/>
            <w:vAlign w:val="center"/>
          </w:tcPr>
          <w:p w14:paraId="6068FD56" w14:textId="3A9E4F0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39.2–41.6</w:t>
            </w:r>
          </w:p>
        </w:tc>
        <w:tc>
          <w:tcPr>
            <w:tcW w:w="841" w:type="dxa"/>
            <w:tcBorders>
              <w:top w:val="nil"/>
              <w:left w:val="nil"/>
              <w:bottom w:val="single" w:sz="4" w:space="0" w:color="auto"/>
              <w:right w:val="single" w:sz="4" w:space="0" w:color="auto"/>
            </w:tcBorders>
            <w:shd w:val="clear" w:color="000000" w:fill="E7E6E6"/>
            <w:noWrap/>
            <w:vAlign w:val="center"/>
          </w:tcPr>
          <w:p w14:paraId="36CBB72A" w14:textId="32E5B52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20.3</w:t>
            </w:r>
          </w:p>
        </w:tc>
        <w:tc>
          <w:tcPr>
            <w:tcW w:w="1140" w:type="dxa"/>
            <w:tcBorders>
              <w:top w:val="nil"/>
              <w:left w:val="nil"/>
              <w:bottom w:val="single" w:sz="4" w:space="0" w:color="auto"/>
              <w:right w:val="single" w:sz="4" w:space="0" w:color="auto"/>
            </w:tcBorders>
            <w:shd w:val="clear" w:color="000000" w:fill="E7E6E6"/>
            <w:noWrap/>
            <w:vAlign w:val="center"/>
          </w:tcPr>
          <w:p w14:paraId="403EA7D1" w14:textId="4CEFC00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24.2</w:t>
            </w:r>
          </w:p>
        </w:tc>
        <w:tc>
          <w:tcPr>
            <w:tcW w:w="769" w:type="dxa"/>
            <w:tcBorders>
              <w:top w:val="nil"/>
              <w:left w:val="nil"/>
              <w:bottom w:val="single" w:sz="4" w:space="0" w:color="auto"/>
              <w:right w:val="single" w:sz="4" w:space="0" w:color="auto"/>
            </w:tcBorders>
            <w:shd w:val="clear" w:color="000000" w:fill="E7E6E6"/>
            <w:vAlign w:val="center"/>
          </w:tcPr>
          <w:p w14:paraId="3EB8C36F" w14:textId="3A3580D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74.2</w:t>
            </w:r>
          </w:p>
        </w:tc>
        <w:tc>
          <w:tcPr>
            <w:tcW w:w="1310" w:type="dxa"/>
            <w:tcBorders>
              <w:top w:val="nil"/>
              <w:left w:val="nil"/>
              <w:bottom w:val="single" w:sz="4" w:space="0" w:color="auto"/>
              <w:right w:val="single" w:sz="4" w:space="0" w:color="auto"/>
            </w:tcBorders>
            <w:shd w:val="clear" w:color="000000" w:fill="E7E6E6"/>
            <w:noWrap/>
            <w:vAlign w:val="center"/>
          </w:tcPr>
          <w:p w14:paraId="512E503E" w14:textId="09F50F2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40.2</w:t>
            </w:r>
          </w:p>
        </w:tc>
        <w:tc>
          <w:tcPr>
            <w:tcW w:w="1175" w:type="dxa"/>
            <w:tcBorders>
              <w:top w:val="nil"/>
              <w:left w:val="nil"/>
              <w:bottom w:val="single" w:sz="4" w:space="0" w:color="auto"/>
              <w:right w:val="single" w:sz="4" w:space="0" w:color="auto"/>
            </w:tcBorders>
            <w:shd w:val="clear" w:color="000000" w:fill="E7E6E6"/>
            <w:noWrap/>
            <w:vAlign w:val="center"/>
          </w:tcPr>
          <w:p w14:paraId="78C928F8" w14:textId="03F9146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72.4</w:t>
            </w:r>
          </w:p>
        </w:tc>
      </w:tr>
      <w:tr w:rsidR="00CB24EA" w:rsidRPr="00646B6F" w14:paraId="66148CAC"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00B73AA" w14:textId="21AE22B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72610A56" w14:textId="564C8948"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Pontificia Universidad Católica de Chile</w:t>
            </w:r>
          </w:p>
        </w:tc>
        <w:tc>
          <w:tcPr>
            <w:tcW w:w="888" w:type="dxa"/>
            <w:tcBorders>
              <w:top w:val="nil"/>
              <w:left w:val="nil"/>
              <w:bottom w:val="single" w:sz="4" w:space="0" w:color="auto"/>
              <w:right w:val="single" w:sz="4" w:space="0" w:color="auto"/>
            </w:tcBorders>
            <w:shd w:val="clear" w:color="auto" w:fill="auto"/>
            <w:vAlign w:val="center"/>
          </w:tcPr>
          <w:p w14:paraId="0FD66D52" w14:textId="70FDFBD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Chile</w:t>
            </w:r>
          </w:p>
        </w:tc>
        <w:tc>
          <w:tcPr>
            <w:tcW w:w="1045" w:type="dxa"/>
            <w:tcBorders>
              <w:top w:val="nil"/>
              <w:left w:val="nil"/>
              <w:bottom w:val="single" w:sz="4" w:space="0" w:color="auto"/>
              <w:right w:val="single" w:sz="4" w:space="0" w:color="auto"/>
            </w:tcBorders>
            <w:shd w:val="clear" w:color="auto" w:fill="auto"/>
            <w:noWrap/>
            <w:vAlign w:val="center"/>
          </w:tcPr>
          <w:p w14:paraId="302CA1CE" w14:textId="5DA400B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auto" w:fill="auto"/>
            <w:noWrap/>
            <w:vAlign w:val="center"/>
          </w:tcPr>
          <w:p w14:paraId="3B482C76" w14:textId="6C2D222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15.2</w:t>
            </w:r>
          </w:p>
        </w:tc>
        <w:tc>
          <w:tcPr>
            <w:tcW w:w="1140" w:type="dxa"/>
            <w:tcBorders>
              <w:top w:val="nil"/>
              <w:left w:val="nil"/>
              <w:bottom w:val="single" w:sz="4" w:space="0" w:color="auto"/>
              <w:right w:val="single" w:sz="4" w:space="0" w:color="auto"/>
            </w:tcBorders>
            <w:shd w:val="clear" w:color="auto" w:fill="auto"/>
            <w:noWrap/>
            <w:vAlign w:val="center"/>
          </w:tcPr>
          <w:p w14:paraId="5ADE6F6D" w14:textId="0A06EC7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21.6</w:t>
            </w:r>
          </w:p>
        </w:tc>
        <w:tc>
          <w:tcPr>
            <w:tcW w:w="769" w:type="dxa"/>
            <w:tcBorders>
              <w:top w:val="nil"/>
              <w:left w:val="nil"/>
              <w:bottom w:val="single" w:sz="4" w:space="0" w:color="auto"/>
              <w:right w:val="single" w:sz="4" w:space="0" w:color="auto"/>
            </w:tcBorders>
            <w:shd w:val="clear" w:color="auto" w:fill="auto"/>
            <w:vAlign w:val="center"/>
          </w:tcPr>
          <w:p w14:paraId="22658A28" w14:textId="35FCAE8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53.1</w:t>
            </w:r>
          </w:p>
        </w:tc>
        <w:tc>
          <w:tcPr>
            <w:tcW w:w="1310" w:type="dxa"/>
            <w:tcBorders>
              <w:top w:val="nil"/>
              <w:left w:val="nil"/>
              <w:bottom w:val="single" w:sz="4" w:space="0" w:color="auto"/>
              <w:right w:val="single" w:sz="4" w:space="0" w:color="auto"/>
            </w:tcBorders>
            <w:shd w:val="clear" w:color="auto" w:fill="auto"/>
            <w:noWrap/>
            <w:vAlign w:val="center"/>
          </w:tcPr>
          <w:p w14:paraId="2C71E70A" w14:textId="42BDAD6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99.7</w:t>
            </w:r>
          </w:p>
        </w:tc>
        <w:tc>
          <w:tcPr>
            <w:tcW w:w="1175" w:type="dxa"/>
            <w:tcBorders>
              <w:top w:val="nil"/>
              <w:left w:val="nil"/>
              <w:bottom w:val="single" w:sz="4" w:space="0" w:color="auto"/>
              <w:right w:val="single" w:sz="4" w:space="0" w:color="auto"/>
            </w:tcBorders>
            <w:shd w:val="clear" w:color="auto" w:fill="auto"/>
            <w:noWrap/>
            <w:vAlign w:val="center"/>
          </w:tcPr>
          <w:p w14:paraId="28B9418D" w14:textId="31E612E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59.2</w:t>
            </w:r>
          </w:p>
        </w:tc>
      </w:tr>
      <w:tr w:rsidR="00CB24EA" w:rsidRPr="00646B6F" w14:paraId="3DBC50AB"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D658324" w14:textId="1A8E2F4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7A64E20D" w14:textId="50248475"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Barcelona</w:t>
            </w:r>
          </w:p>
        </w:tc>
        <w:tc>
          <w:tcPr>
            <w:tcW w:w="888" w:type="dxa"/>
            <w:tcBorders>
              <w:top w:val="nil"/>
              <w:left w:val="nil"/>
              <w:bottom w:val="single" w:sz="4" w:space="0" w:color="auto"/>
              <w:right w:val="single" w:sz="4" w:space="0" w:color="auto"/>
            </w:tcBorders>
            <w:shd w:val="clear" w:color="000000" w:fill="E7E6E6"/>
            <w:vAlign w:val="center"/>
          </w:tcPr>
          <w:p w14:paraId="0B411518" w14:textId="56E8F2F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000000" w:fill="E7E6E6"/>
            <w:noWrap/>
            <w:vAlign w:val="center"/>
          </w:tcPr>
          <w:p w14:paraId="5AD303AC" w14:textId="2B445F3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000000" w:fill="E7E6E6"/>
            <w:noWrap/>
            <w:vAlign w:val="center"/>
          </w:tcPr>
          <w:p w14:paraId="6C40C209" w14:textId="427C214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21.1</w:t>
            </w:r>
          </w:p>
        </w:tc>
        <w:tc>
          <w:tcPr>
            <w:tcW w:w="1140" w:type="dxa"/>
            <w:tcBorders>
              <w:top w:val="nil"/>
              <w:left w:val="nil"/>
              <w:bottom w:val="single" w:sz="4" w:space="0" w:color="auto"/>
              <w:right w:val="single" w:sz="4" w:space="0" w:color="auto"/>
            </w:tcBorders>
            <w:shd w:val="clear" w:color="000000" w:fill="E7E6E6"/>
            <w:noWrap/>
            <w:vAlign w:val="center"/>
          </w:tcPr>
          <w:p w14:paraId="0B60CA56" w14:textId="0E1E9D1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25.3</w:t>
            </w:r>
          </w:p>
        </w:tc>
        <w:tc>
          <w:tcPr>
            <w:tcW w:w="769" w:type="dxa"/>
            <w:tcBorders>
              <w:top w:val="nil"/>
              <w:left w:val="nil"/>
              <w:bottom w:val="single" w:sz="4" w:space="0" w:color="auto"/>
              <w:right w:val="single" w:sz="4" w:space="0" w:color="auto"/>
            </w:tcBorders>
            <w:shd w:val="clear" w:color="000000" w:fill="E7E6E6"/>
            <w:vAlign w:val="center"/>
          </w:tcPr>
          <w:p w14:paraId="1B3EEA7C" w14:textId="2C8B043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59.3</w:t>
            </w:r>
          </w:p>
        </w:tc>
        <w:tc>
          <w:tcPr>
            <w:tcW w:w="1310" w:type="dxa"/>
            <w:tcBorders>
              <w:top w:val="nil"/>
              <w:left w:val="nil"/>
              <w:bottom w:val="single" w:sz="4" w:space="0" w:color="auto"/>
              <w:right w:val="single" w:sz="4" w:space="0" w:color="auto"/>
            </w:tcBorders>
            <w:shd w:val="clear" w:color="000000" w:fill="E7E6E6"/>
            <w:noWrap/>
            <w:vAlign w:val="center"/>
          </w:tcPr>
          <w:p w14:paraId="57B65516" w14:textId="47ADF72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35.5</w:t>
            </w:r>
          </w:p>
        </w:tc>
        <w:tc>
          <w:tcPr>
            <w:tcW w:w="1175" w:type="dxa"/>
            <w:tcBorders>
              <w:top w:val="nil"/>
              <w:left w:val="nil"/>
              <w:bottom w:val="single" w:sz="4" w:space="0" w:color="auto"/>
              <w:right w:val="single" w:sz="4" w:space="0" w:color="auto"/>
            </w:tcBorders>
            <w:shd w:val="clear" w:color="000000" w:fill="E7E6E6"/>
            <w:noWrap/>
            <w:vAlign w:val="center"/>
          </w:tcPr>
          <w:p w14:paraId="08EB161F" w14:textId="450B181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58</w:t>
            </w:r>
          </w:p>
        </w:tc>
      </w:tr>
      <w:tr w:rsidR="00CB24EA" w:rsidRPr="00646B6F" w14:paraId="28440B90"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C6F8CCE" w14:textId="0AF1A63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5E79AF20" w14:textId="4627F4FF"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Beira Interior</w:t>
            </w:r>
          </w:p>
        </w:tc>
        <w:tc>
          <w:tcPr>
            <w:tcW w:w="888" w:type="dxa"/>
            <w:tcBorders>
              <w:top w:val="nil"/>
              <w:left w:val="nil"/>
              <w:bottom w:val="single" w:sz="4" w:space="0" w:color="auto"/>
              <w:right w:val="single" w:sz="4" w:space="0" w:color="auto"/>
            </w:tcBorders>
            <w:shd w:val="clear" w:color="auto" w:fill="auto"/>
            <w:vAlign w:val="center"/>
          </w:tcPr>
          <w:p w14:paraId="7D4034DD" w14:textId="327473A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Portugal</w:t>
            </w:r>
          </w:p>
        </w:tc>
        <w:tc>
          <w:tcPr>
            <w:tcW w:w="1045" w:type="dxa"/>
            <w:tcBorders>
              <w:top w:val="nil"/>
              <w:left w:val="nil"/>
              <w:bottom w:val="single" w:sz="4" w:space="0" w:color="auto"/>
              <w:right w:val="single" w:sz="4" w:space="0" w:color="auto"/>
            </w:tcBorders>
            <w:shd w:val="clear" w:color="auto" w:fill="auto"/>
            <w:noWrap/>
            <w:vAlign w:val="center"/>
          </w:tcPr>
          <w:p w14:paraId="2339051D" w14:textId="713D223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auto" w:fill="auto"/>
            <w:noWrap/>
            <w:vAlign w:val="center"/>
          </w:tcPr>
          <w:p w14:paraId="5D85E2B4" w14:textId="6CC38A8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w:t>
            </w:r>
          </w:p>
        </w:tc>
        <w:tc>
          <w:tcPr>
            <w:tcW w:w="1140" w:type="dxa"/>
            <w:tcBorders>
              <w:top w:val="nil"/>
              <w:left w:val="nil"/>
              <w:bottom w:val="single" w:sz="4" w:space="0" w:color="auto"/>
              <w:right w:val="single" w:sz="4" w:space="0" w:color="auto"/>
            </w:tcBorders>
            <w:shd w:val="clear" w:color="auto" w:fill="auto"/>
            <w:noWrap/>
            <w:vAlign w:val="center"/>
          </w:tcPr>
          <w:p w14:paraId="745703EE" w14:textId="2A63154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13.8</w:t>
            </w:r>
          </w:p>
        </w:tc>
        <w:tc>
          <w:tcPr>
            <w:tcW w:w="769" w:type="dxa"/>
            <w:tcBorders>
              <w:top w:val="nil"/>
              <w:left w:val="nil"/>
              <w:bottom w:val="single" w:sz="4" w:space="0" w:color="auto"/>
              <w:right w:val="single" w:sz="4" w:space="0" w:color="auto"/>
            </w:tcBorders>
            <w:shd w:val="clear" w:color="auto" w:fill="auto"/>
            <w:vAlign w:val="center"/>
          </w:tcPr>
          <w:p w14:paraId="493EBAEB" w14:textId="2D70756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77.1</w:t>
            </w:r>
          </w:p>
        </w:tc>
        <w:tc>
          <w:tcPr>
            <w:tcW w:w="1310" w:type="dxa"/>
            <w:tcBorders>
              <w:top w:val="nil"/>
              <w:left w:val="nil"/>
              <w:bottom w:val="single" w:sz="4" w:space="0" w:color="auto"/>
              <w:right w:val="single" w:sz="4" w:space="0" w:color="auto"/>
            </w:tcBorders>
            <w:shd w:val="clear" w:color="auto" w:fill="auto"/>
            <w:noWrap/>
            <w:vAlign w:val="center"/>
          </w:tcPr>
          <w:p w14:paraId="0695B426" w14:textId="4D802F4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31</w:t>
            </w:r>
          </w:p>
        </w:tc>
        <w:tc>
          <w:tcPr>
            <w:tcW w:w="1175" w:type="dxa"/>
            <w:tcBorders>
              <w:top w:val="nil"/>
              <w:left w:val="nil"/>
              <w:bottom w:val="single" w:sz="4" w:space="0" w:color="auto"/>
              <w:right w:val="single" w:sz="4" w:space="0" w:color="auto"/>
            </w:tcBorders>
            <w:shd w:val="clear" w:color="auto" w:fill="auto"/>
            <w:noWrap/>
            <w:vAlign w:val="center"/>
          </w:tcPr>
          <w:p w14:paraId="382CC310" w14:textId="5F3C5A73"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57.3</w:t>
            </w:r>
          </w:p>
        </w:tc>
      </w:tr>
      <w:tr w:rsidR="00CB24EA" w:rsidRPr="00646B6F" w14:paraId="2C89A56D"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57C697B" w14:textId="6AEFFCE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20E7692E" w14:textId="5F65E89A"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Girona</w:t>
            </w:r>
          </w:p>
        </w:tc>
        <w:tc>
          <w:tcPr>
            <w:tcW w:w="888" w:type="dxa"/>
            <w:tcBorders>
              <w:top w:val="nil"/>
              <w:left w:val="nil"/>
              <w:bottom w:val="single" w:sz="4" w:space="0" w:color="auto"/>
              <w:right w:val="single" w:sz="4" w:space="0" w:color="auto"/>
            </w:tcBorders>
            <w:shd w:val="clear" w:color="000000" w:fill="E7E6E6"/>
            <w:vAlign w:val="center"/>
          </w:tcPr>
          <w:p w14:paraId="68BAC6DA" w14:textId="0774D46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000000" w:fill="E7E6E6"/>
            <w:noWrap/>
            <w:vAlign w:val="center"/>
          </w:tcPr>
          <w:p w14:paraId="606B7B6D" w14:textId="7598BC4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000000" w:fill="E7E6E6"/>
            <w:noWrap/>
            <w:vAlign w:val="center"/>
          </w:tcPr>
          <w:p w14:paraId="166AE376" w14:textId="3CECDF3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16.2</w:t>
            </w:r>
          </w:p>
        </w:tc>
        <w:tc>
          <w:tcPr>
            <w:tcW w:w="1140" w:type="dxa"/>
            <w:tcBorders>
              <w:top w:val="nil"/>
              <w:left w:val="nil"/>
              <w:bottom w:val="single" w:sz="4" w:space="0" w:color="auto"/>
              <w:right w:val="single" w:sz="4" w:space="0" w:color="auto"/>
            </w:tcBorders>
            <w:shd w:val="clear" w:color="000000" w:fill="E7E6E6"/>
            <w:noWrap/>
            <w:vAlign w:val="center"/>
          </w:tcPr>
          <w:p w14:paraId="1DA4D7B2" w14:textId="16E1222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10.8</w:t>
            </w:r>
          </w:p>
        </w:tc>
        <w:tc>
          <w:tcPr>
            <w:tcW w:w="769" w:type="dxa"/>
            <w:tcBorders>
              <w:top w:val="nil"/>
              <w:left w:val="nil"/>
              <w:bottom w:val="single" w:sz="4" w:space="0" w:color="auto"/>
              <w:right w:val="single" w:sz="4" w:space="0" w:color="auto"/>
            </w:tcBorders>
            <w:shd w:val="clear" w:color="000000" w:fill="E7E6E6"/>
            <w:vAlign w:val="center"/>
          </w:tcPr>
          <w:p w14:paraId="57F3997C" w14:textId="4EC628C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79.8</w:t>
            </w:r>
          </w:p>
        </w:tc>
        <w:tc>
          <w:tcPr>
            <w:tcW w:w="1310" w:type="dxa"/>
            <w:tcBorders>
              <w:top w:val="nil"/>
              <w:left w:val="nil"/>
              <w:bottom w:val="single" w:sz="4" w:space="0" w:color="auto"/>
              <w:right w:val="single" w:sz="4" w:space="0" w:color="auto"/>
            </w:tcBorders>
            <w:shd w:val="clear" w:color="000000" w:fill="E7E6E6"/>
            <w:noWrap/>
            <w:vAlign w:val="center"/>
          </w:tcPr>
          <w:p w14:paraId="37541160" w14:textId="4C65CBF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33.1</w:t>
            </w:r>
          </w:p>
        </w:tc>
        <w:tc>
          <w:tcPr>
            <w:tcW w:w="1175" w:type="dxa"/>
            <w:tcBorders>
              <w:top w:val="nil"/>
              <w:left w:val="nil"/>
              <w:bottom w:val="single" w:sz="4" w:space="0" w:color="auto"/>
              <w:right w:val="single" w:sz="4" w:space="0" w:color="auto"/>
            </w:tcBorders>
            <w:shd w:val="clear" w:color="000000" w:fill="E7E6E6"/>
            <w:noWrap/>
            <w:vAlign w:val="center"/>
          </w:tcPr>
          <w:p w14:paraId="2F2B55DC" w14:textId="6B26D38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50</w:t>
            </w:r>
          </w:p>
        </w:tc>
      </w:tr>
      <w:tr w:rsidR="00CB24EA" w:rsidRPr="00646B6F" w14:paraId="49B6FFD5"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79C0B88" w14:textId="7BA05F0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78733E70" w14:textId="062F2B02"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Granada</w:t>
            </w:r>
          </w:p>
        </w:tc>
        <w:tc>
          <w:tcPr>
            <w:tcW w:w="888" w:type="dxa"/>
            <w:tcBorders>
              <w:top w:val="nil"/>
              <w:left w:val="nil"/>
              <w:bottom w:val="single" w:sz="4" w:space="0" w:color="auto"/>
              <w:right w:val="single" w:sz="4" w:space="0" w:color="auto"/>
            </w:tcBorders>
            <w:shd w:val="clear" w:color="auto" w:fill="auto"/>
            <w:vAlign w:val="center"/>
          </w:tcPr>
          <w:p w14:paraId="782F4D50" w14:textId="21476C0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auto" w:fill="auto"/>
            <w:noWrap/>
            <w:vAlign w:val="center"/>
          </w:tcPr>
          <w:p w14:paraId="49B5F55E" w14:textId="7945463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auto" w:fill="auto"/>
            <w:noWrap/>
            <w:vAlign w:val="center"/>
          </w:tcPr>
          <w:p w14:paraId="6492E200" w14:textId="44BFFF2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w:t>
            </w:r>
          </w:p>
        </w:tc>
        <w:tc>
          <w:tcPr>
            <w:tcW w:w="1140" w:type="dxa"/>
            <w:tcBorders>
              <w:top w:val="nil"/>
              <w:left w:val="nil"/>
              <w:bottom w:val="single" w:sz="4" w:space="0" w:color="auto"/>
              <w:right w:val="single" w:sz="4" w:space="0" w:color="auto"/>
            </w:tcBorders>
            <w:shd w:val="clear" w:color="auto" w:fill="auto"/>
            <w:noWrap/>
            <w:vAlign w:val="center"/>
          </w:tcPr>
          <w:p w14:paraId="71F50572" w14:textId="48D1FBB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20.9</w:t>
            </w:r>
          </w:p>
        </w:tc>
        <w:tc>
          <w:tcPr>
            <w:tcW w:w="769" w:type="dxa"/>
            <w:tcBorders>
              <w:top w:val="nil"/>
              <w:left w:val="nil"/>
              <w:bottom w:val="single" w:sz="4" w:space="0" w:color="auto"/>
              <w:right w:val="single" w:sz="4" w:space="0" w:color="auto"/>
            </w:tcBorders>
            <w:shd w:val="clear" w:color="auto" w:fill="auto"/>
            <w:vAlign w:val="center"/>
          </w:tcPr>
          <w:p w14:paraId="5FDED262" w14:textId="672F8BC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73.1</w:t>
            </w:r>
          </w:p>
        </w:tc>
        <w:tc>
          <w:tcPr>
            <w:tcW w:w="1310" w:type="dxa"/>
            <w:tcBorders>
              <w:top w:val="nil"/>
              <w:left w:val="nil"/>
              <w:bottom w:val="single" w:sz="4" w:space="0" w:color="auto"/>
              <w:right w:val="single" w:sz="4" w:space="0" w:color="auto"/>
            </w:tcBorders>
            <w:shd w:val="clear" w:color="auto" w:fill="auto"/>
            <w:noWrap/>
            <w:vAlign w:val="center"/>
          </w:tcPr>
          <w:p w14:paraId="0239F011" w14:textId="3ACCEBF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35.5</w:t>
            </w:r>
          </w:p>
        </w:tc>
        <w:tc>
          <w:tcPr>
            <w:tcW w:w="1175" w:type="dxa"/>
            <w:tcBorders>
              <w:top w:val="nil"/>
              <w:left w:val="nil"/>
              <w:bottom w:val="single" w:sz="4" w:space="0" w:color="auto"/>
              <w:right w:val="single" w:sz="4" w:space="0" w:color="auto"/>
            </w:tcBorders>
            <w:shd w:val="clear" w:color="auto" w:fill="auto"/>
            <w:noWrap/>
            <w:vAlign w:val="center"/>
          </w:tcPr>
          <w:p w14:paraId="03BB7653" w14:textId="5043222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49.4</w:t>
            </w:r>
          </w:p>
        </w:tc>
      </w:tr>
      <w:tr w:rsidR="00CB24EA" w:rsidRPr="00646B6F" w14:paraId="53FE56F1"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C816943" w14:textId="375EE14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000000" w:fill="E7E6E6"/>
            <w:noWrap/>
            <w:vAlign w:val="center"/>
          </w:tcPr>
          <w:p w14:paraId="5BAFE031" w14:textId="52B1F7B7"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Lérida</w:t>
            </w:r>
          </w:p>
        </w:tc>
        <w:tc>
          <w:tcPr>
            <w:tcW w:w="888" w:type="dxa"/>
            <w:tcBorders>
              <w:top w:val="nil"/>
              <w:left w:val="nil"/>
              <w:bottom w:val="single" w:sz="4" w:space="0" w:color="auto"/>
              <w:right w:val="single" w:sz="4" w:space="0" w:color="auto"/>
            </w:tcBorders>
            <w:shd w:val="clear" w:color="000000" w:fill="E7E6E6"/>
            <w:vAlign w:val="center"/>
          </w:tcPr>
          <w:p w14:paraId="0538A221" w14:textId="0CE3FC1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45" w:type="dxa"/>
            <w:tcBorders>
              <w:top w:val="nil"/>
              <w:left w:val="nil"/>
              <w:bottom w:val="single" w:sz="4" w:space="0" w:color="auto"/>
              <w:right w:val="single" w:sz="4" w:space="0" w:color="auto"/>
            </w:tcBorders>
            <w:shd w:val="clear" w:color="000000" w:fill="E7E6E6"/>
            <w:noWrap/>
            <w:vAlign w:val="center"/>
          </w:tcPr>
          <w:p w14:paraId="68B075CC" w14:textId="43CF8C8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000000" w:fill="E7E6E6"/>
            <w:noWrap/>
            <w:vAlign w:val="center"/>
          </w:tcPr>
          <w:p w14:paraId="54A3FA96" w14:textId="46E7148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19</w:t>
            </w:r>
          </w:p>
        </w:tc>
        <w:tc>
          <w:tcPr>
            <w:tcW w:w="1140" w:type="dxa"/>
            <w:tcBorders>
              <w:top w:val="nil"/>
              <w:left w:val="nil"/>
              <w:bottom w:val="single" w:sz="4" w:space="0" w:color="auto"/>
              <w:right w:val="single" w:sz="4" w:space="0" w:color="auto"/>
            </w:tcBorders>
            <w:shd w:val="clear" w:color="000000" w:fill="E7E6E6"/>
            <w:noWrap/>
            <w:vAlign w:val="center"/>
          </w:tcPr>
          <w:p w14:paraId="31D1206A" w14:textId="208EAD4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15.6</w:t>
            </w:r>
          </w:p>
        </w:tc>
        <w:tc>
          <w:tcPr>
            <w:tcW w:w="769" w:type="dxa"/>
            <w:tcBorders>
              <w:top w:val="nil"/>
              <w:left w:val="nil"/>
              <w:bottom w:val="single" w:sz="4" w:space="0" w:color="auto"/>
              <w:right w:val="single" w:sz="4" w:space="0" w:color="auto"/>
            </w:tcBorders>
            <w:shd w:val="clear" w:color="000000" w:fill="E7E6E6"/>
            <w:vAlign w:val="center"/>
          </w:tcPr>
          <w:p w14:paraId="3ED546C5" w14:textId="73F84C6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72.2</w:t>
            </w:r>
          </w:p>
        </w:tc>
        <w:tc>
          <w:tcPr>
            <w:tcW w:w="1310" w:type="dxa"/>
            <w:tcBorders>
              <w:top w:val="nil"/>
              <w:left w:val="nil"/>
              <w:bottom w:val="single" w:sz="4" w:space="0" w:color="auto"/>
              <w:right w:val="single" w:sz="4" w:space="0" w:color="auto"/>
            </w:tcBorders>
            <w:shd w:val="clear" w:color="000000" w:fill="E7E6E6"/>
            <w:noWrap/>
            <w:vAlign w:val="center"/>
          </w:tcPr>
          <w:p w14:paraId="1708B941" w14:textId="3AC4156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33.4</w:t>
            </w:r>
          </w:p>
        </w:tc>
        <w:tc>
          <w:tcPr>
            <w:tcW w:w="1175" w:type="dxa"/>
            <w:tcBorders>
              <w:top w:val="nil"/>
              <w:left w:val="nil"/>
              <w:bottom w:val="single" w:sz="4" w:space="0" w:color="auto"/>
              <w:right w:val="single" w:sz="4" w:space="0" w:color="auto"/>
            </w:tcBorders>
            <w:shd w:val="clear" w:color="000000" w:fill="E7E6E6"/>
            <w:noWrap/>
            <w:vAlign w:val="center"/>
          </w:tcPr>
          <w:p w14:paraId="44B7A33E" w14:textId="2CDEAAF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46</w:t>
            </w:r>
          </w:p>
        </w:tc>
      </w:tr>
      <w:tr w:rsidR="00CB24EA" w:rsidRPr="00646B6F" w14:paraId="78AB3F06"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F5A3816" w14:textId="425B87F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52" w:type="dxa"/>
            <w:tcBorders>
              <w:top w:val="nil"/>
              <w:left w:val="nil"/>
              <w:bottom w:val="single" w:sz="4" w:space="0" w:color="auto"/>
              <w:right w:val="single" w:sz="4" w:space="0" w:color="auto"/>
            </w:tcBorders>
            <w:shd w:val="clear" w:color="auto" w:fill="auto"/>
            <w:noWrap/>
            <w:vAlign w:val="center"/>
          </w:tcPr>
          <w:p w14:paraId="23268A59" w14:textId="21717D8B"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Oporto</w:t>
            </w:r>
          </w:p>
        </w:tc>
        <w:tc>
          <w:tcPr>
            <w:tcW w:w="888" w:type="dxa"/>
            <w:tcBorders>
              <w:top w:val="nil"/>
              <w:left w:val="nil"/>
              <w:bottom w:val="single" w:sz="4" w:space="0" w:color="auto"/>
              <w:right w:val="single" w:sz="4" w:space="0" w:color="auto"/>
            </w:tcBorders>
            <w:shd w:val="clear" w:color="auto" w:fill="auto"/>
            <w:vAlign w:val="center"/>
          </w:tcPr>
          <w:p w14:paraId="18963075" w14:textId="4174B39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Portugal</w:t>
            </w:r>
          </w:p>
        </w:tc>
        <w:tc>
          <w:tcPr>
            <w:tcW w:w="1045" w:type="dxa"/>
            <w:tcBorders>
              <w:top w:val="nil"/>
              <w:left w:val="nil"/>
              <w:bottom w:val="single" w:sz="4" w:space="0" w:color="auto"/>
              <w:right w:val="single" w:sz="4" w:space="0" w:color="auto"/>
            </w:tcBorders>
            <w:shd w:val="clear" w:color="auto" w:fill="auto"/>
            <w:noWrap/>
            <w:vAlign w:val="center"/>
          </w:tcPr>
          <w:p w14:paraId="54CDADDA" w14:textId="6F96685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35.1–39.1</w:t>
            </w:r>
          </w:p>
        </w:tc>
        <w:tc>
          <w:tcPr>
            <w:tcW w:w="841" w:type="dxa"/>
            <w:tcBorders>
              <w:top w:val="nil"/>
              <w:left w:val="nil"/>
              <w:bottom w:val="single" w:sz="4" w:space="0" w:color="auto"/>
              <w:right w:val="single" w:sz="4" w:space="0" w:color="auto"/>
            </w:tcBorders>
            <w:shd w:val="clear" w:color="auto" w:fill="auto"/>
            <w:noWrap/>
            <w:vAlign w:val="center"/>
          </w:tcPr>
          <w:p w14:paraId="71936A9F" w14:textId="686A958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23.3</w:t>
            </w:r>
          </w:p>
        </w:tc>
        <w:tc>
          <w:tcPr>
            <w:tcW w:w="1140" w:type="dxa"/>
            <w:tcBorders>
              <w:top w:val="nil"/>
              <w:left w:val="nil"/>
              <w:bottom w:val="single" w:sz="4" w:space="0" w:color="auto"/>
              <w:right w:val="single" w:sz="4" w:space="0" w:color="auto"/>
            </w:tcBorders>
            <w:shd w:val="clear" w:color="auto" w:fill="auto"/>
            <w:noWrap/>
            <w:vAlign w:val="center"/>
          </w:tcPr>
          <w:p w14:paraId="3F6E3B37" w14:textId="29BA7C7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19.6</w:t>
            </w:r>
          </w:p>
        </w:tc>
        <w:tc>
          <w:tcPr>
            <w:tcW w:w="769" w:type="dxa"/>
            <w:tcBorders>
              <w:top w:val="nil"/>
              <w:left w:val="nil"/>
              <w:bottom w:val="single" w:sz="4" w:space="0" w:color="auto"/>
              <w:right w:val="single" w:sz="4" w:space="0" w:color="auto"/>
            </w:tcBorders>
            <w:shd w:val="clear" w:color="auto" w:fill="auto"/>
            <w:vAlign w:val="center"/>
          </w:tcPr>
          <w:p w14:paraId="02E284BA" w14:textId="5B6D7E0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59.6</w:t>
            </w:r>
          </w:p>
        </w:tc>
        <w:tc>
          <w:tcPr>
            <w:tcW w:w="1310" w:type="dxa"/>
            <w:tcBorders>
              <w:top w:val="nil"/>
              <w:left w:val="nil"/>
              <w:bottom w:val="single" w:sz="4" w:space="0" w:color="auto"/>
              <w:right w:val="single" w:sz="4" w:space="0" w:color="auto"/>
            </w:tcBorders>
            <w:shd w:val="clear" w:color="auto" w:fill="auto"/>
            <w:noWrap/>
            <w:vAlign w:val="center"/>
          </w:tcPr>
          <w:p w14:paraId="470A7B95" w14:textId="1EFC8C4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36.7</w:t>
            </w:r>
          </w:p>
        </w:tc>
        <w:tc>
          <w:tcPr>
            <w:tcW w:w="1175" w:type="dxa"/>
            <w:tcBorders>
              <w:top w:val="nil"/>
              <w:left w:val="nil"/>
              <w:bottom w:val="single" w:sz="4" w:space="0" w:color="auto"/>
              <w:right w:val="single" w:sz="4" w:space="0" w:color="auto"/>
            </w:tcBorders>
            <w:shd w:val="clear" w:color="auto" w:fill="auto"/>
            <w:noWrap/>
            <w:vAlign w:val="center"/>
          </w:tcPr>
          <w:p w14:paraId="7833DCD1" w14:textId="27B6D1F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53</w:t>
            </w:r>
          </w:p>
        </w:tc>
      </w:tr>
      <w:tr w:rsidR="00CB24EA" w:rsidRPr="00646B6F" w14:paraId="7411F7B7"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C9DC82F" w14:textId="22C1329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401–500</w:t>
            </w:r>
          </w:p>
        </w:tc>
        <w:tc>
          <w:tcPr>
            <w:tcW w:w="3452" w:type="dxa"/>
            <w:tcBorders>
              <w:top w:val="nil"/>
              <w:left w:val="nil"/>
              <w:bottom w:val="single" w:sz="4" w:space="0" w:color="auto"/>
              <w:right w:val="single" w:sz="4" w:space="0" w:color="auto"/>
            </w:tcBorders>
            <w:shd w:val="clear" w:color="000000" w:fill="E7E6E6"/>
            <w:noWrap/>
            <w:vAlign w:val="center"/>
          </w:tcPr>
          <w:p w14:paraId="2C15886B" w14:textId="6C3E345D"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Instituto Tecnológico y de Estudios Superiores de Monterrey</w:t>
            </w:r>
          </w:p>
        </w:tc>
        <w:tc>
          <w:tcPr>
            <w:tcW w:w="888" w:type="dxa"/>
            <w:tcBorders>
              <w:top w:val="nil"/>
              <w:left w:val="nil"/>
              <w:bottom w:val="single" w:sz="4" w:space="0" w:color="auto"/>
              <w:right w:val="single" w:sz="4" w:space="0" w:color="auto"/>
            </w:tcBorders>
            <w:shd w:val="clear" w:color="000000" w:fill="E7E6E6"/>
            <w:vAlign w:val="center"/>
          </w:tcPr>
          <w:p w14:paraId="511F4670" w14:textId="2552097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México</w:t>
            </w:r>
          </w:p>
        </w:tc>
        <w:tc>
          <w:tcPr>
            <w:tcW w:w="1045" w:type="dxa"/>
            <w:tcBorders>
              <w:top w:val="nil"/>
              <w:left w:val="nil"/>
              <w:bottom w:val="single" w:sz="4" w:space="0" w:color="auto"/>
              <w:right w:val="single" w:sz="4" w:space="0" w:color="auto"/>
            </w:tcBorders>
            <w:shd w:val="clear" w:color="000000" w:fill="E7E6E6"/>
            <w:noWrap/>
            <w:vAlign w:val="center"/>
          </w:tcPr>
          <w:p w14:paraId="37DE2129" w14:textId="0945749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31.9–35.0</w:t>
            </w:r>
          </w:p>
        </w:tc>
        <w:tc>
          <w:tcPr>
            <w:tcW w:w="841" w:type="dxa"/>
            <w:tcBorders>
              <w:top w:val="nil"/>
              <w:left w:val="nil"/>
              <w:bottom w:val="single" w:sz="4" w:space="0" w:color="auto"/>
              <w:right w:val="single" w:sz="4" w:space="0" w:color="auto"/>
            </w:tcBorders>
            <w:shd w:val="clear" w:color="000000" w:fill="E7E6E6"/>
            <w:noWrap/>
            <w:vAlign w:val="center"/>
          </w:tcPr>
          <w:p w14:paraId="5FAB0001" w14:textId="679D71A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17.1</w:t>
            </w:r>
          </w:p>
        </w:tc>
        <w:tc>
          <w:tcPr>
            <w:tcW w:w="1140" w:type="dxa"/>
            <w:tcBorders>
              <w:top w:val="nil"/>
              <w:left w:val="nil"/>
              <w:bottom w:val="single" w:sz="4" w:space="0" w:color="auto"/>
              <w:right w:val="single" w:sz="4" w:space="0" w:color="auto"/>
            </w:tcBorders>
            <w:shd w:val="clear" w:color="000000" w:fill="E7E6E6"/>
            <w:noWrap/>
            <w:vAlign w:val="center"/>
          </w:tcPr>
          <w:p w14:paraId="3E2C0599" w14:textId="0E69BF63"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11.1</w:t>
            </w:r>
          </w:p>
        </w:tc>
        <w:tc>
          <w:tcPr>
            <w:tcW w:w="769" w:type="dxa"/>
            <w:tcBorders>
              <w:top w:val="nil"/>
              <w:left w:val="nil"/>
              <w:bottom w:val="single" w:sz="4" w:space="0" w:color="auto"/>
              <w:right w:val="single" w:sz="4" w:space="0" w:color="auto"/>
            </w:tcBorders>
            <w:shd w:val="clear" w:color="000000" w:fill="E7E6E6"/>
            <w:vAlign w:val="center"/>
          </w:tcPr>
          <w:p w14:paraId="39DF9340" w14:textId="6F0B566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69.3</w:t>
            </w:r>
          </w:p>
        </w:tc>
        <w:tc>
          <w:tcPr>
            <w:tcW w:w="1310" w:type="dxa"/>
            <w:tcBorders>
              <w:top w:val="nil"/>
              <w:left w:val="nil"/>
              <w:bottom w:val="single" w:sz="4" w:space="0" w:color="auto"/>
              <w:right w:val="single" w:sz="4" w:space="0" w:color="auto"/>
            </w:tcBorders>
            <w:shd w:val="clear" w:color="000000" w:fill="E7E6E6"/>
            <w:noWrap/>
            <w:vAlign w:val="center"/>
          </w:tcPr>
          <w:p w14:paraId="5120E1D4" w14:textId="47037BE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66</w:t>
            </w:r>
          </w:p>
        </w:tc>
        <w:tc>
          <w:tcPr>
            <w:tcW w:w="1175" w:type="dxa"/>
            <w:tcBorders>
              <w:top w:val="nil"/>
              <w:left w:val="nil"/>
              <w:bottom w:val="single" w:sz="4" w:space="0" w:color="auto"/>
              <w:right w:val="single" w:sz="4" w:space="0" w:color="auto"/>
            </w:tcBorders>
            <w:shd w:val="clear" w:color="000000" w:fill="E7E6E6"/>
            <w:noWrap/>
            <w:vAlign w:val="center"/>
          </w:tcPr>
          <w:p w14:paraId="75846B36" w14:textId="113A77D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51.4</w:t>
            </w:r>
          </w:p>
        </w:tc>
      </w:tr>
      <w:tr w:rsidR="00F22221" w:rsidRPr="00F46F74" w14:paraId="064CEF17" w14:textId="77777777" w:rsidTr="00F27222">
        <w:trPr>
          <w:gridAfter w:val="1"/>
          <w:wAfter w:w="24" w:type="dxa"/>
          <w:trHeight w:val="27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59267B" w14:textId="3DDD91AD"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601–800</w:t>
            </w:r>
          </w:p>
        </w:tc>
        <w:tc>
          <w:tcPr>
            <w:tcW w:w="3452" w:type="dxa"/>
            <w:tcBorders>
              <w:top w:val="nil"/>
              <w:left w:val="nil"/>
              <w:bottom w:val="single" w:sz="4" w:space="0" w:color="auto"/>
              <w:right w:val="single" w:sz="4" w:space="0" w:color="auto"/>
            </w:tcBorders>
            <w:shd w:val="clear" w:color="auto" w:fill="auto"/>
            <w:noWrap/>
            <w:vAlign w:val="center"/>
          </w:tcPr>
          <w:p w14:paraId="27263864" w14:textId="782A69F1" w:rsidR="00F22221" w:rsidRPr="00F27222" w:rsidRDefault="00F2222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888" w:type="dxa"/>
            <w:tcBorders>
              <w:top w:val="nil"/>
              <w:left w:val="nil"/>
              <w:bottom w:val="single" w:sz="4" w:space="0" w:color="auto"/>
              <w:right w:val="single" w:sz="4" w:space="0" w:color="auto"/>
            </w:tcBorders>
            <w:shd w:val="clear" w:color="auto" w:fill="auto"/>
            <w:vAlign w:val="center"/>
          </w:tcPr>
          <w:p w14:paraId="004E29FA" w14:textId="0E2F496D"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45" w:type="dxa"/>
            <w:tcBorders>
              <w:top w:val="nil"/>
              <w:left w:val="nil"/>
              <w:bottom w:val="single" w:sz="4" w:space="0" w:color="auto"/>
              <w:right w:val="single" w:sz="4" w:space="0" w:color="auto"/>
            </w:tcBorders>
            <w:shd w:val="clear" w:color="auto" w:fill="auto"/>
            <w:noWrap/>
            <w:vAlign w:val="center"/>
          </w:tcPr>
          <w:p w14:paraId="51AD0089" w14:textId="47208C46"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20.4–28.3</w:t>
            </w:r>
          </w:p>
        </w:tc>
        <w:tc>
          <w:tcPr>
            <w:tcW w:w="841" w:type="dxa"/>
            <w:tcBorders>
              <w:top w:val="nil"/>
              <w:left w:val="nil"/>
              <w:bottom w:val="single" w:sz="4" w:space="0" w:color="auto"/>
              <w:right w:val="single" w:sz="4" w:space="0" w:color="auto"/>
            </w:tcBorders>
            <w:shd w:val="clear" w:color="auto" w:fill="auto"/>
            <w:noWrap/>
            <w:vAlign w:val="center"/>
          </w:tcPr>
          <w:p w14:paraId="74FA61C2" w14:textId="46B243AE"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18.5</w:t>
            </w:r>
          </w:p>
        </w:tc>
        <w:tc>
          <w:tcPr>
            <w:tcW w:w="1140" w:type="dxa"/>
            <w:tcBorders>
              <w:top w:val="nil"/>
              <w:left w:val="nil"/>
              <w:bottom w:val="single" w:sz="4" w:space="0" w:color="auto"/>
              <w:right w:val="single" w:sz="4" w:space="0" w:color="auto"/>
            </w:tcBorders>
            <w:shd w:val="clear" w:color="auto" w:fill="auto"/>
            <w:noWrap/>
            <w:vAlign w:val="center"/>
          </w:tcPr>
          <w:p w14:paraId="44853D79" w14:textId="3FDB336B"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15.8</w:t>
            </w:r>
          </w:p>
        </w:tc>
        <w:tc>
          <w:tcPr>
            <w:tcW w:w="769" w:type="dxa"/>
            <w:tcBorders>
              <w:top w:val="nil"/>
              <w:left w:val="nil"/>
              <w:bottom w:val="single" w:sz="4" w:space="0" w:color="auto"/>
              <w:right w:val="single" w:sz="4" w:space="0" w:color="auto"/>
            </w:tcBorders>
            <w:shd w:val="clear" w:color="auto" w:fill="auto"/>
            <w:vAlign w:val="center"/>
          </w:tcPr>
          <w:p w14:paraId="4694174F" w14:textId="5750551B"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15</w:t>
            </w:r>
          </w:p>
        </w:tc>
        <w:tc>
          <w:tcPr>
            <w:tcW w:w="1310" w:type="dxa"/>
            <w:tcBorders>
              <w:top w:val="nil"/>
              <w:left w:val="nil"/>
              <w:bottom w:val="single" w:sz="4" w:space="0" w:color="auto"/>
              <w:right w:val="single" w:sz="4" w:space="0" w:color="auto"/>
            </w:tcBorders>
            <w:shd w:val="clear" w:color="auto" w:fill="auto"/>
            <w:noWrap/>
            <w:vAlign w:val="center"/>
          </w:tcPr>
          <w:p w14:paraId="3A4F0F0F" w14:textId="3FDDC05B"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61.7</w:t>
            </w:r>
          </w:p>
        </w:tc>
        <w:tc>
          <w:tcPr>
            <w:tcW w:w="1175" w:type="dxa"/>
            <w:tcBorders>
              <w:top w:val="nil"/>
              <w:left w:val="nil"/>
              <w:bottom w:val="single" w:sz="4" w:space="0" w:color="auto"/>
              <w:right w:val="single" w:sz="4" w:space="0" w:color="auto"/>
            </w:tcBorders>
            <w:shd w:val="clear" w:color="auto" w:fill="auto"/>
            <w:noWrap/>
            <w:vAlign w:val="center"/>
          </w:tcPr>
          <w:p w14:paraId="060198BB" w14:textId="39292AD7"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45.5</w:t>
            </w:r>
          </w:p>
        </w:tc>
      </w:tr>
    </w:tbl>
    <w:p w14:paraId="61808DC0" w14:textId="77777777" w:rsidR="0081233E" w:rsidRPr="00646B6F" w:rsidRDefault="0081233E" w:rsidP="0078703F">
      <w:pPr>
        <w:spacing w:line="240" w:lineRule="auto"/>
      </w:pPr>
    </w:p>
    <w:tbl>
      <w:tblPr>
        <w:tblW w:w="11481" w:type="dxa"/>
        <w:jc w:val="center"/>
        <w:tblCellMar>
          <w:left w:w="70" w:type="dxa"/>
          <w:right w:w="70" w:type="dxa"/>
        </w:tblCellMar>
        <w:tblLook w:val="04A0" w:firstRow="1" w:lastRow="0" w:firstColumn="1" w:lastColumn="0" w:noHBand="0" w:noVBand="1"/>
      </w:tblPr>
      <w:tblGrid>
        <w:gridCol w:w="811"/>
        <w:gridCol w:w="3404"/>
        <w:gridCol w:w="907"/>
        <w:gridCol w:w="1058"/>
        <w:gridCol w:w="852"/>
        <w:gridCol w:w="1141"/>
        <w:gridCol w:w="798"/>
        <w:gridCol w:w="1312"/>
        <w:gridCol w:w="1198"/>
      </w:tblGrid>
      <w:tr w:rsidR="001B5079" w:rsidRPr="00646B6F" w14:paraId="23C34058" w14:textId="77777777" w:rsidTr="002434E5">
        <w:trPr>
          <w:trHeight w:val="254"/>
          <w:tblHeader/>
          <w:jc w:val="center"/>
        </w:trPr>
        <w:tc>
          <w:tcPr>
            <w:tcW w:w="11481" w:type="dxa"/>
            <w:gridSpan w:val="9"/>
            <w:tcBorders>
              <w:top w:val="nil"/>
              <w:left w:val="nil"/>
              <w:bottom w:val="single" w:sz="4" w:space="0" w:color="auto"/>
              <w:right w:val="nil"/>
            </w:tcBorders>
            <w:shd w:val="clear" w:color="auto" w:fill="auto"/>
            <w:vAlign w:val="center"/>
            <w:hideMark/>
          </w:tcPr>
          <w:p w14:paraId="65FC8690" w14:textId="2A47E314" w:rsidR="001B5079" w:rsidRPr="00646B6F" w:rsidRDefault="001B5079" w:rsidP="002708D4">
            <w:pPr>
              <w:spacing w:line="240" w:lineRule="auto"/>
              <w:jc w:val="center"/>
              <w:rPr>
                <w:rFonts w:ascii="Calibri" w:eastAsia="Times New Roman" w:hAnsi="Calibri" w:cs="Calibri"/>
                <w:b/>
                <w:bCs/>
                <w:color w:val="000000"/>
                <w:sz w:val="20"/>
                <w:szCs w:val="20"/>
                <w:lang w:eastAsia="es-MX"/>
              </w:rPr>
            </w:pPr>
            <w:r w:rsidRPr="00646B6F">
              <w:rPr>
                <w:rFonts w:ascii="Calibri" w:eastAsia="Times New Roman" w:hAnsi="Calibri" w:cs="Calibri"/>
                <w:b/>
                <w:bCs/>
                <w:color w:val="000000"/>
                <w:sz w:val="20"/>
                <w:szCs w:val="20"/>
                <w:lang w:eastAsia="es-MX"/>
              </w:rPr>
              <w:t>Tabla 12. Posición de las universidades iberoamericanas en el TOP 10 del ranking THE en el área de Negocios y Economía, 2021.</w:t>
            </w:r>
          </w:p>
        </w:tc>
      </w:tr>
      <w:tr w:rsidR="001B5079" w:rsidRPr="00646B6F" w14:paraId="4971898A" w14:textId="77777777" w:rsidTr="00CB24EA">
        <w:trPr>
          <w:trHeight w:val="407"/>
          <w:tblHeader/>
          <w:jc w:val="center"/>
        </w:trPr>
        <w:tc>
          <w:tcPr>
            <w:tcW w:w="811" w:type="dxa"/>
            <w:tcBorders>
              <w:top w:val="nil"/>
              <w:left w:val="single" w:sz="4" w:space="0" w:color="auto"/>
              <w:bottom w:val="single" w:sz="4" w:space="0" w:color="auto"/>
              <w:right w:val="single" w:sz="4" w:space="0" w:color="auto"/>
            </w:tcBorders>
            <w:shd w:val="clear" w:color="000000" w:fill="BDD6EE"/>
            <w:vAlign w:val="center"/>
            <w:hideMark/>
          </w:tcPr>
          <w:p w14:paraId="14883761"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Posición</w:t>
            </w:r>
          </w:p>
        </w:tc>
        <w:tc>
          <w:tcPr>
            <w:tcW w:w="3404" w:type="dxa"/>
            <w:tcBorders>
              <w:top w:val="nil"/>
              <w:left w:val="nil"/>
              <w:bottom w:val="single" w:sz="4" w:space="0" w:color="auto"/>
              <w:right w:val="single" w:sz="4" w:space="0" w:color="auto"/>
            </w:tcBorders>
            <w:shd w:val="clear" w:color="000000" w:fill="BDD6EE"/>
            <w:vAlign w:val="center"/>
            <w:hideMark/>
          </w:tcPr>
          <w:p w14:paraId="48C13BAF"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Institución</w:t>
            </w:r>
          </w:p>
        </w:tc>
        <w:tc>
          <w:tcPr>
            <w:tcW w:w="907" w:type="dxa"/>
            <w:tcBorders>
              <w:top w:val="nil"/>
              <w:left w:val="nil"/>
              <w:bottom w:val="single" w:sz="4" w:space="0" w:color="auto"/>
              <w:right w:val="single" w:sz="4" w:space="0" w:color="auto"/>
            </w:tcBorders>
            <w:shd w:val="clear" w:color="000000" w:fill="BDD6EE"/>
            <w:vAlign w:val="center"/>
            <w:hideMark/>
          </w:tcPr>
          <w:p w14:paraId="381B924D"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País</w:t>
            </w:r>
          </w:p>
        </w:tc>
        <w:tc>
          <w:tcPr>
            <w:tcW w:w="1058" w:type="dxa"/>
            <w:tcBorders>
              <w:top w:val="nil"/>
              <w:left w:val="nil"/>
              <w:bottom w:val="single" w:sz="4" w:space="0" w:color="auto"/>
              <w:right w:val="single" w:sz="4" w:space="0" w:color="auto"/>
            </w:tcBorders>
            <w:shd w:val="clear" w:color="000000" w:fill="BDD6EE"/>
            <w:vAlign w:val="center"/>
            <w:hideMark/>
          </w:tcPr>
          <w:p w14:paraId="14C852C4"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Puntaje General</w:t>
            </w:r>
          </w:p>
        </w:tc>
        <w:tc>
          <w:tcPr>
            <w:tcW w:w="852" w:type="dxa"/>
            <w:tcBorders>
              <w:top w:val="nil"/>
              <w:left w:val="nil"/>
              <w:bottom w:val="single" w:sz="4" w:space="0" w:color="auto"/>
              <w:right w:val="single" w:sz="4" w:space="0" w:color="auto"/>
            </w:tcBorders>
            <w:shd w:val="clear" w:color="000000" w:fill="BDD6EE"/>
            <w:vAlign w:val="center"/>
            <w:hideMark/>
          </w:tcPr>
          <w:p w14:paraId="641BE4EB"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Docencia </w:t>
            </w:r>
          </w:p>
        </w:tc>
        <w:tc>
          <w:tcPr>
            <w:tcW w:w="1141" w:type="dxa"/>
            <w:tcBorders>
              <w:top w:val="nil"/>
              <w:left w:val="nil"/>
              <w:bottom w:val="single" w:sz="4" w:space="0" w:color="auto"/>
              <w:right w:val="single" w:sz="4" w:space="0" w:color="auto"/>
            </w:tcBorders>
            <w:shd w:val="clear" w:color="000000" w:fill="BDD6EE"/>
            <w:vAlign w:val="center"/>
            <w:hideMark/>
          </w:tcPr>
          <w:p w14:paraId="1D2A02A9"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Investigación</w:t>
            </w:r>
          </w:p>
        </w:tc>
        <w:tc>
          <w:tcPr>
            <w:tcW w:w="798" w:type="dxa"/>
            <w:tcBorders>
              <w:top w:val="nil"/>
              <w:left w:val="nil"/>
              <w:bottom w:val="single" w:sz="4" w:space="0" w:color="auto"/>
              <w:right w:val="single" w:sz="4" w:space="0" w:color="auto"/>
            </w:tcBorders>
            <w:shd w:val="clear" w:color="000000" w:fill="BDD6EE"/>
            <w:vAlign w:val="center"/>
            <w:hideMark/>
          </w:tcPr>
          <w:p w14:paraId="6FB4C776"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Citas</w:t>
            </w:r>
          </w:p>
        </w:tc>
        <w:tc>
          <w:tcPr>
            <w:tcW w:w="1312" w:type="dxa"/>
            <w:tcBorders>
              <w:top w:val="nil"/>
              <w:left w:val="nil"/>
              <w:bottom w:val="single" w:sz="4" w:space="0" w:color="auto"/>
              <w:right w:val="single" w:sz="4" w:space="0" w:color="auto"/>
            </w:tcBorders>
            <w:shd w:val="clear" w:color="000000" w:fill="BDD6EE"/>
            <w:vAlign w:val="center"/>
            <w:hideMark/>
          </w:tcPr>
          <w:p w14:paraId="0554F14F"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 xml:space="preserve">Financiamiento de la industria </w:t>
            </w:r>
          </w:p>
        </w:tc>
        <w:tc>
          <w:tcPr>
            <w:tcW w:w="1198" w:type="dxa"/>
            <w:tcBorders>
              <w:top w:val="nil"/>
              <w:left w:val="nil"/>
              <w:bottom w:val="single" w:sz="4" w:space="0" w:color="auto"/>
              <w:right w:val="single" w:sz="4" w:space="0" w:color="auto"/>
            </w:tcBorders>
            <w:shd w:val="clear" w:color="000000" w:fill="BDD6EE"/>
            <w:vAlign w:val="center"/>
            <w:hideMark/>
          </w:tcPr>
          <w:p w14:paraId="26BA057E" w14:textId="77777777" w:rsidR="001B5079" w:rsidRPr="00646B6F" w:rsidRDefault="001B5079"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Perspectiva internacional</w:t>
            </w:r>
          </w:p>
        </w:tc>
      </w:tr>
      <w:tr w:rsidR="00CB24EA" w:rsidRPr="00646B6F" w14:paraId="35ADBD0E"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23B65A03" w14:textId="2F2132A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53</w:t>
            </w:r>
          </w:p>
        </w:tc>
        <w:tc>
          <w:tcPr>
            <w:tcW w:w="3404" w:type="dxa"/>
            <w:tcBorders>
              <w:top w:val="nil"/>
              <w:left w:val="nil"/>
              <w:bottom w:val="single" w:sz="4" w:space="0" w:color="auto"/>
              <w:right w:val="single" w:sz="4" w:space="0" w:color="auto"/>
            </w:tcBorders>
            <w:shd w:val="clear" w:color="auto" w:fill="auto"/>
            <w:noWrap/>
            <w:vAlign w:val="center"/>
          </w:tcPr>
          <w:p w14:paraId="25A7E7A1" w14:textId="0EF3CF90"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Pompeu Fabra</w:t>
            </w:r>
          </w:p>
        </w:tc>
        <w:tc>
          <w:tcPr>
            <w:tcW w:w="907" w:type="dxa"/>
            <w:tcBorders>
              <w:top w:val="nil"/>
              <w:left w:val="nil"/>
              <w:bottom w:val="single" w:sz="4" w:space="0" w:color="auto"/>
              <w:right w:val="single" w:sz="4" w:space="0" w:color="auto"/>
            </w:tcBorders>
            <w:shd w:val="clear" w:color="auto" w:fill="auto"/>
            <w:vAlign w:val="center"/>
          </w:tcPr>
          <w:p w14:paraId="356DCA5B" w14:textId="3DCDAD8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58" w:type="dxa"/>
            <w:tcBorders>
              <w:top w:val="nil"/>
              <w:left w:val="nil"/>
              <w:bottom w:val="single" w:sz="4" w:space="0" w:color="auto"/>
              <w:right w:val="single" w:sz="4" w:space="0" w:color="auto"/>
            </w:tcBorders>
            <w:shd w:val="clear" w:color="auto" w:fill="auto"/>
            <w:noWrap/>
            <w:vAlign w:val="center"/>
          </w:tcPr>
          <w:p w14:paraId="4FF8C7BE" w14:textId="35402CB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61.7</w:t>
            </w:r>
          </w:p>
        </w:tc>
        <w:tc>
          <w:tcPr>
            <w:tcW w:w="852" w:type="dxa"/>
            <w:tcBorders>
              <w:top w:val="nil"/>
              <w:left w:val="nil"/>
              <w:bottom w:val="single" w:sz="4" w:space="0" w:color="auto"/>
              <w:right w:val="single" w:sz="4" w:space="0" w:color="auto"/>
            </w:tcBorders>
            <w:shd w:val="clear" w:color="auto" w:fill="auto"/>
            <w:noWrap/>
            <w:vAlign w:val="center"/>
          </w:tcPr>
          <w:p w14:paraId="1613B731" w14:textId="1431A51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57</w:t>
            </w:r>
          </w:p>
        </w:tc>
        <w:tc>
          <w:tcPr>
            <w:tcW w:w="1141" w:type="dxa"/>
            <w:tcBorders>
              <w:top w:val="nil"/>
              <w:left w:val="nil"/>
              <w:bottom w:val="single" w:sz="4" w:space="0" w:color="auto"/>
              <w:right w:val="single" w:sz="4" w:space="0" w:color="auto"/>
            </w:tcBorders>
            <w:shd w:val="clear" w:color="auto" w:fill="auto"/>
            <w:noWrap/>
            <w:vAlign w:val="center"/>
          </w:tcPr>
          <w:p w14:paraId="0D678D40" w14:textId="6FF2567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56.4</w:t>
            </w:r>
          </w:p>
        </w:tc>
        <w:tc>
          <w:tcPr>
            <w:tcW w:w="798" w:type="dxa"/>
            <w:tcBorders>
              <w:top w:val="nil"/>
              <w:left w:val="nil"/>
              <w:bottom w:val="single" w:sz="4" w:space="0" w:color="auto"/>
              <w:right w:val="single" w:sz="4" w:space="0" w:color="auto"/>
            </w:tcBorders>
            <w:shd w:val="clear" w:color="auto" w:fill="auto"/>
            <w:vAlign w:val="center"/>
          </w:tcPr>
          <w:p w14:paraId="58A27770" w14:textId="0053AAD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76</w:t>
            </w:r>
          </w:p>
        </w:tc>
        <w:tc>
          <w:tcPr>
            <w:tcW w:w="1312" w:type="dxa"/>
            <w:tcBorders>
              <w:top w:val="nil"/>
              <w:left w:val="nil"/>
              <w:bottom w:val="single" w:sz="4" w:space="0" w:color="auto"/>
              <w:right w:val="single" w:sz="4" w:space="0" w:color="auto"/>
            </w:tcBorders>
            <w:shd w:val="clear" w:color="auto" w:fill="auto"/>
            <w:noWrap/>
            <w:vAlign w:val="center"/>
          </w:tcPr>
          <w:p w14:paraId="6BCCDD73" w14:textId="145D85E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42.2</w:t>
            </w:r>
          </w:p>
        </w:tc>
        <w:tc>
          <w:tcPr>
            <w:tcW w:w="1198" w:type="dxa"/>
            <w:tcBorders>
              <w:top w:val="nil"/>
              <w:left w:val="nil"/>
              <w:bottom w:val="single" w:sz="4" w:space="0" w:color="auto"/>
              <w:right w:val="single" w:sz="4" w:space="0" w:color="auto"/>
            </w:tcBorders>
            <w:shd w:val="clear" w:color="auto" w:fill="auto"/>
            <w:noWrap/>
            <w:vAlign w:val="center"/>
          </w:tcPr>
          <w:p w14:paraId="2D5875D8" w14:textId="68AE52B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62.2</w:t>
            </w:r>
          </w:p>
        </w:tc>
      </w:tr>
      <w:tr w:rsidR="00CB24EA" w:rsidRPr="00646B6F" w14:paraId="6FB9AB8B"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653A96E7" w14:textId="0AA584F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126–150</w:t>
            </w:r>
          </w:p>
        </w:tc>
        <w:tc>
          <w:tcPr>
            <w:tcW w:w="3404" w:type="dxa"/>
            <w:tcBorders>
              <w:top w:val="nil"/>
              <w:left w:val="nil"/>
              <w:bottom w:val="single" w:sz="4" w:space="0" w:color="auto"/>
              <w:right w:val="single" w:sz="4" w:space="0" w:color="auto"/>
            </w:tcBorders>
            <w:shd w:val="clear" w:color="000000" w:fill="E7E6E6"/>
            <w:noWrap/>
            <w:vAlign w:val="center"/>
          </w:tcPr>
          <w:p w14:paraId="13BC0D70" w14:textId="014272B5"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Autónoma de Barcelona</w:t>
            </w:r>
          </w:p>
        </w:tc>
        <w:tc>
          <w:tcPr>
            <w:tcW w:w="907" w:type="dxa"/>
            <w:tcBorders>
              <w:top w:val="nil"/>
              <w:left w:val="nil"/>
              <w:bottom w:val="single" w:sz="4" w:space="0" w:color="auto"/>
              <w:right w:val="single" w:sz="4" w:space="0" w:color="auto"/>
            </w:tcBorders>
            <w:shd w:val="clear" w:color="000000" w:fill="E7E6E6"/>
            <w:vAlign w:val="center"/>
          </w:tcPr>
          <w:p w14:paraId="305C3C48" w14:textId="7B07E82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58" w:type="dxa"/>
            <w:tcBorders>
              <w:top w:val="nil"/>
              <w:left w:val="nil"/>
              <w:bottom w:val="single" w:sz="4" w:space="0" w:color="auto"/>
              <w:right w:val="single" w:sz="4" w:space="0" w:color="auto"/>
            </w:tcBorders>
            <w:shd w:val="clear" w:color="000000" w:fill="E7E6E6"/>
            <w:noWrap/>
            <w:vAlign w:val="center"/>
          </w:tcPr>
          <w:p w14:paraId="5D8171A4" w14:textId="19EC98A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45.4–47.6</w:t>
            </w:r>
          </w:p>
        </w:tc>
        <w:tc>
          <w:tcPr>
            <w:tcW w:w="852" w:type="dxa"/>
            <w:tcBorders>
              <w:top w:val="nil"/>
              <w:left w:val="nil"/>
              <w:bottom w:val="single" w:sz="4" w:space="0" w:color="auto"/>
              <w:right w:val="single" w:sz="4" w:space="0" w:color="auto"/>
            </w:tcBorders>
            <w:shd w:val="clear" w:color="000000" w:fill="E7E6E6"/>
            <w:noWrap/>
            <w:vAlign w:val="center"/>
          </w:tcPr>
          <w:p w14:paraId="49F19877" w14:textId="14945E5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35.5</w:t>
            </w:r>
          </w:p>
        </w:tc>
        <w:tc>
          <w:tcPr>
            <w:tcW w:w="1141" w:type="dxa"/>
            <w:tcBorders>
              <w:top w:val="nil"/>
              <w:left w:val="nil"/>
              <w:bottom w:val="single" w:sz="4" w:space="0" w:color="auto"/>
              <w:right w:val="single" w:sz="4" w:space="0" w:color="auto"/>
            </w:tcBorders>
            <w:shd w:val="clear" w:color="000000" w:fill="E7E6E6"/>
            <w:noWrap/>
            <w:vAlign w:val="center"/>
          </w:tcPr>
          <w:p w14:paraId="5472D8AF" w14:textId="0BB9CB4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25.5</w:t>
            </w:r>
          </w:p>
        </w:tc>
        <w:tc>
          <w:tcPr>
            <w:tcW w:w="798" w:type="dxa"/>
            <w:tcBorders>
              <w:top w:val="nil"/>
              <w:left w:val="nil"/>
              <w:bottom w:val="single" w:sz="4" w:space="0" w:color="auto"/>
              <w:right w:val="single" w:sz="4" w:space="0" w:color="auto"/>
            </w:tcBorders>
            <w:shd w:val="clear" w:color="000000" w:fill="E7E6E6"/>
            <w:vAlign w:val="center"/>
          </w:tcPr>
          <w:p w14:paraId="54EF880A" w14:textId="68C3BCD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84</w:t>
            </w:r>
          </w:p>
        </w:tc>
        <w:tc>
          <w:tcPr>
            <w:tcW w:w="1312" w:type="dxa"/>
            <w:tcBorders>
              <w:top w:val="nil"/>
              <w:left w:val="nil"/>
              <w:bottom w:val="single" w:sz="4" w:space="0" w:color="auto"/>
              <w:right w:val="single" w:sz="4" w:space="0" w:color="auto"/>
            </w:tcBorders>
            <w:shd w:val="clear" w:color="000000" w:fill="E7E6E6"/>
            <w:noWrap/>
            <w:vAlign w:val="center"/>
          </w:tcPr>
          <w:p w14:paraId="0442D901" w14:textId="444312C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38.7</w:t>
            </w:r>
          </w:p>
        </w:tc>
        <w:tc>
          <w:tcPr>
            <w:tcW w:w="1198" w:type="dxa"/>
            <w:tcBorders>
              <w:top w:val="nil"/>
              <w:left w:val="nil"/>
              <w:bottom w:val="single" w:sz="4" w:space="0" w:color="auto"/>
              <w:right w:val="single" w:sz="4" w:space="0" w:color="auto"/>
            </w:tcBorders>
            <w:shd w:val="clear" w:color="000000" w:fill="E7E6E6"/>
            <w:noWrap/>
            <w:vAlign w:val="center"/>
          </w:tcPr>
          <w:p w14:paraId="138BA806" w14:textId="4CC7E0E3"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62.9</w:t>
            </w:r>
          </w:p>
        </w:tc>
      </w:tr>
      <w:tr w:rsidR="00CB24EA" w:rsidRPr="00646B6F" w14:paraId="1D9DBD96"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40F6EAA2" w14:textId="69288A9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151–175</w:t>
            </w:r>
          </w:p>
        </w:tc>
        <w:tc>
          <w:tcPr>
            <w:tcW w:w="3404" w:type="dxa"/>
            <w:tcBorders>
              <w:top w:val="nil"/>
              <w:left w:val="nil"/>
              <w:bottom w:val="single" w:sz="4" w:space="0" w:color="auto"/>
              <w:right w:val="single" w:sz="4" w:space="0" w:color="auto"/>
            </w:tcBorders>
            <w:shd w:val="clear" w:color="auto" w:fill="auto"/>
            <w:noWrap/>
            <w:vAlign w:val="center"/>
          </w:tcPr>
          <w:p w14:paraId="5B941B7F" w14:textId="36661F12"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Navarra</w:t>
            </w:r>
          </w:p>
        </w:tc>
        <w:tc>
          <w:tcPr>
            <w:tcW w:w="907" w:type="dxa"/>
            <w:tcBorders>
              <w:top w:val="nil"/>
              <w:left w:val="nil"/>
              <w:bottom w:val="single" w:sz="4" w:space="0" w:color="auto"/>
              <w:right w:val="single" w:sz="4" w:space="0" w:color="auto"/>
            </w:tcBorders>
            <w:shd w:val="clear" w:color="auto" w:fill="auto"/>
            <w:vAlign w:val="center"/>
          </w:tcPr>
          <w:p w14:paraId="5BEFBE63" w14:textId="778CB11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58" w:type="dxa"/>
            <w:tcBorders>
              <w:top w:val="nil"/>
              <w:left w:val="nil"/>
              <w:bottom w:val="single" w:sz="4" w:space="0" w:color="auto"/>
              <w:right w:val="single" w:sz="4" w:space="0" w:color="auto"/>
            </w:tcBorders>
            <w:shd w:val="clear" w:color="auto" w:fill="auto"/>
            <w:noWrap/>
            <w:vAlign w:val="center"/>
          </w:tcPr>
          <w:p w14:paraId="1767C158" w14:textId="21DCD96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43.9–45.3</w:t>
            </w:r>
          </w:p>
        </w:tc>
        <w:tc>
          <w:tcPr>
            <w:tcW w:w="852" w:type="dxa"/>
            <w:tcBorders>
              <w:top w:val="nil"/>
              <w:left w:val="nil"/>
              <w:bottom w:val="single" w:sz="4" w:space="0" w:color="auto"/>
              <w:right w:val="single" w:sz="4" w:space="0" w:color="auto"/>
            </w:tcBorders>
            <w:shd w:val="clear" w:color="auto" w:fill="auto"/>
            <w:noWrap/>
            <w:vAlign w:val="center"/>
          </w:tcPr>
          <w:p w14:paraId="02711D98" w14:textId="4691610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32.6</w:t>
            </w:r>
          </w:p>
        </w:tc>
        <w:tc>
          <w:tcPr>
            <w:tcW w:w="1141" w:type="dxa"/>
            <w:tcBorders>
              <w:top w:val="nil"/>
              <w:left w:val="nil"/>
              <w:bottom w:val="single" w:sz="4" w:space="0" w:color="auto"/>
              <w:right w:val="single" w:sz="4" w:space="0" w:color="auto"/>
            </w:tcBorders>
            <w:shd w:val="clear" w:color="auto" w:fill="auto"/>
            <w:noWrap/>
            <w:vAlign w:val="center"/>
          </w:tcPr>
          <w:p w14:paraId="488914C7" w14:textId="08AF8BD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18.8</w:t>
            </w:r>
          </w:p>
        </w:tc>
        <w:tc>
          <w:tcPr>
            <w:tcW w:w="798" w:type="dxa"/>
            <w:tcBorders>
              <w:top w:val="nil"/>
              <w:left w:val="nil"/>
              <w:bottom w:val="single" w:sz="4" w:space="0" w:color="auto"/>
              <w:right w:val="single" w:sz="4" w:space="0" w:color="auto"/>
            </w:tcBorders>
            <w:shd w:val="clear" w:color="auto" w:fill="auto"/>
            <w:vAlign w:val="center"/>
          </w:tcPr>
          <w:p w14:paraId="4DEEF7DA" w14:textId="5B3BF0C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76.8</w:t>
            </w:r>
          </w:p>
        </w:tc>
        <w:tc>
          <w:tcPr>
            <w:tcW w:w="1312" w:type="dxa"/>
            <w:tcBorders>
              <w:top w:val="nil"/>
              <w:left w:val="nil"/>
              <w:bottom w:val="single" w:sz="4" w:space="0" w:color="auto"/>
              <w:right w:val="single" w:sz="4" w:space="0" w:color="auto"/>
            </w:tcBorders>
            <w:shd w:val="clear" w:color="auto" w:fill="auto"/>
            <w:noWrap/>
            <w:vAlign w:val="center"/>
          </w:tcPr>
          <w:p w14:paraId="63A743B4" w14:textId="51851BC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36.7</w:t>
            </w:r>
          </w:p>
        </w:tc>
        <w:tc>
          <w:tcPr>
            <w:tcW w:w="1198" w:type="dxa"/>
            <w:tcBorders>
              <w:top w:val="nil"/>
              <w:left w:val="nil"/>
              <w:bottom w:val="single" w:sz="4" w:space="0" w:color="auto"/>
              <w:right w:val="single" w:sz="4" w:space="0" w:color="auto"/>
            </w:tcBorders>
            <w:shd w:val="clear" w:color="auto" w:fill="auto"/>
            <w:noWrap/>
            <w:vAlign w:val="center"/>
          </w:tcPr>
          <w:p w14:paraId="22DD449B" w14:textId="53453C3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88.2</w:t>
            </w:r>
          </w:p>
        </w:tc>
      </w:tr>
      <w:tr w:rsidR="00CB24EA" w:rsidRPr="00646B6F" w14:paraId="309E6EA2"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477EDDB6" w14:textId="067511C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151–175</w:t>
            </w:r>
          </w:p>
        </w:tc>
        <w:tc>
          <w:tcPr>
            <w:tcW w:w="3404" w:type="dxa"/>
            <w:tcBorders>
              <w:top w:val="nil"/>
              <w:left w:val="nil"/>
              <w:bottom w:val="single" w:sz="4" w:space="0" w:color="auto"/>
              <w:right w:val="single" w:sz="4" w:space="0" w:color="auto"/>
            </w:tcBorders>
            <w:shd w:val="clear" w:color="000000" w:fill="E7E6E6"/>
            <w:noWrap/>
            <w:vAlign w:val="center"/>
          </w:tcPr>
          <w:p w14:paraId="690C6E20" w14:textId="5DED6B76"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Nueva de Lisboa</w:t>
            </w:r>
          </w:p>
        </w:tc>
        <w:tc>
          <w:tcPr>
            <w:tcW w:w="907" w:type="dxa"/>
            <w:tcBorders>
              <w:top w:val="nil"/>
              <w:left w:val="nil"/>
              <w:bottom w:val="single" w:sz="4" w:space="0" w:color="auto"/>
              <w:right w:val="single" w:sz="4" w:space="0" w:color="auto"/>
            </w:tcBorders>
            <w:shd w:val="clear" w:color="000000" w:fill="E7E6E6"/>
            <w:vAlign w:val="center"/>
          </w:tcPr>
          <w:p w14:paraId="1CE9A7C1" w14:textId="5DE22DD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Portugal</w:t>
            </w:r>
          </w:p>
        </w:tc>
        <w:tc>
          <w:tcPr>
            <w:tcW w:w="1058" w:type="dxa"/>
            <w:tcBorders>
              <w:top w:val="nil"/>
              <w:left w:val="nil"/>
              <w:bottom w:val="single" w:sz="4" w:space="0" w:color="auto"/>
              <w:right w:val="single" w:sz="4" w:space="0" w:color="auto"/>
            </w:tcBorders>
            <w:shd w:val="clear" w:color="000000" w:fill="E7E6E6"/>
            <w:noWrap/>
            <w:vAlign w:val="center"/>
          </w:tcPr>
          <w:p w14:paraId="4AD560B1" w14:textId="19FA32E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43.9–45.3</w:t>
            </w:r>
          </w:p>
        </w:tc>
        <w:tc>
          <w:tcPr>
            <w:tcW w:w="852" w:type="dxa"/>
            <w:tcBorders>
              <w:top w:val="nil"/>
              <w:left w:val="nil"/>
              <w:bottom w:val="single" w:sz="4" w:space="0" w:color="auto"/>
              <w:right w:val="single" w:sz="4" w:space="0" w:color="auto"/>
            </w:tcBorders>
            <w:shd w:val="clear" w:color="000000" w:fill="E7E6E6"/>
            <w:noWrap/>
            <w:vAlign w:val="center"/>
          </w:tcPr>
          <w:p w14:paraId="76EB4E60" w14:textId="45919A4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22.7</w:t>
            </w:r>
          </w:p>
        </w:tc>
        <w:tc>
          <w:tcPr>
            <w:tcW w:w="1141" w:type="dxa"/>
            <w:tcBorders>
              <w:top w:val="nil"/>
              <w:left w:val="nil"/>
              <w:bottom w:val="single" w:sz="4" w:space="0" w:color="auto"/>
              <w:right w:val="single" w:sz="4" w:space="0" w:color="auto"/>
            </w:tcBorders>
            <w:shd w:val="clear" w:color="000000" w:fill="E7E6E6"/>
            <w:noWrap/>
            <w:vAlign w:val="center"/>
          </w:tcPr>
          <w:p w14:paraId="3C2A9E2E" w14:textId="0D913C63"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23.9</w:t>
            </w:r>
          </w:p>
        </w:tc>
        <w:tc>
          <w:tcPr>
            <w:tcW w:w="798" w:type="dxa"/>
            <w:tcBorders>
              <w:top w:val="nil"/>
              <w:left w:val="nil"/>
              <w:bottom w:val="single" w:sz="4" w:space="0" w:color="auto"/>
              <w:right w:val="single" w:sz="4" w:space="0" w:color="auto"/>
            </w:tcBorders>
            <w:shd w:val="clear" w:color="000000" w:fill="E7E6E6"/>
            <w:vAlign w:val="center"/>
          </w:tcPr>
          <w:p w14:paraId="4A03145D" w14:textId="2FE814C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92.5</w:t>
            </w:r>
          </w:p>
        </w:tc>
        <w:tc>
          <w:tcPr>
            <w:tcW w:w="1312" w:type="dxa"/>
            <w:tcBorders>
              <w:top w:val="nil"/>
              <w:left w:val="nil"/>
              <w:bottom w:val="single" w:sz="4" w:space="0" w:color="auto"/>
              <w:right w:val="single" w:sz="4" w:space="0" w:color="auto"/>
            </w:tcBorders>
            <w:shd w:val="clear" w:color="000000" w:fill="E7E6E6"/>
            <w:noWrap/>
            <w:vAlign w:val="center"/>
          </w:tcPr>
          <w:p w14:paraId="733122D3" w14:textId="41BF831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55</w:t>
            </w:r>
          </w:p>
        </w:tc>
        <w:tc>
          <w:tcPr>
            <w:tcW w:w="1198" w:type="dxa"/>
            <w:tcBorders>
              <w:top w:val="nil"/>
              <w:left w:val="nil"/>
              <w:bottom w:val="single" w:sz="4" w:space="0" w:color="auto"/>
              <w:right w:val="single" w:sz="4" w:space="0" w:color="auto"/>
            </w:tcBorders>
            <w:shd w:val="clear" w:color="000000" w:fill="E7E6E6"/>
            <w:noWrap/>
            <w:vAlign w:val="center"/>
          </w:tcPr>
          <w:p w14:paraId="3F120033" w14:textId="12782D4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61.8</w:t>
            </w:r>
          </w:p>
        </w:tc>
      </w:tr>
      <w:tr w:rsidR="00CB24EA" w:rsidRPr="00646B6F" w14:paraId="20507062"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490708FA" w14:textId="25385AB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176–200</w:t>
            </w:r>
          </w:p>
        </w:tc>
        <w:tc>
          <w:tcPr>
            <w:tcW w:w="3404" w:type="dxa"/>
            <w:tcBorders>
              <w:top w:val="nil"/>
              <w:left w:val="nil"/>
              <w:bottom w:val="single" w:sz="4" w:space="0" w:color="auto"/>
              <w:right w:val="single" w:sz="4" w:space="0" w:color="auto"/>
            </w:tcBorders>
            <w:shd w:val="clear" w:color="auto" w:fill="auto"/>
            <w:noWrap/>
            <w:vAlign w:val="center"/>
          </w:tcPr>
          <w:p w14:paraId="2DF04DA4" w14:textId="7EC0A4CB"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de Sao Paulo</w:t>
            </w:r>
          </w:p>
        </w:tc>
        <w:tc>
          <w:tcPr>
            <w:tcW w:w="907" w:type="dxa"/>
            <w:tcBorders>
              <w:top w:val="nil"/>
              <w:left w:val="nil"/>
              <w:bottom w:val="single" w:sz="4" w:space="0" w:color="auto"/>
              <w:right w:val="single" w:sz="4" w:space="0" w:color="auto"/>
            </w:tcBorders>
            <w:shd w:val="clear" w:color="auto" w:fill="auto"/>
            <w:vAlign w:val="center"/>
          </w:tcPr>
          <w:p w14:paraId="76DF58DA" w14:textId="0810C94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Brasil</w:t>
            </w:r>
          </w:p>
        </w:tc>
        <w:tc>
          <w:tcPr>
            <w:tcW w:w="1058" w:type="dxa"/>
            <w:tcBorders>
              <w:top w:val="nil"/>
              <w:left w:val="nil"/>
              <w:bottom w:val="single" w:sz="4" w:space="0" w:color="auto"/>
              <w:right w:val="single" w:sz="4" w:space="0" w:color="auto"/>
            </w:tcBorders>
            <w:shd w:val="clear" w:color="auto" w:fill="auto"/>
            <w:noWrap/>
            <w:vAlign w:val="center"/>
          </w:tcPr>
          <w:p w14:paraId="71609FF3" w14:textId="3D421F4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41.6–43.7</w:t>
            </w:r>
          </w:p>
        </w:tc>
        <w:tc>
          <w:tcPr>
            <w:tcW w:w="852" w:type="dxa"/>
            <w:tcBorders>
              <w:top w:val="nil"/>
              <w:left w:val="nil"/>
              <w:bottom w:val="single" w:sz="4" w:space="0" w:color="auto"/>
              <w:right w:val="single" w:sz="4" w:space="0" w:color="auto"/>
            </w:tcBorders>
            <w:shd w:val="clear" w:color="auto" w:fill="auto"/>
            <w:noWrap/>
            <w:vAlign w:val="center"/>
          </w:tcPr>
          <w:p w14:paraId="22E517C1" w14:textId="1DCC1C9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49.7</w:t>
            </w:r>
          </w:p>
        </w:tc>
        <w:tc>
          <w:tcPr>
            <w:tcW w:w="1141" w:type="dxa"/>
            <w:tcBorders>
              <w:top w:val="nil"/>
              <w:left w:val="nil"/>
              <w:bottom w:val="single" w:sz="4" w:space="0" w:color="auto"/>
              <w:right w:val="single" w:sz="4" w:space="0" w:color="auto"/>
            </w:tcBorders>
            <w:shd w:val="clear" w:color="auto" w:fill="auto"/>
            <w:noWrap/>
            <w:vAlign w:val="center"/>
          </w:tcPr>
          <w:p w14:paraId="49CCFEEF" w14:textId="62356493"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54.4</w:t>
            </w:r>
          </w:p>
        </w:tc>
        <w:tc>
          <w:tcPr>
            <w:tcW w:w="798" w:type="dxa"/>
            <w:tcBorders>
              <w:top w:val="nil"/>
              <w:left w:val="nil"/>
              <w:bottom w:val="single" w:sz="4" w:space="0" w:color="auto"/>
              <w:right w:val="single" w:sz="4" w:space="0" w:color="auto"/>
            </w:tcBorders>
            <w:shd w:val="clear" w:color="auto" w:fill="auto"/>
            <w:vAlign w:val="center"/>
          </w:tcPr>
          <w:p w14:paraId="585CFD06" w14:textId="4865ABF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27</w:t>
            </w:r>
          </w:p>
        </w:tc>
        <w:tc>
          <w:tcPr>
            <w:tcW w:w="1312" w:type="dxa"/>
            <w:tcBorders>
              <w:top w:val="nil"/>
              <w:left w:val="nil"/>
              <w:bottom w:val="single" w:sz="4" w:space="0" w:color="auto"/>
              <w:right w:val="single" w:sz="4" w:space="0" w:color="auto"/>
            </w:tcBorders>
            <w:shd w:val="clear" w:color="auto" w:fill="auto"/>
            <w:noWrap/>
            <w:vAlign w:val="center"/>
          </w:tcPr>
          <w:p w14:paraId="0263C618" w14:textId="0B6660C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42.6</w:t>
            </w:r>
          </w:p>
        </w:tc>
        <w:tc>
          <w:tcPr>
            <w:tcW w:w="1198" w:type="dxa"/>
            <w:tcBorders>
              <w:top w:val="nil"/>
              <w:left w:val="nil"/>
              <w:bottom w:val="single" w:sz="4" w:space="0" w:color="auto"/>
              <w:right w:val="single" w:sz="4" w:space="0" w:color="auto"/>
            </w:tcBorders>
            <w:shd w:val="clear" w:color="auto" w:fill="auto"/>
            <w:noWrap/>
            <w:vAlign w:val="center"/>
          </w:tcPr>
          <w:p w14:paraId="48B3444F" w14:textId="79CE69D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16.9</w:t>
            </w:r>
          </w:p>
        </w:tc>
      </w:tr>
      <w:tr w:rsidR="00CB24EA" w:rsidRPr="00646B6F" w14:paraId="7742AA5B"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48F41660" w14:textId="7AB3D48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251–300</w:t>
            </w:r>
          </w:p>
        </w:tc>
        <w:tc>
          <w:tcPr>
            <w:tcW w:w="3404" w:type="dxa"/>
            <w:tcBorders>
              <w:top w:val="nil"/>
              <w:left w:val="nil"/>
              <w:bottom w:val="single" w:sz="4" w:space="0" w:color="auto"/>
              <w:right w:val="single" w:sz="4" w:space="0" w:color="auto"/>
            </w:tcBorders>
            <w:shd w:val="clear" w:color="000000" w:fill="E7E6E6"/>
            <w:noWrap/>
            <w:vAlign w:val="center"/>
          </w:tcPr>
          <w:p w14:paraId="570B323F" w14:textId="3BBFEBEC"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Instituto Tecnológico y de Estudios Superiores de Monterrey</w:t>
            </w:r>
          </w:p>
        </w:tc>
        <w:tc>
          <w:tcPr>
            <w:tcW w:w="907" w:type="dxa"/>
            <w:tcBorders>
              <w:top w:val="nil"/>
              <w:left w:val="nil"/>
              <w:bottom w:val="single" w:sz="4" w:space="0" w:color="auto"/>
              <w:right w:val="single" w:sz="4" w:space="0" w:color="auto"/>
            </w:tcBorders>
            <w:shd w:val="clear" w:color="000000" w:fill="E7E6E6"/>
            <w:vAlign w:val="center"/>
          </w:tcPr>
          <w:p w14:paraId="63937EC4" w14:textId="127DFCE6"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México</w:t>
            </w:r>
          </w:p>
        </w:tc>
        <w:tc>
          <w:tcPr>
            <w:tcW w:w="1058" w:type="dxa"/>
            <w:tcBorders>
              <w:top w:val="nil"/>
              <w:left w:val="nil"/>
              <w:bottom w:val="single" w:sz="4" w:space="0" w:color="auto"/>
              <w:right w:val="single" w:sz="4" w:space="0" w:color="auto"/>
            </w:tcBorders>
            <w:shd w:val="clear" w:color="000000" w:fill="E7E6E6"/>
            <w:noWrap/>
            <w:vAlign w:val="center"/>
          </w:tcPr>
          <w:p w14:paraId="2C7303EA" w14:textId="0683EB5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35.8–38.1</w:t>
            </w:r>
          </w:p>
        </w:tc>
        <w:tc>
          <w:tcPr>
            <w:tcW w:w="852" w:type="dxa"/>
            <w:tcBorders>
              <w:top w:val="nil"/>
              <w:left w:val="nil"/>
              <w:bottom w:val="single" w:sz="4" w:space="0" w:color="auto"/>
              <w:right w:val="single" w:sz="4" w:space="0" w:color="auto"/>
            </w:tcBorders>
            <w:shd w:val="clear" w:color="000000" w:fill="E7E6E6"/>
            <w:noWrap/>
            <w:vAlign w:val="center"/>
          </w:tcPr>
          <w:p w14:paraId="5369F243" w14:textId="2C6D8C4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19.9</w:t>
            </w:r>
          </w:p>
        </w:tc>
        <w:tc>
          <w:tcPr>
            <w:tcW w:w="1141" w:type="dxa"/>
            <w:tcBorders>
              <w:top w:val="nil"/>
              <w:left w:val="nil"/>
              <w:bottom w:val="single" w:sz="4" w:space="0" w:color="auto"/>
              <w:right w:val="single" w:sz="4" w:space="0" w:color="auto"/>
            </w:tcBorders>
            <w:shd w:val="clear" w:color="000000" w:fill="E7E6E6"/>
            <w:noWrap/>
            <w:vAlign w:val="center"/>
          </w:tcPr>
          <w:p w14:paraId="227FCE68" w14:textId="4DC47EE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11.1</w:t>
            </w:r>
          </w:p>
        </w:tc>
        <w:tc>
          <w:tcPr>
            <w:tcW w:w="798" w:type="dxa"/>
            <w:tcBorders>
              <w:top w:val="nil"/>
              <w:left w:val="nil"/>
              <w:bottom w:val="single" w:sz="4" w:space="0" w:color="auto"/>
              <w:right w:val="single" w:sz="4" w:space="0" w:color="auto"/>
            </w:tcBorders>
            <w:shd w:val="clear" w:color="000000" w:fill="E7E6E6"/>
            <w:vAlign w:val="center"/>
          </w:tcPr>
          <w:p w14:paraId="1C1E2BFF" w14:textId="4A5F481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82.2</w:t>
            </w:r>
          </w:p>
        </w:tc>
        <w:tc>
          <w:tcPr>
            <w:tcW w:w="1312" w:type="dxa"/>
            <w:tcBorders>
              <w:top w:val="nil"/>
              <w:left w:val="nil"/>
              <w:bottom w:val="single" w:sz="4" w:space="0" w:color="auto"/>
              <w:right w:val="single" w:sz="4" w:space="0" w:color="auto"/>
            </w:tcBorders>
            <w:shd w:val="clear" w:color="000000" w:fill="E7E6E6"/>
            <w:noWrap/>
            <w:vAlign w:val="center"/>
          </w:tcPr>
          <w:p w14:paraId="4C8AA2AA" w14:textId="283AC0C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63.9</w:t>
            </w:r>
          </w:p>
        </w:tc>
        <w:tc>
          <w:tcPr>
            <w:tcW w:w="1198" w:type="dxa"/>
            <w:tcBorders>
              <w:top w:val="nil"/>
              <w:left w:val="nil"/>
              <w:bottom w:val="single" w:sz="4" w:space="0" w:color="auto"/>
              <w:right w:val="single" w:sz="4" w:space="0" w:color="auto"/>
            </w:tcBorders>
            <w:shd w:val="clear" w:color="000000" w:fill="E7E6E6"/>
            <w:noWrap/>
            <w:vAlign w:val="center"/>
          </w:tcPr>
          <w:p w14:paraId="7D8F231A" w14:textId="6190FDEA"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50.7</w:t>
            </w:r>
          </w:p>
        </w:tc>
      </w:tr>
      <w:tr w:rsidR="00CB24EA" w:rsidRPr="00646B6F" w14:paraId="1400474D"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538E6675" w14:textId="0585C8BE"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251–300</w:t>
            </w:r>
          </w:p>
        </w:tc>
        <w:tc>
          <w:tcPr>
            <w:tcW w:w="3404" w:type="dxa"/>
            <w:tcBorders>
              <w:top w:val="nil"/>
              <w:left w:val="nil"/>
              <w:bottom w:val="single" w:sz="4" w:space="0" w:color="auto"/>
              <w:right w:val="single" w:sz="4" w:space="0" w:color="auto"/>
            </w:tcBorders>
            <w:shd w:val="clear" w:color="auto" w:fill="auto"/>
            <w:noWrap/>
            <w:vAlign w:val="center"/>
          </w:tcPr>
          <w:p w14:paraId="18FD8B05" w14:textId="693AB991"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Carlos III de Madrid</w:t>
            </w:r>
          </w:p>
        </w:tc>
        <w:tc>
          <w:tcPr>
            <w:tcW w:w="907" w:type="dxa"/>
            <w:tcBorders>
              <w:top w:val="nil"/>
              <w:left w:val="nil"/>
              <w:bottom w:val="single" w:sz="4" w:space="0" w:color="auto"/>
              <w:right w:val="single" w:sz="4" w:space="0" w:color="auto"/>
            </w:tcBorders>
            <w:shd w:val="clear" w:color="auto" w:fill="auto"/>
            <w:vAlign w:val="center"/>
          </w:tcPr>
          <w:p w14:paraId="51CB039A" w14:textId="1A6112B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España</w:t>
            </w:r>
          </w:p>
        </w:tc>
        <w:tc>
          <w:tcPr>
            <w:tcW w:w="1058" w:type="dxa"/>
            <w:tcBorders>
              <w:top w:val="nil"/>
              <w:left w:val="nil"/>
              <w:bottom w:val="single" w:sz="4" w:space="0" w:color="auto"/>
              <w:right w:val="single" w:sz="4" w:space="0" w:color="auto"/>
            </w:tcBorders>
            <w:shd w:val="clear" w:color="auto" w:fill="auto"/>
            <w:noWrap/>
            <w:vAlign w:val="center"/>
          </w:tcPr>
          <w:p w14:paraId="7455FB0A" w14:textId="537A1DD5"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35.8–38.1</w:t>
            </w:r>
          </w:p>
        </w:tc>
        <w:tc>
          <w:tcPr>
            <w:tcW w:w="852" w:type="dxa"/>
            <w:tcBorders>
              <w:top w:val="nil"/>
              <w:left w:val="nil"/>
              <w:bottom w:val="single" w:sz="4" w:space="0" w:color="auto"/>
              <w:right w:val="single" w:sz="4" w:space="0" w:color="auto"/>
            </w:tcBorders>
            <w:shd w:val="clear" w:color="auto" w:fill="auto"/>
            <w:noWrap/>
            <w:vAlign w:val="center"/>
          </w:tcPr>
          <w:p w14:paraId="218CB582" w14:textId="75F47F9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31.3</w:t>
            </w:r>
          </w:p>
        </w:tc>
        <w:tc>
          <w:tcPr>
            <w:tcW w:w="1141" w:type="dxa"/>
            <w:tcBorders>
              <w:top w:val="nil"/>
              <w:left w:val="nil"/>
              <w:bottom w:val="single" w:sz="4" w:space="0" w:color="auto"/>
              <w:right w:val="single" w:sz="4" w:space="0" w:color="auto"/>
            </w:tcBorders>
            <w:shd w:val="clear" w:color="auto" w:fill="auto"/>
            <w:noWrap/>
            <w:vAlign w:val="center"/>
          </w:tcPr>
          <w:p w14:paraId="2E1BEDE8" w14:textId="2A43963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26.4</w:t>
            </w:r>
          </w:p>
        </w:tc>
        <w:tc>
          <w:tcPr>
            <w:tcW w:w="798" w:type="dxa"/>
            <w:tcBorders>
              <w:top w:val="nil"/>
              <w:left w:val="nil"/>
              <w:bottom w:val="single" w:sz="4" w:space="0" w:color="auto"/>
              <w:right w:val="single" w:sz="4" w:space="0" w:color="auto"/>
            </w:tcBorders>
            <w:shd w:val="clear" w:color="auto" w:fill="auto"/>
            <w:vAlign w:val="center"/>
          </w:tcPr>
          <w:p w14:paraId="0082A12C" w14:textId="2ECFFFC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51.8</w:t>
            </w:r>
          </w:p>
        </w:tc>
        <w:tc>
          <w:tcPr>
            <w:tcW w:w="1312" w:type="dxa"/>
            <w:tcBorders>
              <w:top w:val="nil"/>
              <w:left w:val="nil"/>
              <w:bottom w:val="single" w:sz="4" w:space="0" w:color="auto"/>
              <w:right w:val="single" w:sz="4" w:space="0" w:color="auto"/>
            </w:tcBorders>
            <w:shd w:val="clear" w:color="auto" w:fill="auto"/>
            <w:noWrap/>
            <w:vAlign w:val="center"/>
          </w:tcPr>
          <w:p w14:paraId="2E6DB7D4" w14:textId="43416FD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41.9</w:t>
            </w:r>
          </w:p>
        </w:tc>
        <w:tc>
          <w:tcPr>
            <w:tcW w:w="1198" w:type="dxa"/>
            <w:tcBorders>
              <w:top w:val="nil"/>
              <w:left w:val="nil"/>
              <w:bottom w:val="single" w:sz="4" w:space="0" w:color="auto"/>
              <w:right w:val="single" w:sz="4" w:space="0" w:color="auto"/>
            </w:tcBorders>
            <w:shd w:val="clear" w:color="auto" w:fill="auto"/>
            <w:noWrap/>
            <w:vAlign w:val="center"/>
          </w:tcPr>
          <w:p w14:paraId="42320540" w14:textId="32EC43C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59.8</w:t>
            </w:r>
          </w:p>
        </w:tc>
      </w:tr>
      <w:tr w:rsidR="00CB24EA" w:rsidRPr="00646B6F" w14:paraId="77CD1BB6"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69BC0513" w14:textId="17E6110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04" w:type="dxa"/>
            <w:tcBorders>
              <w:top w:val="nil"/>
              <w:left w:val="nil"/>
              <w:bottom w:val="single" w:sz="4" w:space="0" w:color="auto"/>
              <w:right w:val="single" w:sz="4" w:space="0" w:color="auto"/>
            </w:tcBorders>
            <w:shd w:val="clear" w:color="000000" w:fill="E7E6E6"/>
            <w:noWrap/>
            <w:vAlign w:val="center"/>
          </w:tcPr>
          <w:p w14:paraId="6D1B9B44" w14:textId="35E4EC7A"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Instituto Universitario de Lisboa</w:t>
            </w:r>
          </w:p>
        </w:tc>
        <w:tc>
          <w:tcPr>
            <w:tcW w:w="907" w:type="dxa"/>
            <w:tcBorders>
              <w:top w:val="nil"/>
              <w:left w:val="nil"/>
              <w:bottom w:val="single" w:sz="4" w:space="0" w:color="auto"/>
              <w:right w:val="single" w:sz="4" w:space="0" w:color="auto"/>
            </w:tcBorders>
            <w:shd w:val="clear" w:color="000000" w:fill="E7E6E6"/>
            <w:vAlign w:val="center"/>
          </w:tcPr>
          <w:p w14:paraId="57207916" w14:textId="7C1F9449"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Portugal</w:t>
            </w:r>
          </w:p>
        </w:tc>
        <w:tc>
          <w:tcPr>
            <w:tcW w:w="1058" w:type="dxa"/>
            <w:tcBorders>
              <w:top w:val="nil"/>
              <w:left w:val="nil"/>
              <w:bottom w:val="single" w:sz="4" w:space="0" w:color="auto"/>
              <w:right w:val="single" w:sz="4" w:space="0" w:color="auto"/>
            </w:tcBorders>
            <w:shd w:val="clear" w:color="000000" w:fill="E7E6E6"/>
            <w:noWrap/>
            <w:vAlign w:val="center"/>
          </w:tcPr>
          <w:p w14:paraId="13D224BA" w14:textId="3230A774"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30.9–35.6</w:t>
            </w:r>
          </w:p>
        </w:tc>
        <w:tc>
          <w:tcPr>
            <w:tcW w:w="852" w:type="dxa"/>
            <w:tcBorders>
              <w:top w:val="nil"/>
              <w:left w:val="nil"/>
              <w:bottom w:val="single" w:sz="4" w:space="0" w:color="auto"/>
              <w:right w:val="single" w:sz="4" w:space="0" w:color="auto"/>
            </w:tcBorders>
            <w:shd w:val="clear" w:color="000000" w:fill="E7E6E6"/>
            <w:noWrap/>
            <w:vAlign w:val="center"/>
          </w:tcPr>
          <w:p w14:paraId="7FD79DFA" w14:textId="5E14E0D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24</w:t>
            </w:r>
          </w:p>
        </w:tc>
        <w:tc>
          <w:tcPr>
            <w:tcW w:w="1141" w:type="dxa"/>
            <w:tcBorders>
              <w:top w:val="nil"/>
              <w:left w:val="nil"/>
              <w:bottom w:val="single" w:sz="4" w:space="0" w:color="auto"/>
              <w:right w:val="single" w:sz="4" w:space="0" w:color="auto"/>
            </w:tcBorders>
            <w:shd w:val="clear" w:color="000000" w:fill="E7E6E6"/>
            <w:noWrap/>
            <w:vAlign w:val="center"/>
          </w:tcPr>
          <w:p w14:paraId="0DD478AF" w14:textId="372D203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18.8</w:t>
            </w:r>
          </w:p>
        </w:tc>
        <w:tc>
          <w:tcPr>
            <w:tcW w:w="798" w:type="dxa"/>
            <w:tcBorders>
              <w:top w:val="nil"/>
              <w:left w:val="nil"/>
              <w:bottom w:val="single" w:sz="4" w:space="0" w:color="auto"/>
              <w:right w:val="single" w:sz="4" w:space="0" w:color="auto"/>
            </w:tcBorders>
            <w:shd w:val="clear" w:color="000000" w:fill="E7E6E6"/>
            <w:vAlign w:val="center"/>
          </w:tcPr>
          <w:p w14:paraId="2B26849A" w14:textId="190E0547"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53.3</w:t>
            </w:r>
          </w:p>
        </w:tc>
        <w:tc>
          <w:tcPr>
            <w:tcW w:w="1312" w:type="dxa"/>
            <w:tcBorders>
              <w:top w:val="nil"/>
              <w:left w:val="nil"/>
              <w:bottom w:val="single" w:sz="4" w:space="0" w:color="auto"/>
              <w:right w:val="single" w:sz="4" w:space="0" w:color="auto"/>
            </w:tcBorders>
            <w:shd w:val="clear" w:color="000000" w:fill="E7E6E6"/>
            <w:noWrap/>
            <w:vAlign w:val="center"/>
          </w:tcPr>
          <w:p w14:paraId="7FB9D62B" w14:textId="2E08A46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35.1</w:t>
            </w:r>
          </w:p>
        </w:tc>
        <w:tc>
          <w:tcPr>
            <w:tcW w:w="1198" w:type="dxa"/>
            <w:tcBorders>
              <w:top w:val="nil"/>
              <w:left w:val="nil"/>
              <w:bottom w:val="single" w:sz="4" w:space="0" w:color="auto"/>
              <w:right w:val="single" w:sz="4" w:space="0" w:color="auto"/>
            </w:tcBorders>
            <w:shd w:val="clear" w:color="000000" w:fill="E7E6E6"/>
            <w:noWrap/>
            <w:vAlign w:val="center"/>
          </w:tcPr>
          <w:p w14:paraId="175A21BD" w14:textId="6763627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40.7</w:t>
            </w:r>
          </w:p>
        </w:tc>
      </w:tr>
      <w:tr w:rsidR="00CB24EA" w:rsidRPr="00646B6F" w14:paraId="65FFA2CD"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12ACFCF9" w14:textId="5C668DC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04" w:type="dxa"/>
            <w:tcBorders>
              <w:top w:val="nil"/>
              <w:left w:val="nil"/>
              <w:bottom w:val="single" w:sz="4" w:space="0" w:color="auto"/>
              <w:right w:val="single" w:sz="4" w:space="0" w:color="auto"/>
            </w:tcBorders>
            <w:shd w:val="clear" w:color="auto" w:fill="auto"/>
            <w:noWrap/>
            <w:vAlign w:val="center"/>
          </w:tcPr>
          <w:p w14:paraId="117186A5" w14:textId="5B55568F"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Pontificia Universidad Católica de Chile</w:t>
            </w:r>
          </w:p>
        </w:tc>
        <w:tc>
          <w:tcPr>
            <w:tcW w:w="907" w:type="dxa"/>
            <w:tcBorders>
              <w:top w:val="nil"/>
              <w:left w:val="nil"/>
              <w:bottom w:val="single" w:sz="4" w:space="0" w:color="auto"/>
              <w:right w:val="single" w:sz="4" w:space="0" w:color="auto"/>
            </w:tcBorders>
            <w:shd w:val="clear" w:color="auto" w:fill="auto"/>
            <w:vAlign w:val="center"/>
          </w:tcPr>
          <w:p w14:paraId="4B472588" w14:textId="71563DA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Chile</w:t>
            </w:r>
          </w:p>
        </w:tc>
        <w:tc>
          <w:tcPr>
            <w:tcW w:w="1058" w:type="dxa"/>
            <w:tcBorders>
              <w:top w:val="nil"/>
              <w:left w:val="nil"/>
              <w:bottom w:val="single" w:sz="4" w:space="0" w:color="auto"/>
              <w:right w:val="single" w:sz="4" w:space="0" w:color="auto"/>
            </w:tcBorders>
            <w:shd w:val="clear" w:color="auto" w:fill="auto"/>
            <w:noWrap/>
            <w:vAlign w:val="center"/>
          </w:tcPr>
          <w:p w14:paraId="0377B817" w14:textId="297E2AD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30.9–35.6</w:t>
            </w:r>
          </w:p>
        </w:tc>
        <w:tc>
          <w:tcPr>
            <w:tcW w:w="852" w:type="dxa"/>
            <w:tcBorders>
              <w:top w:val="nil"/>
              <w:left w:val="nil"/>
              <w:bottom w:val="single" w:sz="4" w:space="0" w:color="auto"/>
              <w:right w:val="single" w:sz="4" w:space="0" w:color="auto"/>
            </w:tcBorders>
            <w:shd w:val="clear" w:color="auto" w:fill="auto"/>
            <w:noWrap/>
            <w:vAlign w:val="center"/>
          </w:tcPr>
          <w:p w14:paraId="22DDEA21" w14:textId="6536EC9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14.8</w:t>
            </w:r>
          </w:p>
        </w:tc>
        <w:tc>
          <w:tcPr>
            <w:tcW w:w="1141" w:type="dxa"/>
            <w:tcBorders>
              <w:top w:val="nil"/>
              <w:left w:val="nil"/>
              <w:bottom w:val="single" w:sz="4" w:space="0" w:color="auto"/>
              <w:right w:val="single" w:sz="4" w:space="0" w:color="auto"/>
            </w:tcBorders>
            <w:shd w:val="clear" w:color="auto" w:fill="auto"/>
            <w:noWrap/>
            <w:vAlign w:val="center"/>
          </w:tcPr>
          <w:p w14:paraId="366BA810" w14:textId="01A568F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23.9</w:t>
            </w:r>
          </w:p>
        </w:tc>
        <w:tc>
          <w:tcPr>
            <w:tcW w:w="798" w:type="dxa"/>
            <w:tcBorders>
              <w:top w:val="nil"/>
              <w:left w:val="nil"/>
              <w:bottom w:val="single" w:sz="4" w:space="0" w:color="auto"/>
              <w:right w:val="single" w:sz="4" w:space="0" w:color="auto"/>
            </w:tcBorders>
            <w:shd w:val="clear" w:color="auto" w:fill="auto"/>
            <w:vAlign w:val="center"/>
          </w:tcPr>
          <w:p w14:paraId="5B1B50DE" w14:textId="391DAE3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45.5</w:t>
            </w:r>
          </w:p>
        </w:tc>
        <w:tc>
          <w:tcPr>
            <w:tcW w:w="1312" w:type="dxa"/>
            <w:tcBorders>
              <w:top w:val="nil"/>
              <w:left w:val="nil"/>
              <w:bottom w:val="single" w:sz="4" w:space="0" w:color="auto"/>
              <w:right w:val="single" w:sz="4" w:space="0" w:color="auto"/>
            </w:tcBorders>
            <w:shd w:val="clear" w:color="auto" w:fill="auto"/>
            <w:noWrap/>
            <w:vAlign w:val="center"/>
          </w:tcPr>
          <w:p w14:paraId="41FA336F" w14:textId="53800292"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99.9</w:t>
            </w:r>
          </w:p>
        </w:tc>
        <w:tc>
          <w:tcPr>
            <w:tcW w:w="1198" w:type="dxa"/>
            <w:tcBorders>
              <w:top w:val="nil"/>
              <w:left w:val="nil"/>
              <w:bottom w:val="single" w:sz="4" w:space="0" w:color="auto"/>
              <w:right w:val="single" w:sz="4" w:space="0" w:color="auto"/>
            </w:tcBorders>
            <w:shd w:val="clear" w:color="auto" w:fill="auto"/>
            <w:noWrap/>
            <w:vAlign w:val="center"/>
          </w:tcPr>
          <w:p w14:paraId="3693FA8C" w14:textId="2F971410"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53.9</w:t>
            </w:r>
          </w:p>
        </w:tc>
      </w:tr>
      <w:tr w:rsidR="00CB24EA" w:rsidRPr="00646B6F" w14:paraId="56947F15"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1B15796D" w14:textId="0610737B"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301–400</w:t>
            </w:r>
          </w:p>
        </w:tc>
        <w:tc>
          <w:tcPr>
            <w:tcW w:w="3404" w:type="dxa"/>
            <w:tcBorders>
              <w:top w:val="nil"/>
              <w:left w:val="nil"/>
              <w:bottom w:val="single" w:sz="4" w:space="0" w:color="auto"/>
              <w:right w:val="single" w:sz="4" w:space="0" w:color="auto"/>
            </w:tcBorders>
            <w:shd w:val="clear" w:color="000000" w:fill="E7E6E6"/>
            <w:noWrap/>
            <w:vAlign w:val="center"/>
          </w:tcPr>
          <w:p w14:paraId="21E0141B" w14:textId="4BB23F5F" w:rsidR="00CB24EA" w:rsidRPr="00CB24EA" w:rsidRDefault="00CB24EA" w:rsidP="00CB24EA">
            <w:pPr>
              <w:spacing w:line="240" w:lineRule="auto"/>
              <w:rPr>
                <w:rFonts w:ascii="Calibri" w:eastAsia="Times New Roman" w:hAnsi="Calibri" w:cs="Calibri"/>
                <w:color w:val="000000"/>
                <w:sz w:val="18"/>
                <w:szCs w:val="18"/>
                <w:lang w:eastAsia="es-MX"/>
              </w:rPr>
            </w:pPr>
            <w:r w:rsidRPr="00CB24EA">
              <w:rPr>
                <w:rFonts w:ascii="Calibri" w:hAnsi="Calibri" w:cs="Calibri"/>
                <w:color w:val="000000"/>
                <w:sz w:val="18"/>
                <w:szCs w:val="18"/>
              </w:rPr>
              <w:t>Universidad Adolfo Ibáñez</w:t>
            </w:r>
          </w:p>
        </w:tc>
        <w:tc>
          <w:tcPr>
            <w:tcW w:w="907" w:type="dxa"/>
            <w:tcBorders>
              <w:top w:val="nil"/>
              <w:left w:val="nil"/>
              <w:bottom w:val="single" w:sz="4" w:space="0" w:color="auto"/>
              <w:right w:val="single" w:sz="4" w:space="0" w:color="auto"/>
            </w:tcBorders>
            <w:shd w:val="clear" w:color="000000" w:fill="E7E6E6"/>
            <w:vAlign w:val="center"/>
          </w:tcPr>
          <w:p w14:paraId="2C700A8E" w14:textId="04F31D9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Chile</w:t>
            </w:r>
          </w:p>
        </w:tc>
        <w:tc>
          <w:tcPr>
            <w:tcW w:w="1058" w:type="dxa"/>
            <w:tcBorders>
              <w:top w:val="nil"/>
              <w:left w:val="nil"/>
              <w:bottom w:val="single" w:sz="4" w:space="0" w:color="auto"/>
              <w:right w:val="single" w:sz="4" w:space="0" w:color="auto"/>
            </w:tcBorders>
            <w:shd w:val="clear" w:color="000000" w:fill="E7E6E6"/>
            <w:noWrap/>
            <w:vAlign w:val="center"/>
          </w:tcPr>
          <w:p w14:paraId="6151ACA5" w14:textId="5242E59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30.9–35.6</w:t>
            </w:r>
          </w:p>
        </w:tc>
        <w:tc>
          <w:tcPr>
            <w:tcW w:w="852" w:type="dxa"/>
            <w:tcBorders>
              <w:top w:val="nil"/>
              <w:left w:val="nil"/>
              <w:bottom w:val="single" w:sz="4" w:space="0" w:color="auto"/>
              <w:right w:val="single" w:sz="4" w:space="0" w:color="auto"/>
            </w:tcBorders>
            <w:shd w:val="clear" w:color="000000" w:fill="E7E6E6"/>
            <w:noWrap/>
            <w:vAlign w:val="center"/>
          </w:tcPr>
          <w:p w14:paraId="15592596" w14:textId="6C423601"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10.4</w:t>
            </w:r>
          </w:p>
        </w:tc>
        <w:tc>
          <w:tcPr>
            <w:tcW w:w="1141" w:type="dxa"/>
            <w:tcBorders>
              <w:top w:val="nil"/>
              <w:left w:val="nil"/>
              <w:bottom w:val="single" w:sz="4" w:space="0" w:color="auto"/>
              <w:right w:val="single" w:sz="4" w:space="0" w:color="auto"/>
            </w:tcBorders>
            <w:shd w:val="clear" w:color="000000" w:fill="E7E6E6"/>
            <w:noWrap/>
            <w:vAlign w:val="center"/>
          </w:tcPr>
          <w:p w14:paraId="1803B7B2" w14:textId="0B376528"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7</w:t>
            </w:r>
          </w:p>
        </w:tc>
        <w:tc>
          <w:tcPr>
            <w:tcW w:w="798" w:type="dxa"/>
            <w:tcBorders>
              <w:top w:val="nil"/>
              <w:left w:val="nil"/>
              <w:bottom w:val="single" w:sz="4" w:space="0" w:color="auto"/>
              <w:right w:val="single" w:sz="4" w:space="0" w:color="auto"/>
            </w:tcBorders>
            <w:shd w:val="clear" w:color="000000" w:fill="E7E6E6"/>
            <w:vAlign w:val="center"/>
          </w:tcPr>
          <w:p w14:paraId="61AAF716" w14:textId="4478CABD"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82.3</w:t>
            </w:r>
          </w:p>
        </w:tc>
        <w:tc>
          <w:tcPr>
            <w:tcW w:w="1312" w:type="dxa"/>
            <w:tcBorders>
              <w:top w:val="nil"/>
              <w:left w:val="nil"/>
              <w:bottom w:val="single" w:sz="4" w:space="0" w:color="auto"/>
              <w:right w:val="single" w:sz="4" w:space="0" w:color="auto"/>
            </w:tcBorders>
            <w:shd w:val="clear" w:color="000000" w:fill="E7E6E6"/>
            <w:noWrap/>
            <w:vAlign w:val="center"/>
          </w:tcPr>
          <w:p w14:paraId="76D5F582" w14:textId="39EF092F"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36.5</w:t>
            </w:r>
          </w:p>
        </w:tc>
        <w:tc>
          <w:tcPr>
            <w:tcW w:w="1198" w:type="dxa"/>
            <w:tcBorders>
              <w:top w:val="nil"/>
              <w:left w:val="nil"/>
              <w:bottom w:val="single" w:sz="4" w:space="0" w:color="auto"/>
              <w:right w:val="single" w:sz="4" w:space="0" w:color="auto"/>
            </w:tcBorders>
            <w:shd w:val="clear" w:color="000000" w:fill="E7E6E6"/>
            <w:noWrap/>
            <w:vAlign w:val="center"/>
          </w:tcPr>
          <w:p w14:paraId="0938795C" w14:textId="114FF64C" w:rsidR="00CB24EA" w:rsidRPr="00CB24EA" w:rsidRDefault="00CB24EA" w:rsidP="00CB24EA">
            <w:pPr>
              <w:spacing w:line="240" w:lineRule="auto"/>
              <w:jc w:val="center"/>
              <w:rPr>
                <w:rFonts w:ascii="Calibri" w:eastAsia="Times New Roman" w:hAnsi="Calibri" w:cs="Calibri"/>
                <w:color w:val="000000"/>
                <w:sz w:val="18"/>
                <w:szCs w:val="18"/>
                <w:lang w:eastAsia="es-MX"/>
              </w:rPr>
            </w:pPr>
            <w:r w:rsidRPr="00CB24EA">
              <w:rPr>
                <w:rFonts w:ascii="Calibri" w:hAnsi="Calibri" w:cs="Calibri"/>
                <w:color w:val="000000"/>
                <w:sz w:val="18"/>
                <w:szCs w:val="18"/>
              </w:rPr>
              <w:t>55.2</w:t>
            </w:r>
          </w:p>
        </w:tc>
      </w:tr>
      <w:tr w:rsidR="00F22221" w:rsidRPr="00F46F74" w14:paraId="0DE6C82A" w14:textId="77777777" w:rsidTr="00CB24EA">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19DC3F78" w14:textId="3AE9F057"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601+</w:t>
            </w:r>
          </w:p>
        </w:tc>
        <w:tc>
          <w:tcPr>
            <w:tcW w:w="3404" w:type="dxa"/>
            <w:tcBorders>
              <w:top w:val="nil"/>
              <w:left w:val="nil"/>
              <w:bottom w:val="single" w:sz="4" w:space="0" w:color="auto"/>
              <w:right w:val="single" w:sz="4" w:space="0" w:color="auto"/>
            </w:tcBorders>
            <w:shd w:val="clear" w:color="auto" w:fill="auto"/>
            <w:noWrap/>
            <w:vAlign w:val="center"/>
          </w:tcPr>
          <w:p w14:paraId="317B9538" w14:textId="3BB60B94" w:rsidR="00F22221" w:rsidRPr="00F27222" w:rsidRDefault="00F22221" w:rsidP="00CB24EA">
            <w:pPr>
              <w:spacing w:line="240" w:lineRule="auto"/>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Universidad Nacional Autónoma de México</w:t>
            </w:r>
          </w:p>
        </w:tc>
        <w:tc>
          <w:tcPr>
            <w:tcW w:w="907" w:type="dxa"/>
            <w:tcBorders>
              <w:top w:val="nil"/>
              <w:left w:val="nil"/>
              <w:bottom w:val="single" w:sz="4" w:space="0" w:color="auto"/>
              <w:right w:val="single" w:sz="4" w:space="0" w:color="auto"/>
            </w:tcBorders>
            <w:shd w:val="clear" w:color="auto" w:fill="auto"/>
            <w:vAlign w:val="center"/>
          </w:tcPr>
          <w:p w14:paraId="6D1848C7" w14:textId="51E6FBAA"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México</w:t>
            </w:r>
          </w:p>
        </w:tc>
        <w:tc>
          <w:tcPr>
            <w:tcW w:w="1058" w:type="dxa"/>
            <w:tcBorders>
              <w:top w:val="nil"/>
              <w:left w:val="nil"/>
              <w:bottom w:val="single" w:sz="4" w:space="0" w:color="auto"/>
              <w:right w:val="single" w:sz="4" w:space="0" w:color="auto"/>
            </w:tcBorders>
            <w:shd w:val="clear" w:color="auto" w:fill="auto"/>
            <w:noWrap/>
            <w:vAlign w:val="center"/>
          </w:tcPr>
          <w:p w14:paraId="57ACE66A" w14:textId="25518CDD"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8.5–22.4</w:t>
            </w:r>
          </w:p>
        </w:tc>
        <w:tc>
          <w:tcPr>
            <w:tcW w:w="852" w:type="dxa"/>
            <w:tcBorders>
              <w:top w:val="nil"/>
              <w:left w:val="nil"/>
              <w:bottom w:val="single" w:sz="4" w:space="0" w:color="auto"/>
              <w:right w:val="single" w:sz="4" w:space="0" w:color="auto"/>
            </w:tcBorders>
            <w:shd w:val="clear" w:color="auto" w:fill="auto"/>
            <w:noWrap/>
            <w:vAlign w:val="center"/>
          </w:tcPr>
          <w:p w14:paraId="1F104E8C" w14:textId="4495C789"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14.4</w:t>
            </w:r>
          </w:p>
        </w:tc>
        <w:tc>
          <w:tcPr>
            <w:tcW w:w="1141" w:type="dxa"/>
            <w:tcBorders>
              <w:top w:val="nil"/>
              <w:left w:val="nil"/>
              <w:bottom w:val="single" w:sz="4" w:space="0" w:color="auto"/>
              <w:right w:val="single" w:sz="4" w:space="0" w:color="auto"/>
            </w:tcBorders>
            <w:shd w:val="clear" w:color="auto" w:fill="auto"/>
            <w:noWrap/>
            <w:vAlign w:val="center"/>
          </w:tcPr>
          <w:p w14:paraId="4FA202C3" w14:textId="4114B706"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12.6</w:t>
            </w:r>
          </w:p>
        </w:tc>
        <w:tc>
          <w:tcPr>
            <w:tcW w:w="798" w:type="dxa"/>
            <w:tcBorders>
              <w:top w:val="nil"/>
              <w:left w:val="nil"/>
              <w:bottom w:val="single" w:sz="4" w:space="0" w:color="auto"/>
              <w:right w:val="single" w:sz="4" w:space="0" w:color="auto"/>
            </w:tcBorders>
            <w:shd w:val="clear" w:color="auto" w:fill="auto"/>
            <w:vAlign w:val="center"/>
          </w:tcPr>
          <w:p w14:paraId="1550CBA2" w14:textId="52BE3C5E"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23.9</w:t>
            </w:r>
          </w:p>
        </w:tc>
        <w:tc>
          <w:tcPr>
            <w:tcW w:w="1312" w:type="dxa"/>
            <w:tcBorders>
              <w:top w:val="nil"/>
              <w:left w:val="nil"/>
              <w:bottom w:val="single" w:sz="4" w:space="0" w:color="auto"/>
              <w:right w:val="single" w:sz="4" w:space="0" w:color="auto"/>
            </w:tcBorders>
            <w:shd w:val="clear" w:color="auto" w:fill="auto"/>
            <w:noWrap/>
            <w:vAlign w:val="center"/>
          </w:tcPr>
          <w:p w14:paraId="57A0C2B1" w14:textId="671EBE29"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56.3</w:t>
            </w:r>
          </w:p>
        </w:tc>
        <w:tc>
          <w:tcPr>
            <w:tcW w:w="1198" w:type="dxa"/>
            <w:tcBorders>
              <w:top w:val="nil"/>
              <w:left w:val="nil"/>
              <w:bottom w:val="single" w:sz="4" w:space="0" w:color="auto"/>
              <w:right w:val="single" w:sz="4" w:space="0" w:color="auto"/>
            </w:tcBorders>
            <w:shd w:val="clear" w:color="auto" w:fill="auto"/>
            <w:noWrap/>
            <w:vAlign w:val="center"/>
          </w:tcPr>
          <w:p w14:paraId="4D59ED05" w14:textId="217206D5" w:rsidR="00F22221" w:rsidRPr="00F27222" w:rsidRDefault="00F22221" w:rsidP="00CB24EA">
            <w:pPr>
              <w:spacing w:line="240" w:lineRule="auto"/>
              <w:jc w:val="center"/>
              <w:rPr>
                <w:rFonts w:ascii="Calibri" w:eastAsia="Times New Roman" w:hAnsi="Calibri" w:cs="Calibri"/>
                <w:b/>
                <w:bCs/>
                <w:color w:val="000000"/>
                <w:sz w:val="18"/>
                <w:szCs w:val="18"/>
                <w:lang w:eastAsia="es-MX"/>
              </w:rPr>
            </w:pPr>
            <w:r w:rsidRPr="00F27222">
              <w:rPr>
                <w:rFonts w:ascii="Calibri" w:hAnsi="Calibri" w:cs="Calibri"/>
                <w:b/>
                <w:bCs/>
                <w:color w:val="000000"/>
                <w:sz w:val="18"/>
                <w:szCs w:val="18"/>
              </w:rPr>
              <w:t>22.9</w:t>
            </w:r>
          </w:p>
        </w:tc>
      </w:tr>
    </w:tbl>
    <w:p w14:paraId="0B9F8866" w14:textId="77777777" w:rsidR="00810B7C" w:rsidRPr="00646B6F" w:rsidRDefault="00810B7C" w:rsidP="0078703F">
      <w:pPr>
        <w:spacing w:line="240" w:lineRule="auto"/>
        <w:jc w:val="both"/>
        <w:rPr>
          <w:sz w:val="24"/>
        </w:rPr>
      </w:pPr>
    </w:p>
    <w:p w14:paraId="3EA71AE5" w14:textId="505B74BD" w:rsidR="00CD4017" w:rsidRPr="00646B6F" w:rsidRDefault="00CD4017" w:rsidP="0078703F">
      <w:pPr>
        <w:spacing w:line="240" w:lineRule="auto"/>
        <w:ind w:firstLine="708"/>
        <w:jc w:val="both"/>
        <w:rPr>
          <w:b/>
          <w:sz w:val="24"/>
        </w:rPr>
      </w:pPr>
      <w:r w:rsidRPr="00646B6F">
        <w:rPr>
          <w:b/>
          <w:sz w:val="24"/>
        </w:rPr>
        <w:t xml:space="preserve">Comportamiento de las </w:t>
      </w:r>
      <w:r w:rsidR="002F61B9" w:rsidRPr="00646B6F">
        <w:rPr>
          <w:b/>
          <w:sz w:val="24"/>
        </w:rPr>
        <w:t>universidades mexicanas</w:t>
      </w:r>
    </w:p>
    <w:p w14:paraId="6250298E" w14:textId="01105F23" w:rsidR="00D74C94" w:rsidRPr="00646B6F" w:rsidRDefault="0031457A" w:rsidP="0078703F">
      <w:pPr>
        <w:pStyle w:val="ListParagraph"/>
        <w:numPr>
          <w:ilvl w:val="0"/>
          <w:numId w:val="1"/>
        </w:numPr>
        <w:spacing w:line="240" w:lineRule="auto"/>
        <w:jc w:val="both"/>
        <w:rPr>
          <w:sz w:val="24"/>
        </w:rPr>
      </w:pPr>
      <w:r w:rsidRPr="00646B6F">
        <w:rPr>
          <w:sz w:val="24"/>
        </w:rPr>
        <w:t xml:space="preserve">En el ranking THE </w:t>
      </w:r>
      <w:r w:rsidR="00492C76" w:rsidRPr="00646B6F">
        <w:rPr>
          <w:sz w:val="24"/>
        </w:rPr>
        <w:t>por áreas del conocimiento</w:t>
      </w:r>
      <w:r w:rsidR="00492C76">
        <w:rPr>
          <w:sz w:val="24"/>
        </w:rPr>
        <w:t xml:space="preserve"> </w:t>
      </w:r>
      <w:r w:rsidRPr="00646B6F">
        <w:rPr>
          <w:sz w:val="24"/>
        </w:rPr>
        <w:t>2021</w:t>
      </w:r>
      <w:r w:rsidR="00E170CD">
        <w:rPr>
          <w:sz w:val="24"/>
        </w:rPr>
        <w:t>,</w:t>
      </w:r>
      <w:r w:rsidRPr="00646B6F">
        <w:rPr>
          <w:sz w:val="24"/>
        </w:rPr>
        <w:t xml:space="preserve"> fueron clasificadas</w:t>
      </w:r>
      <w:r w:rsidR="00E170CD">
        <w:rPr>
          <w:sz w:val="24"/>
        </w:rPr>
        <w:t xml:space="preserve"> las siguientes</w:t>
      </w:r>
      <w:r w:rsidRPr="00646B6F">
        <w:rPr>
          <w:sz w:val="24"/>
        </w:rPr>
        <w:t xml:space="preserve"> </w:t>
      </w:r>
      <w:r w:rsidR="00D74C94" w:rsidRPr="00646B6F">
        <w:rPr>
          <w:sz w:val="24"/>
        </w:rPr>
        <w:t xml:space="preserve">16 </w:t>
      </w:r>
      <w:r w:rsidRPr="00646B6F">
        <w:rPr>
          <w:sz w:val="24"/>
        </w:rPr>
        <w:t>universidades mexicanas</w:t>
      </w:r>
      <w:r w:rsidR="00D74C94" w:rsidRPr="00646B6F">
        <w:rPr>
          <w:sz w:val="24"/>
        </w:rPr>
        <w:t>:</w:t>
      </w:r>
    </w:p>
    <w:p w14:paraId="6877E5F3" w14:textId="38571A8B" w:rsidR="00074F2B" w:rsidRPr="00646B6F" w:rsidRDefault="00A53D28" w:rsidP="0078703F">
      <w:pPr>
        <w:pStyle w:val="ListParagraph"/>
        <w:numPr>
          <w:ilvl w:val="1"/>
          <w:numId w:val="1"/>
        </w:numPr>
        <w:spacing w:line="240" w:lineRule="auto"/>
        <w:jc w:val="both"/>
        <w:rPr>
          <w:sz w:val="24"/>
        </w:rPr>
      </w:pPr>
      <w:r w:rsidRPr="00646B6F">
        <w:rPr>
          <w:sz w:val="24"/>
        </w:rPr>
        <w:t>Benemérita Universidad Autónoma de Puebla (BUAP), Instituto Politécnico Nacional (IPN), Instituto Tecnológico y de Estudios Superiores de Monterrey (ITESM), Universidad Autónoma de Baja California (UABC), Universidad Autónoma de Nuevo León (UANL), Universidad Autónoma de Querétaro (UAQ), Universidad Autónoma de San Luis Potosí (UASLP), Universidad Autónoma de Yucatán (UADY), Universidad Autónoma del Estado de Hidalgo (UAEH), Universidad Autónoma del Estado de México (UAEM), Universidad Autónoma Metropolitana (UAM), Universidad de Guadalajara (UdeG), Universidad de Guanajuato (UGTO), Universidad de Sonora (UNISON), Universidad Michoacana de San Nicolás de Hidalgo (UMSNH), y Universidad Nacional Autónoma de México (UNAM).</w:t>
      </w:r>
    </w:p>
    <w:p w14:paraId="324F9584" w14:textId="77777777" w:rsidR="00074F2B" w:rsidRPr="00646B6F" w:rsidRDefault="00074F2B" w:rsidP="0078703F">
      <w:pPr>
        <w:pStyle w:val="ListParagraph"/>
        <w:spacing w:line="240" w:lineRule="auto"/>
        <w:jc w:val="both"/>
        <w:rPr>
          <w:sz w:val="24"/>
        </w:rPr>
      </w:pPr>
    </w:p>
    <w:p w14:paraId="75DC62A0" w14:textId="1EFA4B6D" w:rsidR="000B56FF" w:rsidRPr="00646B6F" w:rsidRDefault="000B56FF" w:rsidP="0078703F">
      <w:pPr>
        <w:pStyle w:val="ListParagraph"/>
        <w:numPr>
          <w:ilvl w:val="0"/>
          <w:numId w:val="1"/>
        </w:numPr>
        <w:spacing w:line="240" w:lineRule="auto"/>
        <w:jc w:val="both"/>
        <w:rPr>
          <w:sz w:val="24"/>
        </w:rPr>
      </w:pPr>
      <w:r w:rsidRPr="00646B6F">
        <w:rPr>
          <w:sz w:val="24"/>
        </w:rPr>
        <w:t>De las universidades mexicanas</w:t>
      </w:r>
      <w:r w:rsidR="00E170CD">
        <w:rPr>
          <w:sz w:val="24"/>
        </w:rPr>
        <w:t xml:space="preserve"> clasificadas en el ranking</w:t>
      </w:r>
      <w:r w:rsidRPr="00646B6F">
        <w:rPr>
          <w:sz w:val="24"/>
        </w:rPr>
        <w:t xml:space="preserve">, </w:t>
      </w:r>
      <w:r w:rsidR="00E170CD">
        <w:rPr>
          <w:sz w:val="24"/>
        </w:rPr>
        <w:t>15 (</w:t>
      </w:r>
      <w:r w:rsidR="008D7F96" w:rsidRPr="00646B6F">
        <w:rPr>
          <w:sz w:val="24"/>
        </w:rPr>
        <w:t>93.75%</w:t>
      </w:r>
      <w:r w:rsidR="00E170CD">
        <w:rPr>
          <w:sz w:val="24"/>
        </w:rPr>
        <w:t>)</w:t>
      </w:r>
      <w:r w:rsidR="008D7F96" w:rsidRPr="00646B6F">
        <w:rPr>
          <w:sz w:val="24"/>
        </w:rPr>
        <w:t xml:space="preserve"> son </w:t>
      </w:r>
      <w:r w:rsidRPr="00646B6F">
        <w:rPr>
          <w:sz w:val="24"/>
        </w:rPr>
        <w:t>públicas</w:t>
      </w:r>
      <w:r w:rsidR="008D7F96" w:rsidRPr="00646B6F">
        <w:rPr>
          <w:sz w:val="24"/>
        </w:rPr>
        <w:t xml:space="preserve"> y </w:t>
      </w:r>
      <w:r w:rsidR="00E170CD">
        <w:rPr>
          <w:sz w:val="24"/>
        </w:rPr>
        <w:t>1 (</w:t>
      </w:r>
      <w:r w:rsidR="008D7F96" w:rsidRPr="00646B6F">
        <w:rPr>
          <w:sz w:val="24"/>
        </w:rPr>
        <w:t>6.25%</w:t>
      </w:r>
      <w:r w:rsidR="00E170CD">
        <w:rPr>
          <w:sz w:val="24"/>
        </w:rPr>
        <w:t>) es</w:t>
      </w:r>
      <w:r w:rsidR="008D7F96" w:rsidRPr="00646B6F">
        <w:rPr>
          <w:sz w:val="24"/>
        </w:rPr>
        <w:t xml:space="preserve"> privada</w:t>
      </w:r>
      <w:r w:rsidRPr="00646B6F">
        <w:rPr>
          <w:sz w:val="24"/>
        </w:rPr>
        <w:t xml:space="preserve">. </w:t>
      </w:r>
    </w:p>
    <w:p w14:paraId="6A1646D7" w14:textId="77777777" w:rsidR="000B56FF" w:rsidRPr="00646B6F" w:rsidRDefault="000B56FF" w:rsidP="0078703F">
      <w:pPr>
        <w:pStyle w:val="ListParagraph"/>
        <w:spacing w:line="240" w:lineRule="auto"/>
        <w:jc w:val="both"/>
        <w:rPr>
          <w:sz w:val="24"/>
        </w:rPr>
      </w:pPr>
    </w:p>
    <w:tbl>
      <w:tblPr>
        <w:tblW w:w="11707" w:type="dxa"/>
        <w:jc w:val="center"/>
        <w:tblLayout w:type="fixed"/>
        <w:tblCellMar>
          <w:left w:w="70" w:type="dxa"/>
          <w:right w:w="70" w:type="dxa"/>
        </w:tblCellMar>
        <w:tblLook w:val="04A0" w:firstRow="1" w:lastRow="0" w:firstColumn="1" w:lastColumn="0" w:noHBand="0" w:noVBand="1"/>
      </w:tblPr>
      <w:tblGrid>
        <w:gridCol w:w="891"/>
        <w:gridCol w:w="890"/>
        <w:gridCol w:w="1062"/>
        <w:gridCol w:w="1145"/>
        <w:gridCol w:w="989"/>
        <w:gridCol w:w="924"/>
        <w:gridCol w:w="892"/>
        <w:gridCol w:w="738"/>
        <w:gridCol w:w="825"/>
        <w:gridCol w:w="919"/>
        <w:gridCol w:w="711"/>
        <w:gridCol w:w="12"/>
        <w:gridCol w:w="840"/>
        <w:gridCol w:w="12"/>
        <w:gridCol w:w="841"/>
        <w:gridCol w:w="16"/>
      </w:tblGrid>
      <w:tr w:rsidR="00B513FC" w:rsidRPr="00646B6F" w14:paraId="559FBAC2" w14:textId="45D256D8" w:rsidTr="002434E5">
        <w:trPr>
          <w:trHeight w:val="236"/>
          <w:tblHeader/>
          <w:jc w:val="center"/>
        </w:trPr>
        <w:tc>
          <w:tcPr>
            <w:tcW w:w="11707" w:type="dxa"/>
            <w:gridSpan w:val="16"/>
            <w:tcBorders>
              <w:bottom w:val="single" w:sz="4" w:space="0" w:color="auto"/>
            </w:tcBorders>
          </w:tcPr>
          <w:p w14:paraId="315A8213" w14:textId="246D883C" w:rsidR="00B513FC" w:rsidRPr="00646B6F" w:rsidRDefault="00B513FC" w:rsidP="0078703F">
            <w:pPr>
              <w:spacing w:line="240" w:lineRule="auto"/>
              <w:jc w:val="center"/>
              <w:rPr>
                <w:b/>
                <w:sz w:val="20"/>
              </w:rPr>
            </w:pPr>
            <w:r w:rsidRPr="00646B6F">
              <w:rPr>
                <w:b/>
                <w:sz w:val="20"/>
              </w:rPr>
              <w:t>Tabla 1</w:t>
            </w:r>
            <w:r w:rsidR="002B2D2F" w:rsidRPr="00646B6F">
              <w:rPr>
                <w:b/>
                <w:sz w:val="20"/>
              </w:rPr>
              <w:t>3</w:t>
            </w:r>
            <w:r w:rsidRPr="00646B6F">
              <w:rPr>
                <w:b/>
                <w:sz w:val="20"/>
              </w:rPr>
              <w:t>. Número de áreas de conocimiento por universidades mexicanas, 202</w:t>
            </w:r>
            <w:r w:rsidR="0094375F" w:rsidRPr="00646B6F">
              <w:rPr>
                <w:b/>
                <w:sz w:val="20"/>
              </w:rPr>
              <w:t>1</w:t>
            </w:r>
            <w:r w:rsidRPr="00646B6F">
              <w:rPr>
                <w:b/>
                <w:sz w:val="20"/>
              </w:rPr>
              <w:t>.</w:t>
            </w:r>
          </w:p>
        </w:tc>
      </w:tr>
      <w:tr w:rsidR="00B513FC" w:rsidRPr="00646B6F" w14:paraId="26853376" w14:textId="783CD210" w:rsidTr="002434E5">
        <w:trPr>
          <w:gridAfter w:val="1"/>
          <w:wAfter w:w="16" w:type="dxa"/>
          <w:trHeight w:val="236"/>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C77DF" w14:textId="77777777" w:rsidR="00B513FC" w:rsidRPr="00646B6F" w:rsidRDefault="00B513FC" w:rsidP="0078703F">
            <w:pPr>
              <w:spacing w:line="240" w:lineRule="auto"/>
              <w:ind w:right="-39"/>
              <w:jc w:val="center"/>
              <w:rPr>
                <w:rFonts w:ascii="Calibri" w:eastAsia="Times New Roman" w:hAnsi="Calibri" w:cs="Calibri"/>
                <w:b/>
                <w:bCs/>
                <w:color w:val="000000"/>
                <w:sz w:val="16"/>
                <w:szCs w:val="18"/>
                <w:lang w:eastAsia="es-MX"/>
              </w:rPr>
            </w:pPr>
            <w:r w:rsidRPr="00646B6F">
              <w:rPr>
                <w:rFonts w:ascii="Calibri" w:eastAsia="Times New Roman" w:hAnsi="Calibri" w:cs="Calibri"/>
                <w:b/>
                <w:bCs/>
                <w:color w:val="000000"/>
                <w:sz w:val="16"/>
                <w:szCs w:val="18"/>
                <w:lang w:eastAsia="es-MX"/>
              </w:rPr>
              <w:t>Institución</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1F8639" w14:textId="6FEAD3EF"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 xml:space="preserve">Número de Disciplinas </w:t>
            </w:r>
          </w:p>
        </w:tc>
        <w:tc>
          <w:tcPr>
            <w:tcW w:w="106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A6CF4E0" w14:textId="659D2EC9"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Artes y Humanidades</w:t>
            </w:r>
          </w:p>
        </w:tc>
        <w:tc>
          <w:tcPr>
            <w:tcW w:w="114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0FB09C0" w14:textId="055FA164"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Ciencias de la Computación</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B1AC18" w14:textId="02FB376F"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Ingeniería y Tecnología</w:t>
            </w:r>
          </w:p>
        </w:tc>
        <w:tc>
          <w:tcPr>
            <w:tcW w:w="9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23E80A" w14:textId="244B1CAE"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Negocios y Economía</w:t>
            </w:r>
          </w:p>
        </w:tc>
        <w:tc>
          <w:tcPr>
            <w:tcW w:w="8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89AC57" w14:textId="11D2C9C4"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Ciencias Sociales</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8A53DE1" w14:textId="4CF1B505"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Derecho</w:t>
            </w:r>
          </w:p>
        </w:tc>
        <w:tc>
          <w:tcPr>
            <w:tcW w:w="8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43A406" w14:textId="5B00F308"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Educación</w:t>
            </w:r>
          </w:p>
        </w:tc>
        <w:tc>
          <w:tcPr>
            <w:tcW w:w="91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BF8585D" w14:textId="78BE9D3A"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Clínica, Pre-Clínica y Salud</w:t>
            </w:r>
          </w:p>
        </w:tc>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162CDFC" w14:textId="56748E4B"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Ciencias de la Vida</w:t>
            </w:r>
          </w:p>
        </w:tc>
        <w:tc>
          <w:tcPr>
            <w:tcW w:w="85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E1FF77" w14:textId="5083BFBE"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Ciencias Físicas</w:t>
            </w:r>
          </w:p>
        </w:tc>
        <w:tc>
          <w:tcPr>
            <w:tcW w:w="85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53B4BC" w14:textId="695FB676" w:rsidR="00B513FC" w:rsidRPr="00646B6F" w:rsidRDefault="00B513FC" w:rsidP="0078703F">
            <w:pPr>
              <w:spacing w:line="240" w:lineRule="auto"/>
              <w:jc w:val="center"/>
              <w:rPr>
                <w:rFonts w:ascii="Calibri" w:eastAsia="Times New Roman" w:hAnsi="Calibri" w:cs="Calibri"/>
                <w:b/>
                <w:bCs/>
                <w:color w:val="000000"/>
                <w:sz w:val="16"/>
                <w:szCs w:val="18"/>
                <w:lang w:eastAsia="es-MX"/>
              </w:rPr>
            </w:pPr>
            <w:r w:rsidRPr="00646B6F">
              <w:rPr>
                <w:rFonts w:ascii="Calibri" w:hAnsi="Calibri" w:cs="Calibri"/>
                <w:b/>
                <w:bCs/>
                <w:color w:val="000000"/>
                <w:sz w:val="16"/>
                <w:szCs w:val="18"/>
              </w:rPr>
              <w:t>Psicología</w:t>
            </w:r>
          </w:p>
        </w:tc>
      </w:tr>
      <w:tr w:rsidR="0094375F" w:rsidRPr="00F46F74" w14:paraId="3901F35C" w14:textId="36497321" w:rsidTr="002434E5">
        <w:trPr>
          <w:gridAfter w:val="1"/>
          <w:wAfter w:w="16" w:type="dxa"/>
          <w:trHeight w:val="17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3F375" w14:textId="1D529624"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UNAM</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FB52F" w14:textId="0456ACF6"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11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69235" w14:textId="0C361098"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101–125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3D5B1" w14:textId="112745AD"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601–800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9CA5B" w14:textId="2AA8C901"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601–800</w:t>
            </w:r>
          </w:p>
        </w:tc>
        <w:tc>
          <w:tcPr>
            <w:tcW w:w="924" w:type="dxa"/>
            <w:tcBorders>
              <w:top w:val="single" w:sz="4" w:space="0" w:color="auto"/>
              <w:left w:val="single" w:sz="4" w:space="0" w:color="auto"/>
              <w:bottom w:val="single" w:sz="4" w:space="0" w:color="auto"/>
              <w:right w:val="single" w:sz="4" w:space="0" w:color="auto"/>
            </w:tcBorders>
            <w:vAlign w:val="bottom"/>
          </w:tcPr>
          <w:p w14:paraId="21E4E3FF" w14:textId="2833E5F6"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601+</w:t>
            </w:r>
          </w:p>
        </w:tc>
        <w:tc>
          <w:tcPr>
            <w:tcW w:w="892" w:type="dxa"/>
            <w:tcBorders>
              <w:top w:val="single" w:sz="4" w:space="0" w:color="auto"/>
              <w:left w:val="single" w:sz="4" w:space="0" w:color="auto"/>
              <w:bottom w:val="single" w:sz="4" w:space="0" w:color="auto"/>
              <w:right w:val="single" w:sz="4" w:space="0" w:color="auto"/>
            </w:tcBorders>
            <w:vAlign w:val="bottom"/>
          </w:tcPr>
          <w:p w14:paraId="650B666E" w14:textId="6A09C37D"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301–400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57E07" w14:textId="139D8A4C"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176–200</w:t>
            </w:r>
          </w:p>
        </w:tc>
        <w:tc>
          <w:tcPr>
            <w:tcW w:w="825" w:type="dxa"/>
            <w:tcBorders>
              <w:top w:val="single" w:sz="4" w:space="0" w:color="auto"/>
              <w:left w:val="single" w:sz="4" w:space="0" w:color="auto"/>
              <w:bottom w:val="single" w:sz="4" w:space="0" w:color="auto"/>
              <w:right w:val="single" w:sz="4" w:space="0" w:color="auto"/>
            </w:tcBorders>
            <w:vAlign w:val="bottom"/>
          </w:tcPr>
          <w:p w14:paraId="2DA093E2" w14:textId="1DCF5111"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176–200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60791" w14:textId="3565A948" w:rsidR="0094375F" w:rsidRPr="00F27222" w:rsidRDefault="0094375F" w:rsidP="0094375F">
            <w:pPr>
              <w:spacing w:line="240" w:lineRule="auto"/>
              <w:jc w:val="center"/>
              <w:rPr>
                <w:rFonts w:eastAsia="Times New Roman" w:cstheme="minorHAnsi"/>
                <w:b/>
                <w:bCs/>
                <w:color w:val="000000"/>
                <w:sz w:val="16"/>
                <w:szCs w:val="16"/>
                <w:lang w:eastAsia="es-MX"/>
              </w:rPr>
            </w:pPr>
            <w:r w:rsidRPr="00F27222">
              <w:rPr>
                <w:rFonts w:ascii="Calibri" w:hAnsi="Calibri" w:cs="Calibri"/>
                <w:b/>
                <w:bCs/>
                <w:color w:val="000000"/>
                <w:sz w:val="16"/>
                <w:szCs w:val="16"/>
              </w:rPr>
              <w:t>501–600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0912" w14:textId="181BFA2A" w:rsidR="0094375F" w:rsidRPr="00F27222" w:rsidRDefault="0094375F" w:rsidP="0094375F">
            <w:pPr>
              <w:spacing w:line="240" w:lineRule="auto"/>
              <w:jc w:val="center"/>
              <w:rPr>
                <w:rFonts w:eastAsia="Times New Roman" w:cstheme="minorHAnsi"/>
                <w:b/>
                <w:bCs/>
                <w:sz w:val="16"/>
                <w:szCs w:val="16"/>
                <w:lang w:eastAsia="es-MX"/>
              </w:rPr>
            </w:pPr>
            <w:r w:rsidRPr="00F27222">
              <w:rPr>
                <w:rFonts w:ascii="Calibri" w:hAnsi="Calibri" w:cs="Calibri"/>
                <w:b/>
                <w:bCs/>
                <w:color w:val="000000"/>
                <w:sz w:val="16"/>
                <w:szCs w:val="16"/>
              </w:rPr>
              <w:t>501–600</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7DABD71D" w14:textId="0458C9EB" w:rsidR="0094375F" w:rsidRPr="00F27222" w:rsidRDefault="0094375F" w:rsidP="0094375F">
            <w:pPr>
              <w:spacing w:line="240" w:lineRule="auto"/>
              <w:jc w:val="center"/>
              <w:rPr>
                <w:b/>
                <w:bCs/>
                <w:sz w:val="16"/>
                <w:szCs w:val="16"/>
              </w:rPr>
            </w:pPr>
            <w:r w:rsidRPr="00F27222">
              <w:rPr>
                <w:rFonts w:ascii="Calibri" w:hAnsi="Calibri" w:cs="Calibri"/>
                <w:b/>
                <w:bCs/>
                <w:color w:val="000000"/>
                <w:sz w:val="16"/>
                <w:szCs w:val="16"/>
              </w:rPr>
              <w:t>601–800</w:t>
            </w:r>
          </w:p>
        </w:tc>
        <w:tc>
          <w:tcPr>
            <w:tcW w:w="853" w:type="dxa"/>
            <w:gridSpan w:val="2"/>
            <w:tcBorders>
              <w:top w:val="single" w:sz="4" w:space="0" w:color="auto"/>
              <w:left w:val="single" w:sz="4" w:space="0" w:color="auto"/>
              <w:bottom w:val="single" w:sz="4" w:space="0" w:color="auto"/>
              <w:right w:val="single" w:sz="4" w:space="0" w:color="auto"/>
            </w:tcBorders>
            <w:vAlign w:val="bottom"/>
          </w:tcPr>
          <w:p w14:paraId="3AD282DE" w14:textId="5D46F9BC" w:rsidR="0094375F" w:rsidRPr="00F27222" w:rsidRDefault="0094375F" w:rsidP="0094375F">
            <w:pPr>
              <w:spacing w:line="240" w:lineRule="auto"/>
              <w:jc w:val="center"/>
              <w:rPr>
                <w:b/>
                <w:bCs/>
                <w:sz w:val="16"/>
                <w:szCs w:val="16"/>
              </w:rPr>
            </w:pPr>
            <w:r w:rsidRPr="00F27222">
              <w:rPr>
                <w:rFonts w:ascii="Calibri" w:hAnsi="Calibri" w:cs="Calibri"/>
                <w:b/>
                <w:bCs/>
                <w:color w:val="000000"/>
                <w:sz w:val="16"/>
                <w:szCs w:val="16"/>
              </w:rPr>
              <w:t>301–400</w:t>
            </w:r>
          </w:p>
        </w:tc>
      </w:tr>
      <w:tr w:rsidR="0094375F" w:rsidRPr="00646B6F" w14:paraId="3798D577" w14:textId="38F35C3C"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E1DD60" w14:textId="06E7987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UdeG</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F67441" w14:textId="7DCFACD1"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D6CD49" w14:textId="38FC18CC"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D8E4408" w14:textId="2325CD9B"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601–800</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5D4D0EE" w14:textId="7C4D7A9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01520" w14:textId="668E21E6"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173E39" w14:textId="4363DC8D"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BAE321" w14:textId="30FB61E1"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A83B56" w14:textId="6910D8F9"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501+</w:t>
            </w: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7F91DA0" w14:textId="4660BACC"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AF22C42" w14:textId="07EB04FF"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7A5C67" w14:textId="5E2B58CB"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263E9D" w14:textId="3FFA3964"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501+</w:t>
            </w:r>
          </w:p>
        </w:tc>
      </w:tr>
      <w:tr w:rsidR="0094375F" w:rsidRPr="00646B6F" w14:paraId="437BD04B" w14:textId="353CFE8D"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08DF" w14:textId="7D787C6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ITESM</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60A0" w14:textId="12497BC6"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7</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6BFA6" w14:textId="4E76221C"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3483A" w14:textId="281E144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501–600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6BBE7" w14:textId="24FBB35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401–500</w:t>
            </w:r>
          </w:p>
        </w:tc>
        <w:tc>
          <w:tcPr>
            <w:tcW w:w="924" w:type="dxa"/>
            <w:tcBorders>
              <w:top w:val="single" w:sz="4" w:space="0" w:color="auto"/>
              <w:left w:val="single" w:sz="4" w:space="0" w:color="auto"/>
              <w:bottom w:val="single" w:sz="4" w:space="0" w:color="auto"/>
              <w:right w:val="single" w:sz="4" w:space="0" w:color="auto"/>
            </w:tcBorders>
            <w:vAlign w:val="bottom"/>
          </w:tcPr>
          <w:p w14:paraId="35D356CC" w14:textId="671CE80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251–300</w:t>
            </w:r>
          </w:p>
        </w:tc>
        <w:tc>
          <w:tcPr>
            <w:tcW w:w="892" w:type="dxa"/>
            <w:tcBorders>
              <w:top w:val="single" w:sz="4" w:space="0" w:color="auto"/>
              <w:left w:val="single" w:sz="4" w:space="0" w:color="auto"/>
              <w:bottom w:val="single" w:sz="4" w:space="0" w:color="auto"/>
              <w:right w:val="single" w:sz="4" w:space="0" w:color="auto"/>
            </w:tcBorders>
            <w:vAlign w:val="bottom"/>
          </w:tcPr>
          <w:p w14:paraId="07B5ADB3" w14:textId="5AFD3372"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301–400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55A7B" w14:textId="2AD8309F"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bottom"/>
          </w:tcPr>
          <w:p w14:paraId="16FD1234" w14:textId="3EAB8863"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201–250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0F7D" w14:textId="559C0DFD"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501–600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EE389" w14:textId="3584E8A0" w:rsidR="0094375F" w:rsidRPr="00646B6F" w:rsidRDefault="0094375F" w:rsidP="0094375F">
            <w:pPr>
              <w:spacing w:line="240" w:lineRule="auto"/>
              <w:jc w:val="center"/>
              <w:rPr>
                <w:rFonts w:eastAsia="Times New Roman" w:cstheme="minorHAnsi"/>
                <w:sz w:val="16"/>
                <w:szCs w:val="16"/>
                <w:lang w:eastAsia="es-MX"/>
              </w:rPr>
            </w:pP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7444E7DA" w14:textId="5ED17C73"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501–600</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FFE4840" w14:textId="40A9BE01" w:rsidR="0094375F" w:rsidRPr="00646B6F" w:rsidRDefault="0094375F" w:rsidP="0094375F">
            <w:pPr>
              <w:spacing w:line="240" w:lineRule="auto"/>
              <w:jc w:val="center"/>
              <w:rPr>
                <w:sz w:val="16"/>
                <w:szCs w:val="16"/>
              </w:rPr>
            </w:pPr>
          </w:p>
        </w:tc>
      </w:tr>
      <w:tr w:rsidR="0094375F" w:rsidRPr="00646B6F" w14:paraId="6858D790" w14:textId="5926C811"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F298B2" w14:textId="25A023F1"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UAM</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D8E17F" w14:textId="0B8F9811"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4F904A" w14:textId="76304730"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5F47D7" w14:textId="1EC96A8B"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853DE98" w14:textId="300909F9"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8F3EBD" w14:textId="3527E590"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66CA79" w14:textId="65D0672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7280CA" w14:textId="569E9928"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C39064" w14:textId="1D667730"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086F8FC" w14:textId="07113662"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151–175</w:t>
            </w: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50ABF46" w14:textId="3A5FF57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07E36D" w14:textId="0E58A1FD"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D62817" w14:textId="7EF7363D" w:rsidR="0094375F" w:rsidRPr="00646B6F" w:rsidRDefault="0094375F" w:rsidP="0094375F">
            <w:pPr>
              <w:spacing w:line="240" w:lineRule="auto"/>
              <w:jc w:val="center"/>
              <w:rPr>
                <w:sz w:val="16"/>
                <w:szCs w:val="16"/>
              </w:rPr>
            </w:pPr>
          </w:p>
        </w:tc>
      </w:tr>
      <w:tr w:rsidR="0094375F" w:rsidRPr="00646B6F" w14:paraId="7F675BE7" w14:textId="15CCD41F"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D8EA" w14:textId="794B0C85"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UANL</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725B" w14:textId="4F2C519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F5BB" w14:textId="6CE8BF23"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FDB2" w14:textId="37F9A105"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16BC3" w14:textId="7241D5E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801–1000</w:t>
            </w:r>
          </w:p>
        </w:tc>
        <w:tc>
          <w:tcPr>
            <w:tcW w:w="924" w:type="dxa"/>
            <w:tcBorders>
              <w:top w:val="single" w:sz="4" w:space="0" w:color="auto"/>
              <w:left w:val="single" w:sz="4" w:space="0" w:color="auto"/>
              <w:bottom w:val="single" w:sz="4" w:space="0" w:color="auto"/>
              <w:right w:val="single" w:sz="4" w:space="0" w:color="auto"/>
            </w:tcBorders>
            <w:vAlign w:val="center"/>
          </w:tcPr>
          <w:p w14:paraId="510FC000" w14:textId="7EA307AB"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6445A7A0" w14:textId="4F6A1691"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86FB" w14:textId="33F0A4CC"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30132D91" w14:textId="31EF0412"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7DA1B" w14:textId="62B801E4"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73420" w14:textId="482D7526"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3DB69CAA" w14:textId="12F40D2C"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vAlign w:val="bottom"/>
          </w:tcPr>
          <w:p w14:paraId="6DF273F6" w14:textId="37AA06B5"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501+</w:t>
            </w:r>
          </w:p>
        </w:tc>
      </w:tr>
      <w:tr w:rsidR="0094375F" w:rsidRPr="00646B6F" w14:paraId="3F4D83A3" w14:textId="0957A83F"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3DBA88" w14:textId="10D030AA"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UABC</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29D8EF" w14:textId="1DE7943F"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4</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742762" w14:textId="63DFA9A7"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17BD47" w14:textId="167C4E80" w:rsidR="0094375F" w:rsidRPr="00646B6F" w:rsidRDefault="0094375F" w:rsidP="0094375F">
            <w:pPr>
              <w:spacing w:line="240" w:lineRule="auto"/>
              <w:jc w:val="center"/>
              <w:rPr>
                <w:rFonts w:eastAsia="Times New Roman" w:cstheme="minorHAnsi"/>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2C55577" w14:textId="582EE7FD"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801–1000</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C75B2" w14:textId="39DC4E61"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C01BC" w14:textId="53B7BCD3"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0B5B7E" w14:textId="4AD3BF79"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C1D494" w14:textId="1A86AA1B"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501+</w:t>
            </w: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050982" w14:textId="198D92BE"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84A8E9A" w14:textId="3B389571"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16CBF4" w14:textId="04C9DC68"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E2061" w14:textId="21BF2322" w:rsidR="0094375F" w:rsidRPr="00646B6F" w:rsidRDefault="0094375F" w:rsidP="0094375F">
            <w:pPr>
              <w:spacing w:line="240" w:lineRule="auto"/>
              <w:jc w:val="center"/>
              <w:rPr>
                <w:sz w:val="16"/>
                <w:szCs w:val="16"/>
              </w:rPr>
            </w:pPr>
          </w:p>
        </w:tc>
      </w:tr>
      <w:tr w:rsidR="0094375F" w:rsidRPr="00646B6F" w14:paraId="78706223" w14:textId="1E8CD227"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FC7F4" w14:textId="4F1938C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UASLP</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96E9" w14:textId="15A41093"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361F" w14:textId="3CB3847A"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1160F" w14:textId="4DEE0DD7"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80C45" w14:textId="521C888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vAlign w:val="center"/>
          </w:tcPr>
          <w:p w14:paraId="02BBB692" w14:textId="4095E2EC"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7657AA1F" w14:textId="42668C75"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6521D" w14:textId="512F4E33"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0528EDD8" w14:textId="1ED7EBE5"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919A4" w14:textId="2BAF8F6C"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95576" w14:textId="091DE1ED"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45D54262" w14:textId="5A7103B5"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B66DC64" w14:textId="6F939258" w:rsidR="0094375F" w:rsidRPr="00646B6F" w:rsidRDefault="0094375F" w:rsidP="0094375F">
            <w:pPr>
              <w:spacing w:line="240" w:lineRule="auto"/>
              <w:jc w:val="center"/>
              <w:rPr>
                <w:sz w:val="16"/>
                <w:szCs w:val="16"/>
              </w:rPr>
            </w:pPr>
          </w:p>
        </w:tc>
      </w:tr>
      <w:tr w:rsidR="0094375F" w:rsidRPr="00646B6F" w14:paraId="37D74A40" w14:textId="5421B7FA"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71C37E" w14:textId="3CA822F3"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UAEM</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65661B" w14:textId="1951A935"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4</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0AEF87" w14:textId="0B62311C"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93E018" w14:textId="5102AB74"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C08A83A" w14:textId="6CD5236D"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2A72B0" w14:textId="6E786864"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7EBDED" w14:textId="47BD103F"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490DD5" w14:textId="51005573"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A46B0A" w14:textId="14DB0EAC"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AB1D20" w14:textId="32CE938F"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5891AD5" w14:textId="3B252045"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DC378A" w14:textId="1A53D9AD"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BCEE2" w14:textId="39FF9BD5" w:rsidR="0094375F" w:rsidRPr="00646B6F" w:rsidRDefault="0094375F" w:rsidP="0094375F">
            <w:pPr>
              <w:spacing w:line="240" w:lineRule="auto"/>
              <w:jc w:val="center"/>
              <w:rPr>
                <w:sz w:val="16"/>
                <w:szCs w:val="16"/>
              </w:rPr>
            </w:pPr>
          </w:p>
        </w:tc>
      </w:tr>
      <w:tr w:rsidR="0094375F" w:rsidRPr="00646B6F" w14:paraId="54607E51" w14:textId="705C7E81"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9DDB2" w14:textId="1DD276D3"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BUAP</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BFB3" w14:textId="2E25403D"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8D4D4" w14:textId="1E0A0DC7"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6F3B" w14:textId="02BF4524"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0D56" w14:textId="661E37DA"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vAlign w:val="center"/>
          </w:tcPr>
          <w:p w14:paraId="51056599" w14:textId="7ECC323E"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571771C0" w14:textId="7AB06F41"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3C46B" w14:textId="5DA915C2"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29430567" w14:textId="3AB4AB23"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313AB" w14:textId="40163AA0"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63308" w14:textId="3051A247"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5A8E02ED" w14:textId="46CB4FD7"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801–1000</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76E02DE" w14:textId="2FD3EEF5" w:rsidR="0094375F" w:rsidRPr="00646B6F" w:rsidRDefault="0094375F" w:rsidP="0094375F">
            <w:pPr>
              <w:spacing w:line="240" w:lineRule="auto"/>
              <w:jc w:val="center"/>
              <w:rPr>
                <w:sz w:val="16"/>
                <w:szCs w:val="16"/>
              </w:rPr>
            </w:pPr>
          </w:p>
        </w:tc>
      </w:tr>
      <w:tr w:rsidR="0094375F" w:rsidRPr="00646B6F" w14:paraId="1FE467C5" w14:textId="4270B69F"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DABD0C" w14:textId="00C2C0FA"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IPN</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93441C" w14:textId="4A71F071"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AA8BC56" w14:textId="7082F6E1"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4E2B19" w14:textId="6B4619AF" w:rsidR="0094375F" w:rsidRPr="00646B6F" w:rsidRDefault="0094375F" w:rsidP="0094375F">
            <w:pPr>
              <w:spacing w:line="240" w:lineRule="auto"/>
              <w:jc w:val="center"/>
              <w:rPr>
                <w:rFonts w:eastAsia="Times New Roman" w:cstheme="minorHAnsi"/>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FD841A9" w14:textId="1021ECA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5BD998" w14:textId="7B5449D4"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B776F6" w14:textId="0081950C"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w:t>
            </w: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5B6D92" w14:textId="2483E549"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874856" w14:textId="72FFD9F0"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EF0453" w14:textId="5C58C3C6"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385D25F" w14:textId="063FABE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C655A3" w14:textId="35BB1982" w:rsidR="0094375F" w:rsidRPr="00646B6F" w:rsidRDefault="0094375F" w:rsidP="0094375F">
            <w:pPr>
              <w:spacing w:line="240" w:lineRule="auto"/>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ABF89" w14:textId="545B58DF" w:rsidR="0094375F" w:rsidRPr="00646B6F" w:rsidRDefault="0094375F" w:rsidP="0094375F">
            <w:pPr>
              <w:spacing w:line="240" w:lineRule="auto"/>
              <w:jc w:val="center"/>
              <w:rPr>
                <w:sz w:val="16"/>
                <w:szCs w:val="16"/>
              </w:rPr>
            </w:pPr>
          </w:p>
        </w:tc>
      </w:tr>
      <w:tr w:rsidR="0094375F" w:rsidRPr="00646B6F" w14:paraId="1D2DBAD6" w14:textId="1232D971"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C191" w14:textId="53B37046"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UAQ</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798B7" w14:textId="25E7163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A716E" w14:textId="4F6D49F6"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E77B4" w14:textId="2EBB523D"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3200F" w14:textId="2D4BFBF8"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801–1000</w:t>
            </w:r>
          </w:p>
        </w:tc>
        <w:tc>
          <w:tcPr>
            <w:tcW w:w="924" w:type="dxa"/>
            <w:tcBorders>
              <w:top w:val="single" w:sz="4" w:space="0" w:color="auto"/>
              <w:left w:val="single" w:sz="4" w:space="0" w:color="auto"/>
              <w:bottom w:val="single" w:sz="4" w:space="0" w:color="auto"/>
              <w:right w:val="single" w:sz="4" w:space="0" w:color="auto"/>
            </w:tcBorders>
            <w:vAlign w:val="center"/>
          </w:tcPr>
          <w:p w14:paraId="3731E054" w14:textId="634EA8E7"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0F77BA2E" w14:textId="5BB28F57"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2B02" w14:textId="6C31EC3F"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2934E3B0" w14:textId="52411F74"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FA96E" w14:textId="276074A4"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3E0A4" w14:textId="570E3794"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601–800</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0FDAA998" w14:textId="5777047A"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3CC8277" w14:textId="3A6786B4" w:rsidR="0094375F" w:rsidRPr="00646B6F" w:rsidRDefault="0094375F" w:rsidP="0094375F">
            <w:pPr>
              <w:spacing w:line="240" w:lineRule="auto"/>
              <w:jc w:val="center"/>
              <w:rPr>
                <w:sz w:val="16"/>
                <w:szCs w:val="16"/>
              </w:rPr>
            </w:pPr>
          </w:p>
        </w:tc>
      </w:tr>
      <w:tr w:rsidR="0094375F" w:rsidRPr="00646B6F" w14:paraId="0F98DD8A" w14:textId="17B5F4D6"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65739D" w14:textId="0BF3A2C0"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UAEH</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114001" w14:textId="1CB75ED8"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D1247A" w14:textId="30A77A0A"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714C69" w14:textId="24019286"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88D4E29" w14:textId="41BE35B2"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FC3197" w14:textId="6B5EDDB1"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075EA0" w14:textId="316BC64A"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C5E1D5" w14:textId="0EA2C972"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75B40C" w14:textId="1616D59C"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88FA05" w14:textId="050D882F"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BEC3422" w14:textId="391ED47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AE1DE7" w14:textId="6EC9BB29"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E74E8" w14:textId="4C19A5F0" w:rsidR="0094375F" w:rsidRPr="00646B6F" w:rsidRDefault="0094375F" w:rsidP="0094375F">
            <w:pPr>
              <w:spacing w:line="240" w:lineRule="auto"/>
              <w:jc w:val="center"/>
              <w:rPr>
                <w:sz w:val="16"/>
                <w:szCs w:val="16"/>
              </w:rPr>
            </w:pPr>
          </w:p>
        </w:tc>
      </w:tr>
      <w:tr w:rsidR="0094375F" w:rsidRPr="00646B6F" w14:paraId="6B178FC4" w14:textId="2057C6D8"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7B1CC" w14:textId="4C1DFD3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UGTO</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CE7ED" w14:textId="35891C59"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A6303" w14:textId="0EFFC8EC"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543DA" w14:textId="05CBCC52"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8F344" w14:textId="6811609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vAlign w:val="center"/>
          </w:tcPr>
          <w:p w14:paraId="2A692EDA" w14:textId="766A1D4F"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20372F0C" w14:textId="5FF35064"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4AEA3" w14:textId="145FED5D"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347C5D6F" w14:textId="3F21C4E1"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94A56" w14:textId="0D8AB925"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592A5" w14:textId="7DB36E06"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21A081A3" w14:textId="6790CEF8"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27408C9" w14:textId="376B483A" w:rsidR="0094375F" w:rsidRPr="00646B6F" w:rsidRDefault="0094375F" w:rsidP="0094375F">
            <w:pPr>
              <w:spacing w:line="240" w:lineRule="auto"/>
              <w:jc w:val="center"/>
              <w:rPr>
                <w:sz w:val="16"/>
                <w:szCs w:val="16"/>
              </w:rPr>
            </w:pPr>
          </w:p>
        </w:tc>
      </w:tr>
      <w:tr w:rsidR="0094375F" w:rsidRPr="00646B6F" w14:paraId="02FE8874" w14:textId="1881E954"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F34B84" w14:textId="3960E46C"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UMSNH</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A4BD6C" w14:textId="5527E564"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3</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03DA76" w14:textId="29BEB5D5"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E0C5F3" w14:textId="14528147" w:rsidR="0094375F" w:rsidRPr="00646B6F" w:rsidRDefault="0094375F" w:rsidP="0094375F">
            <w:pPr>
              <w:spacing w:line="240" w:lineRule="auto"/>
              <w:jc w:val="center"/>
              <w:rPr>
                <w:rFonts w:eastAsia="Times New Roman" w:cstheme="minorHAnsi"/>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416B008" w14:textId="76980537"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6BD196" w14:textId="0557FA10"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545E8B" w14:textId="1B20ED50"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BBDD2C" w14:textId="593CE410"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20E9A8" w14:textId="10061707"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B0917F" w14:textId="54AE1985"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6CA8934" w14:textId="410D11A8"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801+</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696129" w14:textId="2D6B2B7B" w:rsidR="0094375F" w:rsidRPr="00646B6F" w:rsidRDefault="0094375F" w:rsidP="0094375F">
            <w:pPr>
              <w:spacing w:line="240" w:lineRule="auto"/>
              <w:jc w:val="center"/>
              <w:rPr>
                <w:sz w:val="16"/>
                <w:szCs w:val="16"/>
              </w:rPr>
            </w:pPr>
            <w:r w:rsidRPr="00646B6F">
              <w:rPr>
                <w:rFonts w:ascii="Calibri" w:hAnsi="Calibri" w:cs="Calibri"/>
                <w:color w:val="000000"/>
                <w:sz w:val="16"/>
                <w:szCs w:val="16"/>
              </w:rPr>
              <w:t>801–1000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E0FAFB" w14:textId="3615E313" w:rsidR="0094375F" w:rsidRPr="00646B6F" w:rsidRDefault="0094375F" w:rsidP="0094375F">
            <w:pPr>
              <w:spacing w:line="240" w:lineRule="auto"/>
              <w:jc w:val="center"/>
              <w:rPr>
                <w:sz w:val="16"/>
                <w:szCs w:val="16"/>
              </w:rPr>
            </w:pPr>
          </w:p>
        </w:tc>
      </w:tr>
      <w:tr w:rsidR="0094375F" w:rsidRPr="00646B6F" w14:paraId="67EFD09D" w14:textId="34094341"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8794" w14:textId="036FD22C"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UNISON</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F36E0" w14:textId="73DE9635"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2</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EE63" w14:textId="00B52EFE"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E42F4" w14:textId="41D866A5"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B4F34" w14:textId="3D35603F"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1001+</w:t>
            </w:r>
          </w:p>
        </w:tc>
        <w:tc>
          <w:tcPr>
            <w:tcW w:w="924" w:type="dxa"/>
            <w:tcBorders>
              <w:top w:val="single" w:sz="4" w:space="0" w:color="auto"/>
              <w:left w:val="single" w:sz="4" w:space="0" w:color="auto"/>
              <w:bottom w:val="single" w:sz="4" w:space="0" w:color="auto"/>
              <w:right w:val="single" w:sz="4" w:space="0" w:color="auto"/>
            </w:tcBorders>
            <w:vAlign w:val="center"/>
          </w:tcPr>
          <w:p w14:paraId="327A3916" w14:textId="25E68D67"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vAlign w:val="center"/>
          </w:tcPr>
          <w:p w14:paraId="15ECC781" w14:textId="18CB75F9"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676C" w14:textId="507984DB"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vAlign w:val="center"/>
          </w:tcPr>
          <w:p w14:paraId="38C25F9E" w14:textId="60EAB6A0"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B11E2" w14:textId="276CF5A3"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CAA4" w14:textId="1A183C11" w:rsidR="0094375F" w:rsidRPr="00646B6F" w:rsidRDefault="0094375F" w:rsidP="0094375F">
            <w:pPr>
              <w:spacing w:line="240" w:lineRule="auto"/>
              <w:jc w:val="center"/>
              <w:rPr>
                <w:rFonts w:eastAsia="Times New Roman" w:cstheme="minorHAnsi"/>
                <w:sz w:val="16"/>
                <w:szCs w:val="16"/>
                <w:lang w:eastAsia="es-MX"/>
              </w:rPr>
            </w:pPr>
          </w:p>
        </w:tc>
        <w:tc>
          <w:tcPr>
            <w:tcW w:w="852" w:type="dxa"/>
            <w:gridSpan w:val="2"/>
            <w:tcBorders>
              <w:top w:val="single" w:sz="4" w:space="0" w:color="auto"/>
              <w:left w:val="single" w:sz="4" w:space="0" w:color="auto"/>
              <w:bottom w:val="single" w:sz="4" w:space="0" w:color="auto"/>
              <w:right w:val="single" w:sz="4" w:space="0" w:color="auto"/>
            </w:tcBorders>
            <w:vAlign w:val="bottom"/>
          </w:tcPr>
          <w:p w14:paraId="709989EF" w14:textId="43BA276E" w:rsidR="0094375F" w:rsidRPr="00646B6F" w:rsidRDefault="0094375F" w:rsidP="0094375F">
            <w:pPr>
              <w:spacing w:line="240" w:lineRule="auto"/>
              <w:jc w:val="center"/>
              <w:rPr>
                <w:rFonts w:eastAsia="Times New Roman" w:cstheme="minorHAnsi"/>
                <w:sz w:val="16"/>
                <w:szCs w:val="16"/>
                <w:lang w:eastAsia="es-MX"/>
              </w:rPr>
            </w:pPr>
            <w:r w:rsidRPr="00646B6F">
              <w:rPr>
                <w:rFonts w:ascii="Calibri" w:hAnsi="Calibri" w:cs="Calibri"/>
                <w:color w:val="000000"/>
                <w:sz w:val="16"/>
                <w:szCs w:val="16"/>
              </w:rPr>
              <w:t>1001+</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265E6CF" w14:textId="2EC52774" w:rsidR="0094375F" w:rsidRPr="00646B6F" w:rsidRDefault="0094375F" w:rsidP="0094375F">
            <w:pPr>
              <w:spacing w:line="240" w:lineRule="auto"/>
              <w:jc w:val="center"/>
              <w:rPr>
                <w:rFonts w:eastAsia="Times New Roman" w:cstheme="minorHAnsi"/>
                <w:sz w:val="16"/>
                <w:szCs w:val="16"/>
                <w:lang w:eastAsia="es-MX"/>
              </w:rPr>
            </w:pPr>
          </w:p>
        </w:tc>
      </w:tr>
      <w:tr w:rsidR="0094375F" w:rsidRPr="00646B6F" w14:paraId="25A90C22" w14:textId="7A547700" w:rsidTr="002434E5">
        <w:trPr>
          <w:gridAfter w:val="1"/>
          <w:wAfter w:w="16" w:type="dxa"/>
          <w:trHeight w:val="219"/>
          <w:jc w:val="center"/>
        </w:trPr>
        <w:tc>
          <w:tcPr>
            <w:tcW w:w="8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230B79" w14:textId="578778EE"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UADY</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7C0523" w14:textId="033737BA"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1</w:t>
            </w:r>
          </w:p>
        </w:tc>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DDE402" w14:textId="5C87475C" w:rsidR="0094375F" w:rsidRPr="00646B6F" w:rsidRDefault="0094375F" w:rsidP="0094375F">
            <w:pPr>
              <w:spacing w:line="240" w:lineRule="auto"/>
              <w:jc w:val="center"/>
              <w:rPr>
                <w:rFonts w:eastAsia="Times New Roman" w:cstheme="minorHAnsi"/>
                <w:color w:val="000000"/>
                <w:sz w:val="16"/>
                <w:szCs w:val="16"/>
                <w:lang w:eastAsia="es-MX"/>
              </w:rPr>
            </w:pPr>
          </w:p>
        </w:tc>
        <w:tc>
          <w:tcPr>
            <w:tcW w:w="11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8107D5" w14:textId="4CC9736E" w:rsidR="0094375F" w:rsidRPr="00646B6F" w:rsidRDefault="0094375F" w:rsidP="0094375F">
            <w:pPr>
              <w:spacing w:line="240" w:lineRule="auto"/>
              <w:jc w:val="center"/>
              <w:rPr>
                <w:rFonts w:eastAsia="Times New Roman" w:cstheme="minorHAnsi"/>
                <w:color w:val="000000"/>
                <w:sz w:val="16"/>
                <w:szCs w:val="16"/>
                <w:lang w:eastAsia="es-MX"/>
              </w:rPr>
            </w:pP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162775" w14:textId="675E2916" w:rsidR="0094375F" w:rsidRPr="00646B6F" w:rsidRDefault="0094375F" w:rsidP="0094375F">
            <w:pPr>
              <w:spacing w:line="240" w:lineRule="auto"/>
              <w:jc w:val="center"/>
              <w:rPr>
                <w:rFonts w:eastAsia="Times New Roman" w:cstheme="minorHAnsi"/>
                <w:color w:val="000000"/>
                <w:sz w:val="16"/>
                <w:szCs w:val="16"/>
                <w:lang w:eastAsia="es-MX"/>
              </w:rPr>
            </w:pPr>
          </w:p>
        </w:tc>
        <w:tc>
          <w:tcPr>
            <w:tcW w:w="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F48C5E" w14:textId="225B20F0" w:rsidR="0094375F" w:rsidRPr="00646B6F" w:rsidRDefault="0094375F" w:rsidP="0094375F">
            <w:pPr>
              <w:spacing w:line="240" w:lineRule="auto"/>
              <w:jc w:val="center"/>
              <w:rPr>
                <w:rFonts w:eastAsia="Times New Roman" w:cstheme="minorHAnsi"/>
                <w:color w:val="000000"/>
                <w:sz w:val="16"/>
                <w:szCs w:val="16"/>
                <w:lang w:eastAsia="es-MX"/>
              </w:rPr>
            </w:pP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B9DC52" w14:textId="1D0B58E7" w:rsidR="0094375F" w:rsidRPr="00646B6F" w:rsidRDefault="0094375F" w:rsidP="0094375F">
            <w:pPr>
              <w:spacing w:line="240" w:lineRule="auto"/>
              <w:jc w:val="center"/>
              <w:rPr>
                <w:rFonts w:eastAsia="Times New Roman" w:cstheme="minorHAnsi"/>
                <w:color w:val="000000"/>
                <w:sz w:val="16"/>
                <w:szCs w:val="16"/>
                <w:lang w:eastAsia="es-MX"/>
              </w:rPr>
            </w:pPr>
          </w:p>
        </w:tc>
        <w:tc>
          <w:tcPr>
            <w:tcW w:w="7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461E65" w14:textId="575E54DB" w:rsidR="0094375F" w:rsidRPr="00646B6F" w:rsidRDefault="0094375F" w:rsidP="0094375F">
            <w:pPr>
              <w:spacing w:line="240" w:lineRule="auto"/>
              <w:jc w:val="center"/>
              <w:rPr>
                <w:rFonts w:eastAsia="Times New Roman" w:cstheme="minorHAnsi"/>
                <w:color w:val="000000"/>
                <w:sz w:val="16"/>
                <w:szCs w:val="16"/>
                <w:lang w:eastAsia="es-MX"/>
              </w:rPr>
            </w:pPr>
          </w:p>
        </w:tc>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08ABAF" w14:textId="58EA4593" w:rsidR="0094375F" w:rsidRPr="00646B6F" w:rsidRDefault="0094375F" w:rsidP="0094375F">
            <w:pPr>
              <w:spacing w:line="240" w:lineRule="auto"/>
              <w:jc w:val="center"/>
              <w:rPr>
                <w:rFonts w:eastAsia="Times New Roman" w:cstheme="minorHAnsi"/>
                <w:color w:val="000000"/>
                <w:sz w:val="16"/>
                <w:szCs w:val="16"/>
                <w:lang w:eastAsia="es-MX"/>
              </w:rPr>
            </w:pPr>
          </w:p>
        </w:tc>
        <w:tc>
          <w:tcPr>
            <w:tcW w:w="9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AF2BC0" w14:textId="2E7C0773" w:rsidR="0094375F" w:rsidRPr="00646B6F" w:rsidRDefault="0094375F" w:rsidP="0094375F">
            <w:pPr>
              <w:spacing w:line="240" w:lineRule="auto"/>
              <w:jc w:val="center"/>
              <w:rPr>
                <w:rFonts w:eastAsia="Times New Roman" w:cstheme="minorHAnsi"/>
                <w:color w:val="000000"/>
                <w:sz w:val="16"/>
                <w:szCs w:val="16"/>
                <w:lang w:eastAsia="es-MX"/>
              </w:rPr>
            </w:pPr>
          </w:p>
        </w:tc>
        <w:tc>
          <w:tcPr>
            <w:tcW w:w="7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2E20B2" w14:textId="7861984F" w:rsidR="0094375F" w:rsidRPr="00646B6F" w:rsidRDefault="0094375F" w:rsidP="0094375F">
            <w:pPr>
              <w:spacing w:line="240" w:lineRule="auto"/>
              <w:jc w:val="center"/>
              <w:rPr>
                <w:rFonts w:eastAsia="Times New Roman" w:cstheme="minorHAnsi"/>
                <w:color w:val="000000"/>
                <w:sz w:val="16"/>
                <w:szCs w:val="16"/>
                <w:lang w:eastAsia="es-MX"/>
              </w:rPr>
            </w:pPr>
            <w:r w:rsidRPr="00646B6F">
              <w:rPr>
                <w:rFonts w:ascii="Calibri" w:hAnsi="Calibri" w:cs="Calibri"/>
                <w:color w:val="000000"/>
                <w:sz w:val="16"/>
                <w:szCs w:val="16"/>
              </w:rPr>
              <w:t>601–800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CC18EE" w14:textId="67368198" w:rsidR="0094375F" w:rsidRPr="00646B6F" w:rsidRDefault="0094375F" w:rsidP="0094375F">
            <w:pPr>
              <w:spacing w:line="240" w:lineRule="auto"/>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66391B" w14:textId="3116949D" w:rsidR="0094375F" w:rsidRPr="00646B6F" w:rsidRDefault="0094375F" w:rsidP="0094375F">
            <w:pPr>
              <w:spacing w:line="240" w:lineRule="auto"/>
              <w:jc w:val="center"/>
              <w:rPr>
                <w:sz w:val="16"/>
                <w:szCs w:val="16"/>
              </w:rPr>
            </w:pPr>
          </w:p>
        </w:tc>
      </w:tr>
      <w:tr w:rsidR="00B513FC" w:rsidRPr="00646B6F" w14:paraId="050A794E" w14:textId="0DA98F43" w:rsidTr="002434E5">
        <w:trPr>
          <w:trHeight w:val="59"/>
          <w:jc w:val="center"/>
        </w:trPr>
        <w:tc>
          <w:tcPr>
            <w:tcW w:w="9998" w:type="dxa"/>
            <w:gridSpan w:val="12"/>
            <w:tcBorders>
              <w:top w:val="single" w:sz="4" w:space="0" w:color="auto"/>
            </w:tcBorders>
          </w:tcPr>
          <w:p w14:paraId="3352A82C" w14:textId="1BD3B092" w:rsidR="00B513FC" w:rsidRPr="00646B6F" w:rsidRDefault="00B513FC" w:rsidP="0078703F">
            <w:pPr>
              <w:spacing w:line="240" w:lineRule="auto"/>
              <w:rPr>
                <w:rFonts w:ascii="Calibri" w:eastAsia="Times New Roman" w:hAnsi="Calibri" w:cs="Calibri"/>
                <w:color w:val="000000"/>
                <w:sz w:val="14"/>
                <w:szCs w:val="18"/>
                <w:lang w:eastAsia="es-MX"/>
              </w:rPr>
            </w:pPr>
            <w:r w:rsidRPr="00646B6F">
              <w:rPr>
                <w:rFonts w:ascii="Calibri" w:eastAsia="Times New Roman" w:hAnsi="Calibri" w:cs="Calibri"/>
                <w:color w:val="000000"/>
                <w:sz w:val="14"/>
                <w:szCs w:val="18"/>
                <w:lang w:eastAsia="es-MX"/>
              </w:rPr>
              <w:t>* Ordenado por el número de disciplinas evaluadas y por nombre.</w:t>
            </w:r>
          </w:p>
        </w:tc>
        <w:tc>
          <w:tcPr>
            <w:tcW w:w="852" w:type="dxa"/>
            <w:gridSpan w:val="2"/>
            <w:tcBorders>
              <w:top w:val="single" w:sz="4" w:space="0" w:color="auto"/>
            </w:tcBorders>
          </w:tcPr>
          <w:p w14:paraId="35B230E7" w14:textId="77777777" w:rsidR="00B513FC" w:rsidRPr="00646B6F" w:rsidRDefault="00B513FC" w:rsidP="0078703F">
            <w:pPr>
              <w:spacing w:line="240" w:lineRule="auto"/>
              <w:rPr>
                <w:rFonts w:ascii="Calibri" w:eastAsia="Times New Roman" w:hAnsi="Calibri" w:cs="Calibri"/>
                <w:color w:val="000000"/>
                <w:sz w:val="14"/>
                <w:szCs w:val="18"/>
                <w:lang w:eastAsia="es-MX"/>
              </w:rPr>
            </w:pPr>
          </w:p>
        </w:tc>
        <w:tc>
          <w:tcPr>
            <w:tcW w:w="855" w:type="dxa"/>
            <w:gridSpan w:val="2"/>
            <w:tcBorders>
              <w:top w:val="single" w:sz="4" w:space="0" w:color="auto"/>
            </w:tcBorders>
          </w:tcPr>
          <w:p w14:paraId="3CE9B7A2" w14:textId="14E52467" w:rsidR="00B513FC" w:rsidRPr="00646B6F" w:rsidRDefault="00B513FC" w:rsidP="0078703F">
            <w:pPr>
              <w:spacing w:line="240" w:lineRule="auto"/>
              <w:rPr>
                <w:rFonts w:ascii="Calibri" w:eastAsia="Times New Roman" w:hAnsi="Calibri" w:cs="Calibri"/>
                <w:color w:val="000000"/>
                <w:sz w:val="14"/>
                <w:szCs w:val="18"/>
                <w:lang w:eastAsia="es-MX"/>
              </w:rPr>
            </w:pPr>
          </w:p>
        </w:tc>
      </w:tr>
    </w:tbl>
    <w:p w14:paraId="7CF07A62" w14:textId="6244E35D" w:rsidR="001718E6" w:rsidRPr="00646B6F" w:rsidRDefault="001718E6" w:rsidP="0078703F">
      <w:pPr>
        <w:spacing w:line="240" w:lineRule="auto"/>
        <w:jc w:val="both"/>
        <w:rPr>
          <w:sz w:val="16"/>
        </w:rPr>
      </w:pPr>
    </w:p>
    <w:p w14:paraId="1C429513" w14:textId="032C67FF" w:rsidR="00FA47B6" w:rsidRPr="00646B6F" w:rsidRDefault="00FA47B6" w:rsidP="0078703F">
      <w:pPr>
        <w:pStyle w:val="ListParagraph"/>
        <w:numPr>
          <w:ilvl w:val="0"/>
          <w:numId w:val="1"/>
        </w:numPr>
        <w:spacing w:line="240" w:lineRule="auto"/>
        <w:jc w:val="both"/>
        <w:rPr>
          <w:sz w:val="24"/>
        </w:rPr>
      </w:pPr>
      <w:r w:rsidRPr="00646B6F">
        <w:rPr>
          <w:sz w:val="24"/>
        </w:rPr>
        <w:t>La UNAM es la universidad mexica</w:t>
      </w:r>
      <w:r w:rsidR="00273221" w:rsidRPr="00646B6F">
        <w:rPr>
          <w:sz w:val="24"/>
        </w:rPr>
        <w:t>na</w:t>
      </w:r>
      <w:r w:rsidRPr="00646B6F">
        <w:rPr>
          <w:sz w:val="24"/>
        </w:rPr>
        <w:t xml:space="preserve"> mejor posicionada y con </w:t>
      </w:r>
      <w:r w:rsidR="00E170CD">
        <w:rPr>
          <w:sz w:val="24"/>
        </w:rPr>
        <w:t>el</w:t>
      </w:r>
      <w:r w:rsidRPr="00646B6F">
        <w:rPr>
          <w:sz w:val="24"/>
        </w:rPr>
        <w:t xml:space="preserve"> mayor número de áreas de conocimiento clasificadas en el ranking THE</w:t>
      </w:r>
      <w:r w:rsidR="0087278D" w:rsidRPr="00646B6F">
        <w:rPr>
          <w:sz w:val="24"/>
        </w:rPr>
        <w:t xml:space="preserve"> (</w:t>
      </w:r>
      <w:r w:rsidR="00C70E4F" w:rsidRPr="00646B6F">
        <w:rPr>
          <w:sz w:val="24"/>
        </w:rPr>
        <w:t xml:space="preserve">11 </w:t>
      </w:r>
      <w:r w:rsidRPr="00646B6F">
        <w:rPr>
          <w:sz w:val="24"/>
        </w:rPr>
        <w:t xml:space="preserve">áreas </w:t>
      </w:r>
      <w:r w:rsidR="00C70E4F" w:rsidRPr="00646B6F">
        <w:rPr>
          <w:sz w:val="24"/>
        </w:rPr>
        <w:t>de 11 posibles</w:t>
      </w:r>
      <w:r w:rsidR="0087278D" w:rsidRPr="00646B6F">
        <w:rPr>
          <w:sz w:val="24"/>
        </w:rPr>
        <w:t>)</w:t>
      </w:r>
      <w:r w:rsidRPr="00646B6F">
        <w:rPr>
          <w:sz w:val="24"/>
        </w:rPr>
        <w:t>.</w:t>
      </w:r>
    </w:p>
    <w:p w14:paraId="305FF761" w14:textId="77777777" w:rsidR="004A3C2A" w:rsidRPr="00646B6F" w:rsidRDefault="004A3C2A" w:rsidP="004A3C2A">
      <w:pPr>
        <w:pStyle w:val="ListParagraph"/>
        <w:spacing w:line="240" w:lineRule="auto"/>
        <w:jc w:val="both"/>
        <w:rPr>
          <w:sz w:val="24"/>
        </w:rPr>
      </w:pPr>
    </w:p>
    <w:p w14:paraId="21F44D68" w14:textId="599E5B7B" w:rsidR="00C70E4F" w:rsidRPr="00646B6F" w:rsidRDefault="00C70E4F" w:rsidP="004A3C2A">
      <w:pPr>
        <w:pStyle w:val="ListParagraph"/>
        <w:numPr>
          <w:ilvl w:val="0"/>
          <w:numId w:val="1"/>
        </w:numPr>
        <w:spacing w:line="240" w:lineRule="auto"/>
        <w:jc w:val="both"/>
        <w:rPr>
          <w:sz w:val="24"/>
        </w:rPr>
      </w:pPr>
      <w:r w:rsidRPr="00646B6F">
        <w:rPr>
          <w:sz w:val="24"/>
        </w:rPr>
        <w:t xml:space="preserve">Considerando </w:t>
      </w:r>
      <w:r w:rsidR="0032322D" w:rsidRPr="00646B6F">
        <w:rPr>
          <w:sz w:val="24"/>
        </w:rPr>
        <w:t>la posición de la UNAM en las diversas áreas del conocimiento</w:t>
      </w:r>
      <w:r w:rsidRPr="00646B6F">
        <w:rPr>
          <w:sz w:val="24"/>
        </w:rPr>
        <w:t>, se pueden hacer las siguientes precisiones:</w:t>
      </w:r>
    </w:p>
    <w:p w14:paraId="4BFE328A" w14:textId="7EB0B82D" w:rsidR="00AE758B" w:rsidRDefault="00C70E4F" w:rsidP="004A3C2A">
      <w:pPr>
        <w:pStyle w:val="ListParagraph"/>
        <w:numPr>
          <w:ilvl w:val="1"/>
          <w:numId w:val="26"/>
        </w:numPr>
        <w:spacing w:line="240" w:lineRule="auto"/>
        <w:ind w:hanging="164"/>
        <w:jc w:val="both"/>
        <w:rPr>
          <w:sz w:val="24"/>
        </w:rPr>
      </w:pPr>
      <w:r w:rsidRPr="00646B6F">
        <w:rPr>
          <w:b/>
          <w:sz w:val="24"/>
        </w:rPr>
        <w:t>Artes y Humanidades</w:t>
      </w:r>
      <w:r w:rsidRPr="00646B6F">
        <w:rPr>
          <w:sz w:val="24"/>
        </w:rPr>
        <w:t xml:space="preserve">: </w:t>
      </w:r>
      <w:r w:rsidR="00442613" w:rsidRPr="00646B6F">
        <w:rPr>
          <w:sz w:val="24"/>
        </w:rPr>
        <w:t xml:space="preserve">Es el área mejor clasificada, al ubicarse en </w:t>
      </w:r>
      <w:r w:rsidR="00AE758B" w:rsidRPr="00646B6F">
        <w:rPr>
          <w:sz w:val="24"/>
        </w:rPr>
        <w:t xml:space="preserve">el </w:t>
      </w:r>
      <w:r w:rsidRPr="00646B6F">
        <w:rPr>
          <w:sz w:val="24"/>
        </w:rPr>
        <w:t>rango 101-125</w:t>
      </w:r>
      <w:r w:rsidR="00442613" w:rsidRPr="00646B6F">
        <w:rPr>
          <w:sz w:val="24"/>
        </w:rPr>
        <w:t xml:space="preserve"> del ranking</w:t>
      </w:r>
      <w:r w:rsidRPr="00646B6F">
        <w:rPr>
          <w:sz w:val="24"/>
        </w:rPr>
        <w:t>.</w:t>
      </w:r>
    </w:p>
    <w:p w14:paraId="17797837" w14:textId="5ACEF52C" w:rsidR="00E170CD" w:rsidRPr="00646B6F" w:rsidRDefault="00E170CD" w:rsidP="00E170CD">
      <w:pPr>
        <w:pStyle w:val="ListParagraph"/>
        <w:numPr>
          <w:ilvl w:val="1"/>
          <w:numId w:val="26"/>
        </w:numPr>
        <w:spacing w:line="240" w:lineRule="auto"/>
        <w:ind w:hanging="164"/>
        <w:jc w:val="both"/>
        <w:rPr>
          <w:sz w:val="24"/>
        </w:rPr>
      </w:pPr>
      <w:r>
        <w:rPr>
          <w:sz w:val="24"/>
        </w:rPr>
        <w:t>Se</w:t>
      </w:r>
      <w:r w:rsidRPr="00646B6F">
        <w:rPr>
          <w:sz w:val="24"/>
        </w:rPr>
        <w:t xml:space="preserve"> mantuvo la misma posición</w:t>
      </w:r>
      <w:r>
        <w:rPr>
          <w:sz w:val="24"/>
        </w:rPr>
        <w:t xml:space="preserve"> en las siguientes áreas de conocimiento: </w:t>
      </w:r>
      <w:r w:rsidRPr="00646B6F">
        <w:rPr>
          <w:sz w:val="24"/>
        </w:rPr>
        <w:t xml:space="preserve"> </w:t>
      </w:r>
      <w:r w:rsidRPr="00646B6F">
        <w:rPr>
          <w:b/>
          <w:bCs/>
          <w:sz w:val="24"/>
        </w:rPr>
        <w:t>Ciencias Sociales</w:t>
      </w:r>
      <w:r w:rsidRPr="00646B6F">
        <w:rPr>
          <w:sz w:val="24"/>
        </w:rPr>
        <w:t xml:space="preserve"> (301–400), </w:t>
      </w:r>
      <w:r w:rsidRPr="00646B6F">
        <w:rPr>
          <w:b/>
          <w:bCs/>
          <w:sz w:val="24"/>
        </w:rPr>
        <w:t>Psicología</w:t>
      </w:r>
      <w:r w:rsidRPr="00646B6F">
        <w:rPr>
          <w:sz w:val="24"/>
        </w:rPr>
        <w:t xml:space="preserve"> (301–400), </w:t>
      </w:r>
      <w:r w:rsidRPr="00646B6F">
        <w:rPr>
          <w:b/>
          <w:bCs/>
          <w:sz w:val="24"/>
        </w:rPr>
        <w:t>Ciencias de la Vida</w:t>
      </w:r>
      <w:r w:rsidRPr="00646B6F">
        <w:rPr>
          <w:sz w:val="24"/>
        </w:rPr>
        <w:t xml:space="preserve"> (501–600), </w:t>
      </w:r>
      <w:r w:rsidRPr="00646B6F">
        <w:rPr>
          <w:b/>
          <w:bCs/>
          <w:sz w:val="24"/>
        </w:rPr>
        <w:t>Ciencias Físicas</w:t>
      </w:r>
      <w:r w:rsidRPr="00646B6F">
        <w:rPr>
          <w:sz w:val="24"/>
        </w:rPr>
        <w:t xml:space="preserve"> (601–800), e </w:t>
      </w:r>
      <w:r w:rsidRPr="00646B6F">
        <w:rPr>
          <w:b/>
          <w:sz w:val="24"/>
        </w:rPr>
        <w:t>Ingeniería y Tecnología</w:t>
      </w:r>
      <w:r w:rsidRPr="00646B6F">
        <w:rPr>
          <w:sz w:val="24"/>
        </w:rPr>
        <w:t xml:space="preserve"> (601-800)</w:t>
      </w:r>
      <w:r w:rsidRPr="00646B6F">
        <w:rPr>
          <w:b/>
          <w:sz w:val="24"/>
        </w:rPr>
        <w:t>.</w:t>
      </w:r>
    </w:p>
    <w:p w14:paraId="58C019ED" w14:textId="56F2A491" w:rsidR="00C70E4F" w:rsidRPr="00646B6F" w:rsidRDefault="00C70E4F" w:rsidP="004A3C2A">
      <w:pPr>
        <w:pStyle w:val="ListParagraph"/>
        <w:numPr>
          <w:ilvl w:val="1"/>
          <w:numId w:val="26"/>
        </w:numPr>
        <w:spacing w:line="240" w:lineRule="auto"/>
        <w:ind w:hanging="164"/>
        <w:jc w:val="both"/>
        <w:rPr>
          <w:sz w:val="24"/>
        </w:rPr>
      </w:pPr>
      <w:r w:rsidRPr="00646B6F">
        <w:rPr>
          <w:b/>
          <w:sz w:val="24"/>
        </w:rPr>
        <w:t>Derecho</w:t>
      </w:r>
      <w:r w:rsidRPr="00646B6F">
        <w:rPr>
          <w:sz w:val="24"/>
        </w:rPr>
        <w:t xml:space="preserve">: Se presentó un </w:t>
      </w:r>
      <w:r w:rsidR="00D1324A" w:rsidRPr="00646B6F">
        <w:rPr>
          <w:sz w:val="24"/>
        </w:rPr>
        <w:t>decremento</w:t>
      </w:r>
      <w:r w:rsidRPr="00646B6F">
        <w:rPr>
          <w:sz w:val="24"/>
        </w:rPr>
        <w:t xml:space="preserve"> al bajar del rango </w:t>
      </w:r>
      <w:r w:rsidR="00803B13" w:rsidRPr="00646B6F">
        <w:rPr>
          <w:sz w:val="24"/>
        </w:rPr>
        <w:t>101–125 al rango 176–200</w:t>
      </w:r>
      <w:r w:rsidRPr="00646B6F">
        <w:rPr>
          <w:sz w:val="24"/>
        </w:rPr>
        <w:t>.</w:t>
      </w:r>
    </w:p>
    <w:p w14:paraId="5CAF88AA" w14:textId="50A07226" w:rsidR="00C70E4F" w:rsidRPr="00646B6F" w:rsidRDefault="00C70E4F" w:rsidP="004A3C2A">
      <w:pPr>
        <w:pStyle w:val="ListParagraph"/>
        <w:numPr>
          <w:ilvl w:val="1"/>
          <w:numId w:val="26"/>
        </w:numPr>
        <w:spacing w:line="240" w:lineRule="auto"/>
        <w:ind w:hanging="164"/>
        <w:jc w:val="both"/>
        <w:rPr>
          <w:sz w:val="24"/>
        </w:rPr>
      </w:pPr>
      <w:r w:rsidRPr="00646B6F">
        <w:rPr>
          <w:b/>
          <w:sz w:val="24"/>
        </w:rPr>
        <w:t>Educación</w:t>
      </w:r>
      <w:r w:rsidRPr="00646B6F">
        <w:rPr>
          <w:sz w:val="24"/>
        </w:rPr>
        <w:t xml:space="preserve">: </w:t>
      </w:r>
      <w:r w:rsidR="00442613" w:rsidRPr="00646B6F">
        <w:rPr>
          <w:sz w:val="24"/>
        </w:rPr>
        <w:t>P</w:t>
      </w:r>
      <w:r w:rsidRPr="00646B6F">
        <w:rPr>
          <w:sz w:val="24"/>
        </w:rPr>
        <w:t xml:space="preserve">asó </w:t>
      </w:r>
      <w:r w:rsidR="000404DE" w:rsidRPr="00646B6F">
        <w:rPr>
          <w:sz w:val="24"/>
        </w:rPr>
        <w:t xml:space="preserve">de ser clasificada en el </w:t>
      </w:r>
      <w:r w:rsidRPr="00646B6F">
        <w:rPr>
          <w:sz w:val="24"/>
        </w:rPr>
        <w:t xml:space="preserve">rango </w:t>
      </w:r>
      <w:r w:rsidR="00803B13" w:rsidRPr="00646B6F">
        <w:rPr>
          <w:sz w:val="24"/>
        </w:rPr>
        <w:t>151–175</w:t>
      </w:r>
      <w:r w:rsidR="00580993" w:rsidRPr="00646B6F">
        <w:rPr>
          <w:sz w:val="24"/>
        </w:rPr>
        <w:t xml:space="preserve"> en la edición 2020</w:t>
      </w:r>
      <w:r w:rsidR="00D1324A" w:rsidRPr="00646B6F">
        <w:rPr>
          <w:sz w:val="24"/>
        </w:rPr>
        <w:t xml:space="preserve"> </w:t>
      </w:r>
      <w:r w:rsidRPr="00646B6F">
        <w:rPr>
          <w:sz w:val="24"/>
        </w:rPr>
        <w:t xml:space="preserve">al </w:t>
      </w:r>
      <w:r w:rsidR="00D1324A" w:rsidRPr="00646B6F">
        <w:rPr>
          <w:sz w:val="24"/>
        </w:rPr>
        <w:t xml:space="preserve">rango </w:t>
      </w:r>
      <w:r w:rsidR="00803B13" w:rsidRPr="00646B6F">
        <w:rPr>
          <w:sz w:val="24"/>
        </w:rPr>
        <w:t xml:space="preserve">176–200 </w:t>
      </w:r>
      <w:r w:rsidR="00D1324A" w:rsidRPr="00646B6F">
        <w:rPr>
          <w:sz w:val="24"/>
        </w:rPr>
        <w:t xml:space="preserve">en </w:t>
      </w:r>
      <w:r w:rsidR="00803B13" w:rsidRPr="00646B6F">
        <w:rPr>
          <w:sz w:val="24"/>
        </w:rPr>
        <w:t xml:space="preserve">la edición </w:t>
      </w:r>
      <w:r w:rsidR="00D1324A" w:rsidRPr="00646B6F">
        <w:rPr>
          <w:sz w:val="24"/>
        </w:rPr>
        <w:t>202</w:t>
      </w:r>
      <w:r w:rsidR="00803B13" w:rsidRPr="00646B6F">
        <w:rPr>
          <w:sz w:val="24"/>
        </w:rPr>
        <w:t>1</w:t>
      </w:r>
      <w:r w:rsidRPr="00646B6F">
        <w:rPr>
          <w:sz w:val="24"/>
        </w:rPr>
        <w:t>.</w:t>
      </w:r>
    </w:p>
    <w:p w14:paraId="6FA8D516" w14:textId="0287C288" w:rsidR="00C70E4F" w:rsidRPr="00646B6F" w:rsidRDefault="00442613" w:rsidP="004A3C2A">
      <w:pPr>
        <w:pStyle w:val="ListParagraph"/>
        <w:numPr>
          <w:ilvl w:val="1"/>
          <w:numId w:val="26"/>
        </w:numPr>
        <w:spacing w:line="240" w:lineRule="auto"/>
        <w:ind w:hanging="164"/>
        <w:jc w:val="both"/>
        <w:rPr>
          <w:sz w:val="24"/>
        </w:rPr>
      </w:pPr>
      <w:r w:rsidRPr="00646B6F">
        <w:rPr>
          <w:b/>
          <w:sz w:val="24"/>
        </w:rPr>
        <w:t>Clínica, Pre-Clínica y Salud</w:t>
      </w:r>
      <w:r w:rsidR="00C70E4F" w:rsidRPr="00646B6F">
        <w:rPr>
          <w:sz w:val="24"/>
        </w:rPr>
        <w:t xml:space="preserve">: </w:t>
      </w:r>
      <w:r w:rsidR="00E170CD">
        <w:rPr>
          <w:sz w:val="24"/>
        </w:rPr>
        <w:t>Bajó del</w:t>
      </w:r>
      <w:r w:rsidRPr="00646B6F">
        <w:rPr>
          <w:sz w:val="24"/>
        </w:rPr>
        <w:t xml:space="preserve"> </w:t>
      </w:r>
      <w:r w:rsidR="00D1324A" w:rsidRPr="00646B6F">
        <w:rPr>
          <w:sz w:val="24"/>
        </w:rPr>
        <w:t>rango 401-500 en 20</w:t>
      </w:r>
      <w:r w:rsidR="00771A51">
        <w:rPr>
          <w:sz w:val="24"/>
        </w:rPr>
        <w:t>20</w:t>
      </w:r>
      <w:r w:rsidR="00D1324A" w:rsidRPr="00646B6F">
        <w:rPr>
          <w:sz w:val="24"/>
        </w:rPr>
        <w:t xml:space="preserve"> al rango 501–600 en la edición 202</w:t>
      </w:r>
      <w:r w:rsidR="00771A51">
        <w:rPr>
          <w:sz w:val="24"/>
        </w:rPr>
        <w:t>1</w:t>
      </w:r>
      <w:r w:rsidR="00D1324A" w:rsidRPr="00646B6F">
        <w:rPr>
          <w:sz w:val="24"/>
        </w:rPr>
        <w:t>.</w:t>
      </w:r>
    </w:p>
    <w:p w14:paraId="2CB4B584" w14:textId="22595EBF" w:rsidR="00C70E4F" w:rsidRPr="00646B6F" w:rsidRDefault="006C6B3A" w:rsidP="004A3C2A">
      <w:pPr>
        <w:pStyle w:val="ListParagraph"/>
        <w:numPr>
          <w:ilvl w:val="1"/>
          <w:numId w:val="26"/>
        </w:numPr>
        <w:spacing w:line="240" w:lineRule="auto"/>
        <w:ind w:hanging="164"/>
        <w:jc w:val="both"/>
        <w:rPr>
          <w:sz w:val="24"/>
        </w:rPr>
      </w:pPr>
      <w:r w:rsidRPr="00646B6F">
        <w:rPr>
          <w:b/>
          <w:sz w:val="24"/>
        </w:rPr>
        <w:t>Negocios y Economía</w:t>
      </w:r>
      <w:r w:rsidR="00C70E4F" w:rsidRPr="00646B6F">
        <w:rPr>
          <w:sz w:val="24"/>
        </w:rPr>
        <w:t xml:space="preserve">: </w:t>
      </w:r>
      <w:r w:rsidRPr="00646B6F">
        <w:rPr>
          <w:sz w:val="24"/>
        </w:rPr>
        <w:t>Se presento un decremento al bajar del rango 501+</w:t>
      </w:r>
      <w:r w:rsidR="00D1324A" w:rsidRPr="00646B6F">
        <w:rPr>
          <w:sz w:val="24"/>
        </w:rPr>
        <w:t xml:space="preserve"> al </w:t>
      </w:r>
      <w:r w:rsidRPr="00646B6F">
        <w:rPr>
          <w:sz w:val="24"/>
        </w:rPr>
        <w:t>rango 601+</w:t>
      </w:r>
      <w:r w:rsidR="00D1324A" w:rsidRPr="00646B6F">
        <w:rPr>
          <w:sz w:val="24"/>
        </w:rPr>
        <w:t>.</w:t>
      </w:r>
    </w:p>
    <w:p w14:paraId="020E2B2B" w14:textId="2D3E7FE6" w:rsidR="00C70E4F" w:rsidRPr="00646B6F" w:rsidRDefault="00C70E4F" w:rsidP="004A3C2A">
      <w:pPr>
        <w:pStyle w:val="ListParagraph"/>
        <w:numPr>
          <w:ilvl w:val="1"/>
          <w:numId w:val="26"/>
        </w:numPr>
        <w:spacing w:line="240" w:lineRule="auto"/>
        <w:ind w:hanging="164"/>
        <w:jc w:val="both"/>
        <w:rPr>
          <w:sz w:val="24"/>
        </w:rPr>
      </w:pPr>
      <w:r w:rsidRPr="00646B6F">
        <w:rPr>
          <w:b/>
          <w:sz w:val="24"/>
        </w:rPr>
        <w:t>Ciencias de la Computación</w:t>
      </w:r>
      <w:r w:rsidRPr="00646B6F">
        <w:rPr>
          <w:sz w:val="24"/>
        </w:rPr>
        <w:t xml:space="preserve">: </w:t>
      </w:r>
      <w:r w:rsidR="00D1324A" w:rsidRPr="00646B6F">
        <w:rPr>
          <w:sz w:val="24"/>
        </w:rPr>
        <w:t xml:space="preserve">El rango pasó </w:t>
      </w:r>
      <w:r w:rsidR="00912639" w:rsidRPr="00646B6F">
        <w:rPr>
          <w:sz w:val="24"/>
        </w:rPr>
        <w:t xml:space="preserve">del lugar 601+ </w:t>
      </w:r>
      <w:r w:rsidR="00D1324A" w:rsidRPr="00646B6F">
        <w:rPr>
          <w:sz w:val="24"/>
        </w:rPr>
        <w:t>en la edición 20</w:t>
      </w:r>
      <w:r w:rsidR="00912639" w:rsidRPr="00646B6F">
        <w:rPr>
          <w:sz w:val="24"/>
        </w:rPr>
        <w:t>20</w:t>
      </w:r>
      <w:r w:rsidR="00D1324A" w:rsidRPr="00646B6F">
        <w:rPr>
          <w:sz w:val="24"/>
        </w:rPr>
        <w:t xml:space="preserve"> al rango </w:t>
      </w:r>
      <w:r w:rsidR="00912639" w:rsidRPr="00646B6F">
        <w:rPr>
          <w:sz w:val="24"/>
        </w:rPr>
        <w:t xml:space="preserve">601–800 </w:t>
      </w:r>
      <w:r w:rsidR="00D1324A" w:rsidRPr="00646B6F">
        <w:rPr>
          <w:sz w:val="24"/>
        </w:rPr>
        <w:t xml:space="preserve">en </w:t>
      </w:r>
      <w:r w:rsidR="00912639" w:rsidRPr="00646B6F">
        <w:rPr>
          <w:sz w:val="24"/>
        </w:rPr>
        <w:t xml:space="preserve">la edición </w:t>
      </w:r>
      <w:r w:rsidR="00D1324A" w:rsidRPr="00646B6F">
        <w:rPr>
          <w:sz w:val="24"/>
        </w:rPr>
        <w:t>202</w:t>
      </w:r>
      <w:r w:rsidR="00912639" w:rsidRPr="00646B6F">
        <w:rPr>
          <w:sz w:val="24"/>
        </w:rPr>
        <w:t>1</w:t>
      </w:r>
      <w:r w:rsidR="00D1324A" w:rsidRPr="00646B6F">
        <w:rPr>
          <w:sz w:val="24"/>
        </w:rPr>
        <w:t>.</w:t>
      </w:r>
    </w:p>
    <w:p w14:paraId="75625FA6" w14:textId="77777777" w:rsidR="0087278D" w:rsidRPr="00646B6F" w:rsidRDefault="0087278D" w:rsidP="0078703F">
      <w:pPr>
        <w:pStyle w:val="ListParagraph"/>
        <w:spacing w:line="240" w:lineRule="auto"/>
        <w:ind w:left="1440"/>
        <w:jc w:val="both"/>
        <w:rPr>
          <w:sz w:val="24"/>
        </w:rPr>
      </w:pPr>
    </w:p>
    <w:p w14:paraId="6AC09C45" w14:textId="0B64F21D" w:rsidR="006957E4" w:rsidRPr="00646B6F" w:rsidRDefault="00A64FCC" w:rsidP="00A64FCC">
      <w:pPr>
        <w:pStyle w:val="ListParagraph"/>
        <w:numPr>
          <w:ilvl w:val="0"/>
          <w:numId w:val="1"/>
        </w:numPr>
        <w:spacing w:line="240" w:lineRule="auto"/>
        <w:jc w:val="both"/>
        <w:rPr>
          <w:sz w:val="24"/>
        </w:rPr>
      </w:pPr>
      <w:r w:rsidRPr="00646B6F">
        <w:rPr>
          <w:sz w:val="24"/>
        </w:rPr>
        <w:t xml:space="preserve">Tomando en cuenta el desempeño de la UNAM en cada uno de los </w:t>
      </w:r>
      <w:r w:rsidR="00646B6F" w:rsidRPr="00646B6F">
        <w:rPr>
          <w:sz w:val="24"/>
        </w:rPr>
        <w:t>5</w:t>
      </w:r>
      <w:r w:rsidRPr="00646B6F">
        <w:rPr>
          <w:sz w:val="24"/>
        </w:rPr>
        <w:t xml:space="preserve"> indicadores que se consideran </w:t>
      </w:r>
      <w:r w:rsidR="002434E5" w:rsidRPr="00646B6F">
        <w:rPr>
          <w:sz w:val="24"/>
        </w:rPr>
        <w:t>por</w:t>
      </w:r>
      <w:r w:rsidRPr="00646B6F">
        <w:rPr>
          <w:sz w:val="24"/>
        </w:rPr>
        <w:t xml:space="preserve"> cada área del conocimiento</w:t>
      </w:r>
      <w:r w:rsidR="006957E4" w:rsidRPr="00646B6F">
        <w:rPr>
          <w:sz w:val="24"/>
        </w:rPr>
        <w:t xml:space="preserve">, se </w:t>
      </w:r>
      <w:r w:rsidR="00646B6F" w:rsidRPr="00646B6F">
        <w:rPr>
          <w:sz w:val="24"/>
        </w:rPr>
        <w:t xml:space="preserve">destaca </w:t>
      </w:r>
      <w:r w:rsidR="006957E4" w:rsidRPr="00646B6F">
        <w:rPr>
          <w:sz w:val="24"/>
        </w:rPr>
        <w:t>lo siguiente:</w:t>
      </w:r>
    </w:p>
    <w:p w14:paraId="7041860B" w14:textId="08019CF4" w:rsidR="00646B6F" w:rsidRPr="00646B6F" w:rsidRDefault="00646B6F" w:rsidP="005A3FC1">
      <w:pPr>
        <w:pStyle w:val="ListParagraph"/>
        <w:numPr>
          <w:ilvl w:val="1"/>
          <w:numId w:val="24"/>
        </w:numPr>
        <w:spacing w:line="240" w:lineRule="auto"/>
        <w:jc w:val="both"/>
        <w:rPr>
          <w:bCs/>
          <w:sz w:val="24"/>
        </w:rPr>
      </w:pPr>
      <w:r w:rsidRPr="00646B6F">
        <w:rPr>
          <w:b/>
          <w:sz w:val="24"/>
        </w:rPr>
        <w:t>Docencia</w:t>
      </w:r>
      <w:r w:rsidR="006F3FA2" w:rsidRPr="00646B6F">
        <w:rPr>
          <w:sz w:val="24"/>
        </w:rPr>
        <w:t>: El área de</w:t>
      </w:r>
      <w:r w:rsidR="006F3FA2" w:rsidRPr="00646B6F">
        <w:rPr>
          <w:b/>
          <w:sz w:val="24"/>
        </w:rPr>
        <w:t xml:space="preserve"> </w:t>
      </w:r>
      <w:r w:rsidRPr="00646B6F">
        <w:rPr>
          <w:bCs/>
          <w:sz w:val="24"/>
        </w:rPr>
        <w:t>Educación fue clasificada con un puntaje de 54.7, Artes y Humanidades con 46.2 puntos, y Ciencias Sociales con 38.1 puntos.</w:t>
      </w:r>
    </w:p>
    <w:p w14:paraId="3A885DB8" w14:textId="3C387110" w:rsidR="006F3FA2" w:rsidRPr="00646B6F" w:rsidRDefault="00646B6F" w:rsidP="005A3FC1">
      <w:pPr>
        <w:pStyle w:val="ListParagraph"/>
        <w:numPr>
          <w:ilvl w:val="1"/>
          <w:numId w:val="24"/>
        </w:numPr>
        <w:spacing w:line="240" w:lineRule="auto"/>
        <w:jc w:val="both"/>
        <w:rPr>
          <w:sz w:val="24"/>
        </w:rPr>
      </w:pPr>
      <w:r w:rsidRPr="00646B6F">
        <w:rPr>
          <w:b/>
          <w:sz w:val="24"/>
        </w:rPr>
        <w:t>Investigación</w:t>
      </w:r>
      <w:r w:rsidR="006F3FA2" w:rsidRPr="00646B6F">
        <w:rPr>
          <w:sz w:val="24"/>
        </w:rPr>
        <w:t xml:space="preserve">: </w:t>
      </w:r>
      <w:r w:rsidRPr="00646B6F">
        <w:rPr>
          <w:sz w:val="24"/>
        </w:rPr>
        <w:t xml:space="preserve">Se destaca el </w:t>
      </w:r>
      <w:r w:rsidR="00335FEE" w:rsidRPr="00646B6F">
        <w:rPr>
          <w:sz w:val="24"/>
        </w:rPr>
        <w:t xml:space="preserve">área de </w:t>
      </w:r>
      <w:r w:rsidRPr="00646B6F">
        <w:rPr>
          <w:sz w:val="24"/>
        </w:rPr>
        <w:t xml:space="preserve">Derecho con 84.9 puntos, seguida del área de Educación con 81.3 puntos, y Psicología con 49.7 </w:t>
      </w:r>
      <w:r w:rsidR="00335FEE" w:rsidRPr="00646B6F">
        <w:rPr>
          <w:sz w:val="24"/>
        </w:rPr>
        <w:t xml:space="preserve">puntos. </w:t>
      </w:r>
    </w:p>
    <w:p w14:paraId="6669F947" w14:textId="2C44A5DC" w:rsidR="006F3FA2" w:rsidRPr="00646B6F" w:rsidRDefault="00646B6F" w:rsidP="00646B6F">
      <w:pPr>
        <w:pStyle w:val="ListParagraph"/>
        <w:numPr>
          <w:ilvl w:val="1"/>
          <w:numId w:val="24"/>
        </w:numPr>
        <w:spacing w:line="240" w:lineRule="auto"/>
        <w:jc w:val="both"/>
        <w:rPr>
          <w:sz w:val="24"/>
        </w:rPr>
      </w:pPr>
      <w:r w:rsidRPr="00646B6F">
        <w:rPr>
          <w:b/>
          <w:sz w:val="24"/>
        </w:rPr>
        <w:t>Citas</w:t>
      </w:r>
      <w:r w:rsidR="00335FEE" w:rsidRPr="00646B6F">
        <w:rPr>
          <w:sz w:val="24"/>
        </w:rPr>
        <w:t xml:space="preserve">: </w:t>
      </w:r>
      <w:r w:rsidRPr="00646B6F">
        <w:rPr>
          <w:sz w:val="24"/>
        </w:rPr>
        <w:t>El área de</w:t>
      </w:r>
      <w:r w:rsidRPr="00646B6F">
        <w:rPr>
          <w:b/>
          <w:sz w:val="24"/>
        </w:rPr>
        <w:t xml:space="preserve"> </w:t>
      </w:r>
      <w:r w:rsidRPr="00646B6F">
        <w:rPr>
          <w:sz w:val="24"/>
        </w:rPr>
        <w:t>Psicología fue clasificada con un puntaje de 47.1, Educación con 45.2, y Clínica, Pre-Clínica y Salud con 34.8.</w:t>
      </w:r>
    </w:p>
    <w:p w14:paraId="74D30242" w14:textId="2CA1A31A" w:rsidR="00646B6F" w:rsidRPr="00646B6F" w:rsidRDefault="00646B6F" w:rsidP="00646B6F">
      <w:pPr>
        <w:pStyle w:val="ListParagraph"/>
        <w:numPr>
          <w:ilvl w:val="1"/>
          <w:numId w:val="24"/>
        </w:numPr>
        <w:spacing w:line="240" w:lineRule="auto"/>
        <w:jc w:val="both"/>
        <w:rPr>
          <w:sz w:val="24"/>
        </w:rPr>
      </w:pPr>
      <w:r w:rsidRPr="00646B6F">
        <w:rPr>
          <w:b/>
          <w:sz w:val="24"/>
        </w:rPr>
        <w:t>Financiamiento de la industria</w:t>
      </w:r>
      <w:r w:rsidRPr="00646B6F">
        <w:rPr>
          <w:sz w:val="24"/>
        </w:rPr>
        <w:t>: Sobresale el área de</w:t>
      </w:r>
      <w:r w:rsidRPr="00646B6F">
        <w:rPr>
          <w:b/>
          <w:sz w:val="24"/>
        </w:rPr>
        <w:t xml:space="preserve"> </w:t>
      </w:r>
      <w:r w:rsidRPr="00646B6F">
        <w:rPr>
          <w:sz w:val="24"/>
        </w:rPr>
        <w:t>Artes y Humanidades con 96.5 puntos de 100 posibles, en segundo lugar</w:t>
      </w:r>
      <w:r w:rsidR="00E170CD">
        <w:rPr>
          <w:sz w:val="24"/>
        </w:rPr>
        <w:t>,</w:t>
      </w:r>
      <w:r w:rsidRPr="00646B6F">
        <w:rPr>
          <w:sz w:val="24"/>
        </w:rPr>
        <w:t xml:space="preserve"> Ciencias Sociales con 87.4 puntos, y</w:t>
      </w:r>
      <w:r w:rsidR="00E170CD">
        <w:rPr>
          <w:sz w:val="24"/>
        </w:rPr>
        <w:t>,</w:t>
      </w:r>
      <w:r w:rsidRPr="00646B6F">
        <w:rPr>
          <w:sz w:val="24"/>
        </w:rPr>
        <w:t xml:space="preserve"> en tercer lugar, Ciencias Físicas con 86 puntos.</w:t>
      </w:r>
    </w:p>
    <w:p w14:paraId="15D3AE50" w14:textId="3EB8391F" w:rsidR="00646B6F" w:rsidRPr="00646B6F" w:rsidRDefault="00646B6F" w:rsidP="00646B6F">
      <w:pPr>
        <w:pStyle w:val="ListParagraph"/>
        <w:numPr>
          <w:ilvl w:val="1"/>
          <w:numId w:val="24"/>
        </w:numPr>
        <w:spacing w:line="240" w:lineRule="auto"/>
        <w:jc w:val="both"/>
        <w:rPr>
          <w:sz w:val="24"/>
        </w:rPr>
      </w:pPr>
      <w:r w:rsidRPr="00646B6F">
        <w:rPr>
          <w:b/>
          <w:sz w:val="24"/>
        </w:rPr>
        <w:t>Perspectiva internacional</w:t>
      </w:r>
      <w:r w:rsidRPr="00646B6F">
        <w:rPr>
          <w:sz w:val="24"/>
        </w:rPr>
        <w:t>: El área de Ciencias Físicas fue clasificada con 59.1 puntos, seguida del área de Artes y Humanidades con 54.2, y</w:t>
      </w:r>
      <w:r w:rsidR="00E170CD">
        <w:rPr>
          <w:sz w:val="24"/>
        </w:rPr>
        <w:t>,</w:t>
      </w:r>
      <w:r w:rsidRPr="00646B6F">
        <w:rPr>
          <w:sz w:val="24"/>
        </w:rPr>
        <w:t xml:space="preserve"> en tercer lugar, Ciencias Sociales con 49.9 puntos.</w:t>
      </w:r>
    </w:p>
    <w:p w14:paraId="31661A22" w14:textId="31D48C4E" w:rsidR="001C2954" w:rsidRPr="00646B6F" w:rsidRDefault="001C2954" w:rsidP="00273221">
      <w:pPr>
        <w:spacing w:after="160"/>
        <w:rPr>
          <w:sz w:val="24"/>
        </w:rPr>
      </w:pPr>
    </w:p>
    <w:tbl>
      <w:tblPr>
        <w:tblW w:w="7454" w:type="dxa"/>
        <w:jc w:val="center"/>
        <w:tblLayout w:type="fixed"/>
        <w:tblCellMar>
          <w:left w:w="70" w:type="dxa"/>
          <w:right w:w="70" w:type="dxa"/>
        </w:tblCellMar>
        <w:tblLook w:val="04A0" w:firstRow="1" w:lastRow="0" w:firstColumn="1" w:lastColumn="0" w:noHBand="0" w:noVBand="1"/>
      </w:tblPr>
      <w:tblGrid>
        <w:gridCol w:w="2977"/>
        <w:gridCol w:w="1119"/>
        <w:gridCol w:w="1119"/>
        <w:gridCol w:w="1119"/>
        <w:gridCol w:w="1120"/>
      </w:tblGrid>
      <w:tr w:rsidR="00273221" w:rsidRPr="00646B6F" w14:paraId="7E8C96AA" w14:textId="77777777" w:rsidTr="002708D4">
        <w:trPr>
          <w:trHeight w:val="240"/>
          <w:tblHeader/>
          <w:jc w:val="center"/>
        </w:trPr>
        <w:tc>
          <w:tcPr>
            <w:tcW w:w="7454" w:type="dxa"/>
            <w:gridSpan w:val="5"/>
            <w:tcBorders>
              <w:top w:val="nil"/>
              <w:left w:val="nil"/>
              <w:bottom w:val="single" w:sz="4" w:space="0" w:color="auto"/>
              <w:right w:val="nil"/>
            </w:tcBorders>
          </w:tcPr>
          <w:p w14:paraId="1533C801" w14:textId="479F66F0" w:rsidR="00273221" w:rsidRPr="00646B6F" w:rsidRDefault="00273221" w:rsidP="002708D4">
            <w:pPr>
              <w:spacing w:line="240" w:lineRule="auto"/>
              <w:jc w:val="center"/>
              <w:rPr>
                <w:rFonts w:ascii="Calibri" w:eastAsia="Times New Roman" w:hAnsi="Calibri" w:cs="Calibri"/>
                <w:b/>
                <w:bCs/>
                <w:color w:val="000000"/>
                <w:sz w:val="18"/>
                <w:szCs w:val="18"/>
                <w:lang w:eastAsia="es-MX"/>
              </w:rPr>
            </w:pPr>
            <w:r w:rsidRPr="00646B6F">
              <w:rPr>
                <w:b/>
                <w:sz w:val="20"/>
              </w:rPr>
              <w:t>Tabla 13. Número de universidades consideradas, y</w:t>
            </w:r>
            <w:r w:rsidR="00A64FCC" w:rsidRPr="00646B6F">
              <w:rPr>
                <w:b/>
                <w:sz w:val="20"/>
              </w:rPr>
              <w:t xml:space="preserve"> la</w:t>
            </w:r>
            <w:r w:rsidRPr="00646B6F">
              <w:rPr>
                <w:b/>
                <w:sz w:val="20"/>
              </w:rPr>
              <w:t xml:space="preserve"> posición de la UNAM en el ranking THE por cada área del conocimiento, 20</w:t>
            </w:r>
            <w:r w:rsidR="00A64FCC" w:rsidRPr="00646B6F">
              <w:rPr>
                <w:b/>
                <w:sz w:val="20"/>
              </w:rPr>
              <w:t>20</w:t>
            </w:r>
            <w:r w:rsidRPr="00646B6F">
              <w:rPr>
                <w:b/>
                <w:sz w:val="20"/>
              </w:rPr>
              <w:t>-202</w:t>
            </w:r>
            <w:r w:rsidR="00A64FCC" w:rsidRPr="00646B6F">
              <w:rPr>
                <w:b/>
                <w:sz w:val="20"/>
              </w:rPr>
              <w:t>1</w:t>
            </w:r>
            <w:r w:rsidRPr="00646B6F">
              <w:rPr>
                <w:b/>
                <w:sz w:val="20"/>
              </w:rPr>
              <w:t>.</w:t>
            </w:r>
          </w:p>
        </w:tc>
      </w:tr>
      <w:tr w:rsidR="00273221" w:rsidRPr="00646B6F" w14:paraId="7A5490AC" w14:textId="77777777" w:rsidTr="002708D4">
        <w:trPr>
          <w:trHeight w:val="240"/>
          <w:tblHeader/>
          <w:jc w:val="center"/>
        </w:trPr>
        <w:tc>
          <w:tcPr>
            <w:tcW w:w="2977"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727D02D2" w14:textId="77777777" w:rsidR="00273221" w:rsidRPr="00646B6F" w:rsidRDefault="00273221"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Áreas del Conocimiento</w:t>
            </w:r>
          </w:p>
        </w:tc>
        <w:tc>
          <w:tcPr>
            <w:tcW w:w="223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0E23749" w14:textId="32608A0B" w:rsidR="00273221" w:rsidRPr="00646B6F" w:rsidRDefault="00273221"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Ranking 20</w:t>
            </w:r>
            <w:r w:rsidR="002434E5" w:rsidRPr="00646B6F">
              <w:rPr>
                <w:rFonts w:ascii="Calibri" w:eastAsia="Times New Roman" w:hAnsi="Calibri" w:cs="Calibri"/>
                <w:b/>
                <w:bCs/>
                <w:color w:val="000000"/>
                <w:sz w:val="18"/>
                <w:szCs w:val="18"/>
                <w:lang w:eastAsia="es-MX"/>
              </w:rPr>
              <w:t>20</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16FD53E" w14:textId="5BD79001" w:rsidR="00273221" w:rsidRPr="00646B6F" w:rsidRDefault="00273221" w:rsidP="002708D4">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Ranking 202</w:t>
            </w:r>
            <w:r w:rsidR="002434E5" w:rsidRPr="00646B6F">
              <w:rPr>
                <w:rFonts w:ascii="Calibri" w:eastAsia="Times New Roman" w:hAnsi="Calibri" w:cs="Calibri"/>
                <w:b/>
                <w:bCs/>
                <w:color w:val="000000"/>
                <w:sz w:val="18"/>
                <w:szCs w:val="18"/>
                <w:lang w:eastAsia="es-MX"/>
              </w:rPr>
              <w:t>1</w:t>
            </w:r>
          </w:p>
        </w:tc>
      </w:tr>
      <w:tr w:rsidR="00273221" w:rsidRPr="00646B6F" w14:paraId="4FA1ACE4" w14:textId="77777777" w:rsidTr="00273221">
        <w:trPr>
          <w:trHeight w:val="480"/>
          <w:tblHeader/>
          <w:jc w:val="center"/>
        </w:trPr>
        <w:tc>
          <w:tcPr>
            <w:tcW w:w="2977" w:type="dxa"/>
            <w:vMerge/>
            <w:tcBorders>
              <w:left w:val="single" w:sz="4" w:space="0" w:color="auto"/>
              <w:bottom w:val="single" w:sz="4" w:space="0" w:color="auto"/>
              <w:right w:val="single" w:sz="4" w:space="0" w:color="auto"/>
            </w:tcBorders>
            <w:shd w:val="clear" w:color="auto" w:fill="BDD6EE" w:themeFill="accent1" w:themeFillTint="66"/>
          </w:tcPr>
          <w:p w14:paraId="193F1EEE" w14:textId="77777777" w:rsidR="00273221" w:rsidRPr="00646B6F" w:rsidRDefault="00273221" w:rsidP="00273221">
            <w:pPr>
              <w:spacing w:line="240" w:lineRule="auto"/>
              <w:jc w:val="center"/>
              <w:rPr>
                <w:rFonts w:ascii="Calibri" w:eastAsia="Times New Roman" w:hAnsi="Calibri" w:cs="Calibri"/>
                <w:b/>
                <w:bCs/>
                <w:color w:val="000000"/>
                <w:sz w:val="18"/>
                <w:szCs w:val="18"/>
                <w:lang w:eastAsia="es-MX"/>
              </w:rPr>
            </w:pPr>
          </w:p>
        </w:tc>
        <w:tc>
          <w:tcPr>
            <w:tcW w:w="1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926176" w14:textId="25FE3AE7" w:rsidR="00273221" w:rsidRPr="00646B6F" w:rsidRDefault="008B1170" w:rsidP="00273221">
            <w:pPr>
              <w:spacing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Rango</w:t>
            </w:r>
          </w:p>
        </w:tc>
        <w:tc>
          <w:tcPr>
            <w:tcW w:w="111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BB1ACE7" w14:textId="51FB7D7C" w:rsidR="00273221" w:rsidRPr="00646B6F" w:rsidRDefault="008B1170" w:rsidP="00273221">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Nº IES</w:t>
            </w:r>
          </w:p>
        </w:tc>
        <w:tc>
          <w:tcPr>
            <w:tcW w:w="111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A430D3B" w14:textId="7D621B07" w:rsidR="00273221" w:rsidRPr="00646B6F" w:rsidRDefault="008B1170" w:rsidP="00273221">
            <w:pPr>
              <w:spacing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Rango</w:t>
            </w:r>
          </w:p>
        </w:tc>
        <w:tc>
          <w:tcPr>
            <w:tcW w:w="112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95F7F41" w14:textId="09E82160" w:rsidR="00273221" w:rsidRPr="00646B6F" w:rsidRDefault="008B1170" w:rsidP="00273221">
            <w:pPr>
              <w:spacing w:line="240" w:lineRule="auto"/>
              <w:jc w:val="center"/>
              <w:rPr>
                <w:rFonts w:ascii="Calibri" w:eastAsia="Times New Roman" w:hAnsi="Calibri" w:cs="Calibri"/>
                <w:b/>
                <w:bCs/>
                <w:color w:val="000000"/>
                <w:sz w:val="18"/>
                <w:szCs w:val="18"/>
                <w:lang w:eastAsia="es-MX"/>
              </w:rPr>
            </w:pPr>
            <w:r w:rsidRPr="00646B6F">
              <w:rPr>
                <w:rFonts w:ascii="Calibri" w:eastAsia="Times New Roman" w:hAnsi="Calibri" w:cs="Calibri"/>
                <w:b/>
                <w:bCs/>
                <w:color w:val="000000"/>
                <w:sz w:val="18"/>
                <w:szCs w:val="18"/>
                <w:lang w:eastAsia="es-MX"/>
              </w:rPr>
              <w:t>Nº IES</w:t>
            </w:r>
          </w:p>
        </w:tc>
      </w:tr>
      <w:tr w:rsidR="00A64FCC" w:rsidRPr="00646B6F" w14:paraId="22B4A1B2"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08727D39"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Artes y Humanidades</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2B3AB7BE" w14:textId="3C58C5B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101–125</w:t>
            </w:r>
          </w:p>
        </w:tc>
        <w:tc>
          <w:tcPr>
            <w:tcW w:w="1119" w:type="dxa"/>
            <w:tcBorders>
              <w:top w:val="single" w:sz="4" w:space="0" w:color="auto"/>
              <w:left w:val="nil"/>
              <w:bottom w:val="single" w:sz="4" w:space="0" w:color="auto"/>
              <w:right w:val="single" w:sz="4" w:space="0" w:color="auto"/>
            </w:tcBorders>
            <w:shd w:val="clear" w:color="auto" w:fill="auto"/>
            <w:noWrap/>
          </w:tcPr>
          <w:p w14:paraId="06A7CB2B" w14:textId="36A9E4EA"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536</w:t>
            </w:r>
          </w:p>
        </w:tc>
        <w:tc>
          <w:tcPr>
            <w:tcW w:w="1119" w:type="dxa"/>
            <w:tcBorders>
              <w:top w:val="single" w:sz="4" w:space="0" w:color="auto"/>
              <w:left w:val="nil"/>
              <w:bottom w:val="single" w:sz="4" w:space="0" w:color="auto"/>
              <w:right w:val="single" w:sz="4" w:space="0" w:color="auto"/>
            </w:tcBorders>
            <w:shd w:val="clear" w:color="auto" w:fill="auto"/>
            <w:noWrap/>
          </w:tcPr>
          <w:p w14:paraId="6E29ED9C" w14:textId="0CC73F7B"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101–125</w:t>
            </w:r>
          </w:p>
        </w:tc>
        <w:tc>
          <w:tcPr>
            <w:tcW w:w="1120" w:type="dxa"/>
            <w:tcBorders>
              <w:top w:val="single" w:sz="4" w:space="0" w:color="auto"/>
              <w:left w:val="nil"/>
              <w:bottom w:val="single" w:sz="4" w:space="0" w:color="auto"/>
              <w:right w:val="single" w:sz="4" w:space="0" w:color="auto"/>
            </w:tcBorders>
            <w:shd w:val="clear" w:color="auto" w:fill="auto"/>
            <w:noWrap/>
          </w:tcPr>
          <w:p w14:paraId="598D7454" w14:textId="3A05492D"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565</w:t>
            </w:r>
          </w:p>
        </w:tc>
      </w:tr>
      <w:tr w:rsidR="00A64FCC" w:rsidRPr="00646B6F" w14:paraId="73B6F092"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6ABE1B7"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Derecho</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AFED7DD" w14:textId="4454FD0D"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101–125</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6DABFD78" w14:textId="4AAA22D8"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190</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7A27C9AB" w14:textId="4CAF4DE7"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176–200</w:t>
            </w:r>
          </w:p>
        </w:tc>
        <w:tc>
          <w:tcPr>
            <w:tcW w:w="1120" w:type="dxa"/>
            <w:tcBorders>
              <w:top w:val="single" w:sz="4" w:space="0" w:color="auto"/>
              <w:left w:val="nil"/>
              <w:bottom w:val="single" w:sz="4" w:space="0" w:color="auto"/>
              <w:right w:val="single" w:sz="4" w:space="0" w:color="auto"/>
            </w:tcBorders>
            <w:shd w:val="clear" w:color="auto" w:fill="E7E6E6" w:themeFill="background2"/>
            <w:noWrap/>
          </w:tcPr>
          <w:p w14:paraId="6370A6AC" w14:textId="19CE2853"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224</w:t>
            </w:r>
          </w:p>
        </w:tc>
      </w:tr>
      <w:tr w:rsidR="00A64FCC" w:rsidRPr="00646B6F" w14:paraId="7BE142FB"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4C37F3F2"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Educación</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19965BC4" w14:textId="012DDF8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151–175</w:t>
            </w:r>
          </w:p>
        </w:tc>
        <w:tc>
          <w:tcPr>
            <w:tcW w:w="1119" w:type="dxa"/>
            <w:tcBorders>
              <w:top w:val="single" w:sz="4" w:space="0" w:color="auto"/>
              <w:left w:val="nil"/>
              <w:bottom w:val="single" w:sz="4" w:space="0" w:color="auto"/>
              <w:right w:val="single" w:sz="4" w:space="0" w:color="auto"/>
            </w:tcBorders>
            <w:shd w:val="clear" w:color="auto" w:fill="auto"/>
            <w:noWrap/>
          </w:tcPr>
          <w:p w14:paraId="384B214E" w14:textId="6112AB9B"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477</w:t>
            </w:r>
          </w:p>
        </w:tc>
        <w:tc>
          <w:tcPr>
            <w:tcW w:w="1119" w:type="dxa"/>
            <w:tcBorders>
              <w:top w:val="single" w:sz="4" w:space="0" w:color="auto"/>
              <w:left w:val="nil"/>
              <w:bottom w:val="single" w:sz="4" w:space="0" w:color="auto"/>
              <w:right w:val="single" w:sz="4" w:space="0" w:color="auto"/>
            </w:tcBorders>
            <w:shd w:val="clear" w:color="auto" w:fill="auto"/>
            <w:noWrap/>
          </w:tcPr>
          <w:p w14:paraId="35498288" w14:textId="6AF83D57"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176–200</w:t>
            </w:r>
          </w:p>
        </w:tc>
        <w:tc>
          <w:tcPr>
            <w:tcW w:w="1120" w:type="dxa"/>
            <w:tcBorders>
              <w:top w:val="single" w:sz="4" w:space="0" w:color="auto"/>
              <w:left w:val="nil"/>
              <w:bottom w:val="single" w:sz="4" w:space="0" w:color="auto"/>
              <w:right w:val="single" w:sz="4" w:space="0" w:color="auto"/>
            </w:tcBorders>
            <w:shd w:val="clear" w:color="auto" w:fill="auto"/>
            <w:noWrap/>
          </w:tcPr>
          <w:p w14:paraId="60216309" w14:textId="13054243"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537</w:t>
            </w:r>
          </w:p>
        </w:tc>
      </w:tr>
      <w:tr w:rsidR="00A64FCC" w:rsidRPr="00646B6F" w14:paraId="13C0A6DF"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BD39AE9"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Ciencias Sociales</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FEA9CB5" w14:textId="611B4150"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301–400</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768AB134" w14:textId="00C3866E"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720</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41BD15D8" w14:textId="34A00055"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301–400</w:t>
            </w:r>
          </w:p>
        </w:tc>
        <w:tc>
          <w:tcPr>
            <w:tcW w:w="1120" w:type="dxa"/>
            <w:tcBorders>
              <w:top w:val="single" w:sz="4" w:space="0" w:color="auto"/>
              <w:left w:val="nil"/>
              <w:bottom w:val="single" w:sz="4" w:space="0" w:color="auto"/>
              <w:right w:val="single" w:sz="4" w:space="0" w:color="auto"/>
            </w:tcBorders>
            <w:shd w:val="clear" w:color="auto" w:fill="E7E6E6" w:themeFill="background2"/>
            <w:noWrap/>
          </w:tcPr>
          <w:p w14:paraId="0DFBE659" w14:textId="2D9AAD95"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791</w:t>
            </w:r>
          </w:p>
        </w:tc>
      </w:tr>
      <w:tr w:rsidR="00A64FCC" w:rsidRPr="00646B6F" w14:paraId="79165465"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60CE77E0"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Psicología</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6BD9B56C" w14:textId="4173798B"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301–400</w:t>
            </w:r>
          </w:p>
        </w:tc>
        <w:tc>
          <w:tcPr>
            <w:tcW w:w="1119" w:type="dxa"/>
            <w:tcBorders>
              <w:top w:val="single" w:sz="4" w:space="0" w:color="auto"/>
              <w:left w:val="nil"/>
              <w:bottom w:val="single" w:sz="4" w:space="0" w:color="auto"/>
              <w:right w:val="single" w:sz="4" w:space="0" w:color="auto"/>
            </w:tcBorders>
            <w:shd w:val="clear" w:color="auto" w:fill="auto"/>
            <w:noWrap/>
          </w:tcPr>
          <w:p w14:paraId="1A11E367" w14:textId="61B2E5B4"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494</w:t>
            </w:r>
          </w:p>
        </w:tc>
        <w:tc>
          <w:tcPr>
            <w:tcW w:w="1119" w:type="dxa"/>
            <w:tcBorders>
              <w:top w:val="single" w:sz="4" w:space="0" w:color="auto"/>
              <w:left w:val="nil"/>
              <w:bottom w:val="single" w:sz="4" w:space="0" w:color="auto"/>
              <w:right w:val="single" w:sz="4" w:space="0" w:color="auto"/>
            </w:tcBorders>
            <w:shd w:val="clear" w:color="auto" w:fill="auto"/>
            <w:noWrap/>
          </w:tcPr>
          <w:p w14:paraId="3B4DA0F0" w14:textId="0A2EA604"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301–400</w:t>
            </w:r>
          </w:p>
        </w:tc>
        <w:tc>
          <w:tcPr>
            <w:tcW w:w="1120" w:type="dxa"/>
            <w:tcBorders>
              <w:top w:val="single" w:sz="4" w:space="0" w:color="auto"/>
              <w:left w:val="nil"/>
              <w:bottom w:val="single" w:sz="4" w:space="0" w:color="auto"/>
              <w:right w:val="single" w:sz="4" w:space="0" w:color="auto"/>
            </w:tcBorders>
            <w:shd w:val="clear" w:color="auto" w:fill="auto"/>
            <w:noWrap/>
          </w:tcPr>
          <w:p w14:paraId="2C23EBB5" w14:textId="32C8DF22"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533</w:t>
            </w:r>
          </w:p>
        </w:tc>
      </w:tr>
      <w:tr w:rsidR="00A64FCC" w:rsidRPr="00646B6F" w14:paraId="6EACD52D"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8B09821"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Clínica, Pre-Clínica y Salud</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9C92A7D" w14:textId="252789C5"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401–500</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156FEAF5" w14:textId="56B37C7D"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775</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019581EA" w14:textId="3E4B6FC0"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501–600</w:t>
            </w:r>
          </w:p>
        </w:tc>
        <w:tc>
          <w:tcPr>
            <w:tcW w:w="1120" w:type="dxa"/>
            <w:tcBorders>
              <w:top w:val="single" w:sz="4" w:space="0" w:color="auto"/>
              <w:left w:val="nil"/>
              <w:bottom w:val="single" w:sz="4" w:space="0" w:color="auto"/>
              <w:right w:val="single" w:sz="4" w:space="0" w:color="auto"/>
            </w:tcBorders>
            <w:shd w:val="clear" w:color="auto" w:fill="E7E6E6" w:themeFill="background2"/>
            <w:noWrap/>
          </w:tcPr>
          <w:p w14:paraId="5FA5975E" w14:textId="12E9927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856</w:t>
            </w:r>
          </w:p>
        </w:tc>
      </w:tr>
      <w:tr w:rsidR="00A64FCC" w:rsidRPr="00646B6F" w14:paraId="2322A438"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777B1774"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Ciencias de la Vida</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483FC3F0" w14:textId="169F605E"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501–600</w:t>
            </w:r>
          </w:p>
        </w:tc>
        <w:tc>
          <w:tcPr>
            <w:tcW w:w="1119" w:type="dxa"/>
            <w:tcBorders>
              <w:top w:val="single" w:sz="4" w:space="0" w:color="auto"/>
              <w:left w:val="nil"/>
              <w:bottom w:val="single" w:sz="4" w:space="0" w:color="auto"/>
              <w:right w:val="single" w:sz="4" w:space="0" w:color="auto"/>
            </w:tcBorders>
            <w:shd w:val="clear" w:color="auto" w:fill="auto"/>
            <w:noWrap/>
          </w:tcPr>
          <w:p w14:paraId="514C9F56" w14:textId="7D6FD17F"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821</w:t>
            </w:r>
          </w:p>
        </w:tc>
        <w:tc>
          <w:tcPr>
            <w:tcW w:w="1119" w:type="dxa"/>
            <w:tcBorders>
              <w:top w:val="single" w:sz="4" w:space="0" w:color="auto"/>
              <w:left w:val="nil"/>
              <w:bottom w:val="single" w:sz="4" w:space="0" w:color="auto"/>
              <w:right w:val="single" w:sz="4" w:space="0" w:color="auto"/>
            </w:tcBorders>
            <w:shd w:val="clear" w:color="auto" w:fill="auto"/>
            <w:noWrap/>
          </w:tcPr>
          <w:p w14:paraId="03897538" w14:textId="2FF95CDF"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501–600</w:t>
            </w:r>
          </w:p>
        </w:tc>
        <w:tc>
          <w:tcPr>
            <w:tcW w:w="1120" w:type="dxa"/>
            <w:tcBorders>
              <w:top w:val="single" w:sz="4" w:space="0" w:color="auto"/>
              <w:left w:val="nil"/>
              <w:bottom w:val="single" w:sz="4" w:space="0" w:color="auto"/>
              <w:right w:val="single" w:sz="4" w:space="0" w:color="auto"/>
            </w:tcBorders>
            <w:shd w:val="clear" w:color="auto" w:fill="auto"/>
            <w:noWrap/>
          </w:tcPr>
          <w:p w14:paraId="4B62AA0D" w14:textId="3E7C276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895</w:t>
            </w:r>
          </w:p>
        </w:tc>
      </w:tr>
      <w:tr w:rsidR="00A64FCC" w:rsidRPr="00646B6F" w14:paraId="2FB8BD40"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302B69D"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Negocios y Economía</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A245657" w14:textId="5608C64A"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501+</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7F110F03" w14:textId="4424330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632</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4C79DAE7" w14:textId="24E07C0E"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w:t>
            </w:r>
          </w:p>
        </w:tc>
        <w:tc>
          <w:tcPr>
            <w:tcW w:w="1120" w:type="dxa"/>
            <w:tcBorders>
              <w:top w:val="single" w:sz="4" w:space="0" w:color="auto"/>
              <w:left w:val="nil"/>
              <w:bottom w:val="single" w:sz="4" w:space="0" w:color="auto"/>
              <w:right w:val="single" w:sz="4" w:space="0" w:color="auto"/>
            </w:tcBorders>
            <w:shd w:val="clear" w:color="auto" w:fill="E7E6E6" w:themeFill="background2"/>
            <w:noWrap/>
          </w:tcPr>
          <w:p w14:paraId="79CFB0A6" w14:textId="580D61A9"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729</w:t>
            </w:r>
          </w:p>
        </w:tc>
      </w:tr>
      <w:tr w:rsidR="00A64FCC" w:rsidRPr="00646B6F" w14:paraId="6ACAA30E"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5D411E49"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Ciencias Físicas</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2633AEC9" w14:textId="076992D2"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601–800</w:t>
            </w:r>
          </w:p>
        </w:tc>
        <w:tc>
          <w:tcPr>
            <w:tcW w:w="1119" w:type="dxa"/>
            <w:tcBorders>
              <w:top w:val="single" w:sz="4" w:space="0" w:color="auto"/>
              <w:left w:val="nil"/>
              <w:bottom w:val="single" w:sz="4" w:space="0" w:color="auto"/>
              <w:right w:val="single" w:sz="4" w:space="0" w:color="auto"/>
            </w:tcBorders>
            <w:shd w:val="clear" w:color="auto" w:fill="auto"/>
            <w:noWrap/>
          </w:tcPr>
          <w:p w14:paraId="27C52DD0" w14:textId="3C506ED4"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1054</w:t>
            </w:r>
          </w:p>
        </w:tc>
        <w:tc>
          <w:tcPr>
            <w:tcW w:w="1119" w:type="dxa"/>
            <w:tcBorders>
              <w:top w:val="single" w:sz="4" w:space="0" w:color="auto"/>
              <w:left w:val="nil"/>
              <w:bottom w:val="single" w:sz="4" w:space="0" w:color="auto"/>
              <w:right w:val="single" w:sz="4" w:space="0" w:color="auto"/>
            </w:tcBorders>
            <w:shd w:val="clear" w:color="auto" w:fill="auto"/>
            <w:noWrap/>
          </w:tcPr>
          <w:p w14:paraId="527B4167" w14:textId="67812F3F"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601–800</w:t>
            </w:r>
          </w:p>
        </w:tc>
        <w:tc>
          <w:tcPr>
            <w:tcW w:w="1120" w:type="dxa"/>
            <w:tcBorders>
              <w:top w:val="single" w:sz="4" w:space="0" w:color="auto"/>
              <w:left w:val="nil"/>
              <w:bottom w:val="single" w:sz="4" w:space="0" w:color="auto"/>
              <w:right w:val="single" w:sz="4" w:space="0" w:color="auto"/>
            </w:tcBorders>
            <w:shd w:val="clear" w:color="auto" w:fill="auto"/>
            <w:noWrap/>
          </w:tcPr>
          <w:p w14:paraId="5D88F923" w14:textId="7A18CF4E"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1149</w:t>
            </w:r>
          </w:p>
        </w:tc>
      </w:tr>
      <w:tr w:rsidR="00A64FCC" w:rsidRPr="00646B6F" w14:paraId="6594CF16"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ADE4D23"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Ingeniería y Tecnología</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D423E10" w14:textId="38A463A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601–800</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3153B984" w14:textId="23FE8108"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1008</w:t>
            </w:r>
          </w:p>
        </w:tc>
        <w:tc>
          <w:tcPr>
            <w:tcW w:w="1119" w:type="dxa"/>
            <w:tcBorders>
              <w:top w:val="single" w:sz="4" w:space="0" w:color="auto"/>
              <w:left w:val="nil"/>
              <w:bottom w:val="single" w:sz="4" w:space="0" w:color="auto"/>
              <w:right w:val="single" w:sz="4" w:space="0" w:color="auto"/>
            </w:tcBorders>
            <w:shd w:val="clear" w:color="auto" w:fill="E7E6E6" w:themeFill="background2"/>
            <w:noWrap/>
          </w:tcPr>
          <w:p w14:paraId="7400BE4A" w14:textId="68AF5D80"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601–800</w:t>
            </w:r>
          </w:p>
        </w:tc>
        <w:tc>
          <w:tcPr>
            <w:tcW w:w="1120" w:type="dxa"/>
            <w:tcBorders>
              <w:top w:val="single" w:sz="4" w:space="0" w:color="auto"/>
              <w:left w:val="nil"/>
              <w:bottom w:val="single" w:sz="4" w:space="0" w:color="auto"/>
              <w:right w:val="single" w:sz="4" w:space="0" w:color="auto"/>
            </w:tcBorders>
            <w:shd w:val="clear" w:color="auto" w:fill="E7E6E6" w:themeFill="background2"/>
            <w:noWrap/>
          </w:tcPr>
          <w:p w14:paraId="5B9105B5" w14:textId="479B565B"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1098</w:t>
            </w:r>
          </w:p>
        </w:tc>
      </w:tr>
      <w:tr w:rsidR="00A64FCC" w:rsidRPr="00646B6F" w14:paraId="35CE3A3A" w14:textId="77777777" w:rsidTr="00273221">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18D97322" w14:textId="77777777" w:rsidR="00A64FCC" w:rsidRPr="00646B6F" w:rsidRDefault="00A64FCC" w:rsidP="00A64FCC">
            <w:pPr>
              <w:spacing w:line="240" w:lineRule="auto"/>
              <w:rPr>
                <w:rFonts w:eastAsia="Times New Roman" w:cstheme="minorHAnsi"/>
                <w:color w:val="000000"/>
                <w:sz w:val="20"/>
                <w:szCs w:val="20"/>
                <w:lang w:eastAsia="es-MX"/>
              </w:rPr>
            </w:pPr>
            <w:r w:rsidRPr="00646B6F">
              <w:rPr>
                <w:sz w:val="20"/>
                <w:szCs w:val="20"/>
              </w:rPr>
              <w:t>Ciencias de la Computación</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14:paraId="6922A7A8" w14:textId="76AD3890"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w:t>
            </w:r>
          </w:p>
        </w:tc>
        <w:tc>
          <w:tcPr>
            <w:tcW w:w="1119" w:type="dxa"/>
            <w:tcBorders>
              <w:top w:val="single" w:sz="4" w:space="0" w:color="auto"/>
              <w:left w:val="nil"/>
              <w:bottom w:val="single" w:sz="4" w:space="0" w:color="auto"/>
              <w:right w:val="single" w:sz="4" w:space="0" w:color="auto"/>
            </w:tcBorders>
            <w:shd w:val="clear" w:color="auto" w:fill="auto"/>
            <w:noWrap/>
          </w:tcPr>
          <w:p w14:paraId="7186BCBB" w14:textId="72268882"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749</w:t>
            </w:r>
          </w:p>
        </w:tc>
        <w:tc>
          <w:tcPr>
            <w:tcW w:w="1119" w:type="dxa"/>
            <w:tcBorders>
              <w:top w:val="single" w:sz="4" w:space="0" w:color="auto"/>
              <w:left w:val="nil"/>
              <w:bottom w:val="single" w:sz="4" w:space="0" w:color="auto"/>
              <w:right w:val="single" w:sz="4" w:space="0" w:color="auto"/>
            </w:tcBorders>
            <w:shd w:val="clear" w:color="auto" w:fill="auto"/>
            <w:noWrap/>
          </w:tcPr>
          <w:p w14:paraId="590356EE" w14:textId="4E5138B2"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601–800</w:t>
            </w:r>
          </w:p>
        </w:tc>
        <w:tc>
          <w:tcPr>
            <w:tcW w:w="1120" w:type="dxa"/>
            <w:tcBorders>
              <w:top w:val="single" w:sz="4" w:space="0" w:color="auto"/>
              <w:left w:val="nil"/>
              <w:bottom w:val="single" w:sz="4" w:space="0" w:color="auto"/>
              <w:right w:val="single" w:sz="4" w:space="0" w:color="auto"/>
            </w:tcBorders>
            <w:shd w:val="clear" w:color="auto" w:fill="auto"/>
            <w:noWrap/>
          </w:tcPr>
          <w:p w14:paraId="702AD22F" w14:textId="14851521" w:rsidR="00A64FCC" w:rsidRPr="00646B6F" w:rsidRDefault="00A64FCC" w:rsidP="00A64FCC">
            <w:pPr>
              <w:spacing w:line="240" w:lineRule="auto"/>
              <w:jc w:val="center"/>
              <w:rPr>
                <w:rFonts w:eastAsia="Times New Roman" w:cstheme="minorHAnsi"/>
                <w:color w:val="000000"/>
                <w:sz w:val="20"/>
                <w:szCs w:val="20"/>
                <w:lang w:eastAsia="es-MX"/>
              </w:rPr>
            </w:pPr>
            <w:r w:rsidRPr="00646B6F">
              <w:rPr>
                <w:sz w:val="20"/>
                <w:szCs w:val="20"/>
              </w:rPr>
              <w:t>827</w:t>
            </w:r>
          </w:p>
        </w:tc>
      </w:tr>
      <w:tr w:rsidR="00273221" w:rsidRPr="00646B6F" w14:paraId="6B7E59D4" w14:textId="77777777" w:rsidTr="002708D4">
        <w:trPr>
          <w:trHeight w:val="240"/>
          <w:jc w:val="center"/>
        </w:trPr>
        <w:tc>
          <w:tcPr>
            <w:tcW w:w="7454" w:type="dxa"/>
            <w:gridSpan w:val="5"/>
            <w:tcBorders>
              <w:top w:val="single" w:sz="4" w:space="0" w:color="auto"/>
            </w:tcBorders>
          </w:tcPr>
          <w:p w14:paraId="439CA54D" w14:textId="1633F39F" w:rsidR="00273221" w:rsidRPr="00646B6F" w:rsidRDefault="00273221" w:rsidP="00273221">
            <w:pPr>
              <w:spacing w:line="240" w:lineRule="auto"/>
              <w:rPr>
                <w:rFonts w:ascii="Calibri" w:eastAsia="Times New Roman" w:hAnsi="Calibri" w:cs="Calibri"/>
                <w:color w:val="000000"/>
                <w:sz w:val="18"/>
                <w:szCs w:val="18"/>
                <w:lang w:eastAsia="es-MX"/>
              </w:rPr>
            </w:pPr>
            <w:r w:rsidRPr="00646B6F">
              <w:rPr>
                <w:rFonts w:ascii="Calibri" w:eastAsia="Times New Roman" w:hAnsi="Calibri" w:cs="Calibri"/>
                <w:color w:val="000000"/>
                <w:sz w:val="14"/>
                <w:szCs w:val="18"/>
                <w:lang w:eastAsia="es-MX"/>
              </w:rPr>
              <w:t>* Ordenado por la posición obtenida en 202</w:t>
            </w:r>
            <w:r w:rsidR="002434E5" w:rsidRPr="00646B6F">
              <w:rPr>
                <w:rFonts w:ascii="Calibri" w:eastAsia="Times New Roman" w:hAnsi="Calibri" w:cs="Calibri"/>
                <w:color w:val="000000"/>
                <w:sz w:val="14"/>
                <w:szCs w:val="18"/>
                <w:lang w:eastAsia="es-MX"/>
              </w:rPr>
              <w:t>1</w:t>
            </w:r>
            <w:r w:rsidRPr="00646B6F">
              <w:rPr>
                <w:rFonts w:ascii="Calibri" w:eastAsia="Times New Roman" w:hAnsi="Calibri" w:cs="Calibri"/>
                <w:color w:val="000000"/>
                <w:sz w:val="14"/>
                <w:szCs w:val="18"/>
                <w:lang w:eastAsia="es-MX"/>
              </w:rPr>
              <w:t>, por áreas del conocimiento.</w:t>
            </w:r>
          </w:p>
        </w:tc>
      </w:tr>
    </w:tbl>
    <w:p w14:paraId="6026B71C" w14:textId="77777777" w:rsidR="00273221" w:rsidRPr="00646B6F" w:rsidRDefault="00273221" w:rsidP="0078703F">
      <w:pPr>
        <w:spacing w:line="240" w:lineRule="auto"/>
        <w:jc w:val="both"/>
        <w:rPr>
          <w:sz w:val="24"/>
        </w:rPr>
      </w:pPr>
    </w:p>
    <w:tbl>
      <w:tblPr>
        <w:tblW w:w="9770" w:type="dxa"/>
        <w:tblCellMar>
          <w:left w:w="70" w:type="dxa"/>
          <w:right w:w="70" w:type="dxa"/>
        </w:tblCellMar>
        <w:tblLook w:val="04A0" w:firstRow="1" w:lastRow="0" w:firstColumn="1" w:lastColumn="0" w:noHBand="0" w:noVBand="1"/>
      </w:tblPr>
      <w:tblGrid>
        <w:gridCol w:w="2410"/>
        <w:gridCol w:w="1213"/>
        <w:gridCol w:w="1213"/>
        <w:gridCol w:w="1213"/>
        <w:gridCol w:w="1213"/>
        <w:gridCol w:w="1295"/>
        <w:gridCol w:w="1213"/>
      </w:tblGrid>
      <w:tr w:rsidR="005C60F9" w:rsidRPr="00646B6F" w14:paraId="6DA69177" w14:textId="77777777" w:rsidTr="005C60F9">
        <w:trPr>
          <w:trHeight w:val="295"/>
          <w:tblHeader/>
        </w:trPr>
        <w:tc>
          <w:tcPr>
            <w:tcW w:w="9770" w:type="dxa"/>
            <w:gridSpan w:val="7"/>
            <w:tcBorders>
              <w:bottom w:val="single" w:sz="4" w:space="0" w:color="auto"/>
            </w:tcBorders>
            <w:shd w:val="clear" w:color="auto" w:fill="auto"/>
            <w:noWrap/>
            <w:vAlign w:val="center"/>
          </w:tcPr>
          <w:p w14:paraId="44B4F84E" w14:textId="115A4A2A"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b/>
                <w:sz w:val="20"/>
              </w:rPr>
              <w:t>Tabla 14. Puntaje de la UNAM en los diferentes indicadores del ranking THE por cada área del conocimiento, 202</w:t>
            </w:r>
            <w:r w:rsidR="002434E5" w:rsidRPr="00646B6F">
              <w:rPr>
                <w:b/>
                <w:sz w:val="20"/>
              </w:rPr>
              <w:t>1</w:t>
            </w:r>
            <w:r w:rsidRPr="00646B6F">
              <w:rPr>
                <w:b/>
                <w:sz w:val="20"/>
              </w:rPr>
              <w:t>.</w:t>
            </w:r>
          </w:p>
        </w:tc>
      </w:tr>
      <w:tr w:rsidR="005C60F9" w:rsidRPr="00646B6F" w14:paraId="77376169" w14:textId="77777777" w:rsidTr="005C60F9">
        <w:trPr>
          <w:trHeight w:val="521"/>
          <w:tblHeader/>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F355617" w14:textId="77777777"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Áreas del Conocimiento</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C34876D" w14:textId="77777777"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Puntaje General</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63C169F" w14:textId="0A59369D"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Docencia</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A3CAA2D" w14:textId="77777777"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Investigación</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4596713" w14:textId="77777777"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Citas</w:t>
            </w:r>
          </w:p>
        </w:tc>
        <w:tc>
          <w:tcPr>
            <w:tcW w:w="129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4D41EDD" w14:textId="10F0F39B"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Financiamiento de la industria</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B0F1C2" w14:textId="1B90D7EA" w:rsidR="005C60F9" w:rsidRPr="00646B6F" w:rsidRDefault="005C60F9" w:rsidP="0078703F">
            <w:pPr>
              <w:spacing w:line="240" w:lineRule="auto"/>
              <w:jc w:val="center"/>
              <w:rPr>
                <w:rFonts w:eastAsia="Times New Roman" w:cstheme="minorHAnsi"/>
                <w:b/>
                <w:bCs/>
                <w:color w:val="000000"/>
                <w:sz w:val="18"/>
                <w:szCs w:val="18"/>
                <w:lang w:eastAsia="es-MX"/>
              </w:rPr>
            </w:pPr>
            <w:r w:rsidRPr="00646B6F">
              <w:rPr>
                <w:rFonts w:eastAsia="Times New Roman" w:cstheme="minorHAnsi"/>
                <w:b/>
                <w:bCs/>
                <w:color w:val="000000"/>
                <w:sz w:val="18"/>
                <w:szCs w:val="18"/>
                <w:lang w:eastAsia="es-MX"/>
              </w:rPr>
              <w:t>Perspectiva internacional</w:t>
            </w:r>
          </w:p>
        </w:tc>
      </w:tr>
      <w:tr w:rsidR="002434E5" w:rsidRPr="00646B6F" w14:paraId="51C5CF03"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0F35B" w14:textId="38EBE8F7"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Artes y Humanidades</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13A4A76E" w14:textId="4D552425"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41.6–46.7</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EB7D15F" w14:textId="5658862B"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46.2</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5CE7FC02" w14:textId="1D1FFA96"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4ABBB20A" w14:textId="6EDD1399"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22.4</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1DAA1741" w14:textId="3245BCE2"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96.5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14AE87D" w14:textId="386BFDF2"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54.2</w:t>
            </w:r>
          </w:p>
        </w:tc>
      </w:tr>
      <w:tr w:rsidR="002434E5" w:rsidRPr="00646B6F" w14:paraId="67C2AC4A"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A38A7F" w14:textId="21FA1092"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Derecho</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1904ECE7" w14:textId="115A7AD9"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25.3–30.0</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6D010752" w14:textId="57278716"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22.9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5B82D7D6" w14:textId="22762FEF"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84.9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459F211B" w14:textId="2B19AE9B"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31.5</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04C5E606" w14:textId="134C2E6D"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25.9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37162628" w14:textId="6C9DD553"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19.9</w:t>
            </w:r>
          </w:p>
        </w:tc>
      </w:tr>
      <w:tr w:rsidR="002434E5" w:rsidRPr="00646B6F" w14:paraId="48877833"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5871F8" w14:textId="7E0DC729"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Educación</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0618FDD4" w14:textId="719E736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38.6–40.1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07CE737A" w14:textId="66BDBB23"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54.7</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1630D169" w14:textId="17C118A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81.3</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69DE648F" w14:textId="65DB06C5"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45.2</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13C4C3BA" w14:textId="1E9FA071"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42.1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E95811F" w14:textId="6CDABF9A"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19.2</w:t>
            </w:r>
          </w:p>
        </w:tc>
      </w:tr>
      <w:tr w:rsidR="002434E5" w:rsidRPr="00646B6F" w14:paraId="38C0702D"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1B12C6" w14:textId="1EF56BC3"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Ciencias Sociales</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79ABEC06" w14:textId="4833D235"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31.3–35.1</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538AA7ED" w14:textId="0714283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38.1</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095911C8" w14:textId="2B570A6A"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32.8</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390BE19A" w14:textId="45374ED6"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20.4</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17DA906A" w14:textId="75D848C5"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87.4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36E2E037" w14:textId="056CB66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49.9</w:t>
            </w:r>
          </w:p>
        </w:tc>
      </w:tr>
      <w:tr w:rsidR="002434E5" w:rsidRPr="00646B6F" w14:paraId="652DC01D"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C5227" w14:textId="369DC184"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Psicología</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0D0879EA" w14:textId="5D15BEB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29.7–34.9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1939AE06" w14:textId="2642638D"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35.8</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54D5CF81" w14:textId="5BF1CF5E"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49.7</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98671F7" w14:textId="66AD3D5C"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47.1</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25CECC00" w14:textId="1F17E81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33.5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0974E97B" w14:textId="732E680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24</w:t>
            </w:r>
          </w:p>
        </w:tc>
      </w:tr>
      <w:tr w:rsidR="002434E5" w:rsidRPr="00646B6F" w14:paraId="02923B29"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300DBA" w14:textId="5659D9EA"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Clínica, Pre-Clínica y Salud</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798B4F57" w14:textId="5009CC22"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27.8–30.4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706FB457" w14:textId="22E9244C"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27.6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086651A3" w14:textId="65223952"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22.1</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5856A092" w14:textId="6CFDE41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34.8</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0E5AF063" w14:textId="6324365F"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43.6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51C4B64B" w14:textId="7F46C9A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34.8</w:t>
            </w:r>
          </w:p>
        </w:tc>
      </w:tr>
      <w:tr w:rsidR="002434E5" w:rsidRPr="00646B6F" w14:paraId="12C7B91C"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43430" w14:textId="59B20DA3"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Ciencias de la Vida</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3982FA4B" w14:textId="1EC212A3"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26.4–31.7</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0C8EC74" w14:textId="1651CAB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33.8</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67241CD8" w14:textId="5AD982C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27.2</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6F736A4D" w14:textId="6579DE28"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24.5</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F207" w14:textId="0F4C9FA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65.6</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606EB94D" w14:textId="09951AC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46.8</w:t>
            </w:r>
          </w:p>
        </w:tc>
      </w:tr>
      <w:tr w:rsidR="002434E5" w:rsidRPr="00646B6F" w14:paraId="697EABFD"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151D7F" w14:textId="38308FEB"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Negocios y Economía</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2C195F10" w14:textId="3A0E057C"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8.5–22.4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6460BF0E" w14:textId="46F53B1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14.4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6E8E588C" w14:textId="48E8C16A"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12.6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65E7D23E" w14:textId="2450D41B"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23.9</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09797735" w14:textId="4BE5C60E"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56.3</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13DEE833" w14:textId="48EBF468"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22.9</w:t>
            </w:r>
          </w:p>
        </w:tc>
      </w:tr>
      <w:tr w:rsidR="002434E5" w:rsidRPr="00646B6F" w14:paraId="73A3B07C"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90358" w14:textId="1F0C1426"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Ciencias Físicas</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8221929" w14:textId="2D6DAB88"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23.1–31.6</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4F2C4410" w14:textId="635A3CF2"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20.8</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03BF18D" w14:textId="17E10721"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18.5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46AEA2F6" w14:textId="2EDB301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26.4</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34AE9135" w14:textId="29D0B78D"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86</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8056FED" w14:textId="471E63DB"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59.1</w:t>
            </w:r>
          </w:p>
        </w:tc>
      </w:tr>
      <w:tr w:rsidR="002434E5" w:rsidRPr="00646B6F" w14:paraId="49D678C7"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B679A2" w14:textId="73E994E8"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Ingeniería y Tecnología</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18652DF8" w14:textId="63028C01"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20.4–28.3</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7CA14F11" w14:textId="73C1E8CA"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18.5</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5363466C" w14:textId="710C72D5"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15.8</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229171D5" w14:textId="059E537D"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15</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40C8AEA1" w14:textId="25F58A8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61.7</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tcPr>
          <w:p w14:paraId="6DE01D71" w14:textId="57CF0ACB"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45.5</w:t>
            </w:r>
          </w:p>
        </w:tc>
      </w:tr>
      <w:tr w:rsidR="002434E5" w:rsidRPr="00646B6F" w14:paraId="41AB9F7A" w14:textId="77777777" w:rsidTr="005A3FC1">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44688" w14:textId="3CDDF3B9" w:rsidR="002434E5" w:rsidRPr="00646B6F" w:rsidRDefault="002434E5" w:rsidP="002434E5">
            <w:pPr>
              <w:spacing w:line="240" w:lineRule="auto"/>
              <w:rPr>
                <w:rFonts w:eastAsia="Times New Roman" w:cstheme="minorHAnsi"/>
                <w:color w:val="000000"/>
                <w:sz w:val="20"/>
                <w:szCs w:val="20"/>
                <w:lang w:eastAsia="es-MX"/>
              </w:rPr>
            </w:pPr>
            <w:r w:rsidRPr="00646B6F">
              <w:rPr>
                <w:rFonts w:ascii="Calibri" w:hAnsi="Calibri" w:cs="Calibri"/>
                <w:color w:val="000000"/>
                <w:sz w:val="20"/>
                <w:szCs w:val="20"/>
              </w:rPr>
              <w:t>Ciencias de la Computación</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77299E3" w14:textId="29DBE23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15.1–25.6</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2866211" w14:textId="738221EF"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23</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86D26C1" w14:textId="625CB260"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10.4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7E748843" w14:textId="19340417"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16.1</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tcPr>
          <w:p w14:paraId="579C5D7C" w14:textId="7B8D997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49.4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tcPr>
          <w:p w14:paraId="24BB54A9" w14:textId="0244F2B4" w:rsidR="002434E5" w:rsidRPr="00646B6F" w:rsidRDefault="002434E5" w:rsidP="002434E5">
            <w:pPr>
              <w:spacing w:line="240" w:lineRule="auto"/>
              <w:jc w:val="center"/>
              <w:rPr>
                <w:rFonts w:eastAsia="Times New Roman" w:cstheme="minorHAnsi"/>
                <w:color w:val="000000"/>
                <w:sz w:val="20"/>
                <w:szCs w:val="20"/>
                <w:lang w:eastAsia="es-MX"/>
              </w:rPr>
            </w:pPr>
            <w:r w:rsidRPr="00646B6F">
              <w:rPr>
                <w:rFonts w:ascii="Calibri" w:hAnsi="Calibri" w:cs="Calibri"/>
                <w:color w:val="000000"/>
                <w:sz w:val="20"/>
                <w:szCs w:val="20"/>
              </w:rPr>
              <w:t>42.9</w:t>
            </w:r>
          </w:p>
        </w:tc>
      </w:tr>
      <w:tr w:rsidR="005C60F9" w:rsidRPr="005C60F9" w14:paraId="5902EF79" w14:textId="77777777" w:rsidTr="005C60F9">
        <w:trPr>
          <w:trHeight w:val="60"/>
        </w:trPr>
        <w:tc>
          <w:tcPr>
            <w:tcW w:w="9770" w:type="dxa"/>
            <w:gridSpan w:val="7"/>
            <w:tcBorders>
              <w:top w:val="single" w:sz="4" w:space="0" w:color="auto"/>
            </w:tcBorders>
            <w:shd w:val="clear" w:color="auto" w:fill="auto"/>
            <w:noWrap/>
            <w:vAlign w:val="bottom"/>
          </w:tcPr>
          <w:p w14:paraId="5FC9BA74" w14:textId="43AAC28D" w:rsidR="005C60F9" w:rsidRPr="005C60F9" w:rsidRDefault="005C60F9" w:rsidP="0078703F">
            <w:pPr>
              <w:spacing w:line="240" w:lineRule="auto"/>
              <w:rPr>
                <w:rFonts w:eastAsia="Times New Roman" w:cstheme="minorHAnsi"/>
                <w:color w:val="000000"/>
                <w:sz w:val="18"/>
                <w:szCs w:val="18"/>
                <w:lang w:eastAsia="es-MX"/>
              </w:rPr>
            </w:pPr>
            <w:r w:rsidRPr="00646B6F">
              <w:rPr>
                <w:rFonts w:ascii="Calibri" w:eastAsia="Times New Roman" w:hAnsi="Calibri" w:cs="Calibri"/>
                <w:color w:val="000000"/>
                <w:sz w:val="14"/>
                <w:szCs w:val="18"/>
                <w:lang w:eastAsia="es-MX"/>
              </w:rPr>
              <w:t>* Ordenado por la posición obtenida en 202</w:t>
            </w:r>
            <w:r w:rsidR="002434E5" w:rsidRPr="00646B6F">
              <w:rPr>
                <w:rFonts w:ascii="Calibri" w:eastAsia="Times New Roman" w:hAnsi="Calibri" w:cs="Calibri"/>
                <w:color w:val="000000"/>
                <w:sz w:val="14"/>
                <w:szCs w:val="18"/>
                <w:lang w:eastAsia="es-MX"/>
              </w:rPr>
              <w:t>1</w:t>
            </w:r>
            <w:r w:rsidRPr="00646B6F">
              <w:rPr>
                <w:rFonts w:ascii="Calibri" w:eastAsia="Times New Roman" w:hAnsi="Calibri" w:cs="Calibri"/>
                <w:color w:val="000000"/>
                <w:sz w:val="14"/>
                <w:szCs w:val="18"/>
                <w:lang w:eastAsia="es-MX"/>
              </w:rPr>
              <w:t>, por áreas del conocimiento.</w:t>
            </w:r>
          </w:p>
        </w:tc>
      </w:tr>
    </w:tbl>
    <w:p w14:paraId="5EB38998" w14:textId="77777777" w:rsidR="005C60F9" w:rsidRDefault="005C60F9" w:rsidP="0078703F">
      <w:pPr>
        <w:spacing w:line="240" w:lineRule="auto"/>
        <w:jc w:val="both"/>
        <w:rPr>
          <w:sz w:val="24"/>
        </w:rPr>
      </w:pPr>
    </w:p>
    <w:sectPr w:rsidR="005C60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84DAD" w14:textId="77777777" w:rsidR="00B170E9" w:rsidRDefault="00B170E9" w:rsidP="008A3771">
      <w:pPr>
        <w:spacing w:line="240" w:lineRule="auto"/>
      </w:pPr>
      <w:r>
        <w:separator/>
      </w:r>
    </w:p>
  </w:endnote>
  <w:endnote w:type="continuationSeparator" w:id="0">
    <w:p w14:paraId="71CABBFA" w14:textId="77777777" w:rsidR="00B170E9" w:rsidRDefault="00B170E9" w:rsidP="008A3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CB36" w14:textId="77777777" w:rsidR="00B170E9" w:rsidRDefault="00B170E9" w:rsidP="008A3771">
      <w:pPr>
        <w:spacing w:line="240" w:lineRule="auto"/>
      </w:pPr>
      <w:r>
        <w:separator/>
      </w:r>
    </w:p>
  </w:footnote>
  <w:footnote w:type="continuationSeparator" w:id="0">
    <w:p w14:paraId="31914428" w14:textId="77777777" w:rsidR="00B170E9" w:rsidRDefault="00B170E9" w:rsidP="008A3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D4397"/>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3BB9"/>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AF5602A"/>
    <w:multiLevelType w:val="hybridMultilevel"/>
    <w:tmpl w:val="198C8D38"/>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30A4F65"/>
    <w:multiLevelType w:val="hybridMultilevel"/>
    <w:tmpl w:val="59964D9E"/>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4523BB7"/>
    <w:multiLevelType w:val="hybridMultilevel"/>
    <w:tmpl w:val="59245686"/>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D23D22"/>
    <w:multiLevelType w:val="hybridMultilevel"/>
    <w:tmpl w:val="F33E3BE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226BD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1D6A16"/>
    <w:multiLevelType w:val="hybridMultilevel"/>
    <w:tmpl w:val="762255C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3012D81"/>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74192B3E"/>
    <w:multiLevelType w:val="hybridMultilevel"/>
    <w:tmpl w:val="3AA2D84A"/>
    <w:lvl w:ilvl="0" w:tplc="386A9FBE">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124999"/>
    <w:multiLevelType w:val="hybridMultilevel"/>
    <w:tmpl w:val="9D2C3FDA"/>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1"/>
  </w:num>
  <w:num w:numId="3">
    <w:abstractNumId w:val="7"/>
  </w:num>
  <w:num w:numId="4">
    <w:abstractNumId w:val="12"/>
  </w:num>
  <w:num w:numId="5">
    <w:abstractNumId w:val="10"/>
  </w:num>
  <w:num w:numId="6">
    <w:abstractNumId w:val="16"/>
  </w:num>
  <w:num w:numId="7">
    <w:abstractNumId w:val="5"/>
  </w:num>
  <w:num w:numId="8">
    <w:abstractNumId w:val="3"/>
  </w:num>
  <w:num w:numId="9">
    <w:abstractNumId w:val="23"/>
  </w:num>
  <w:num w:numId="10">
    <w:abstractNumId w:val="25"/>
  </w:num>
  <w:num w:numId="11">
    <w:abstractNumId w:val="0"/>
  </w:num>
  <w:num w:numId="12">
    <w:abstractNumId w:val="18"/>
  </w:num>
  <w:num w:numId="13">
    <w:abstractNumId w:val="11"/>
  </w:num>
  <w:num w:numId="14">
    <w:abstractNumId w:val="8"/>
  </w:num>
  <w:num w:numId="15">
    <w:abstractNumId w:val="13"/>
  </w:num>
  <w:num w:numId="16">
    <w:abstractNumId w:val="4"/>
  </w:num>
  <w:num w:numId="17">
    <w:abstractNumId w:val="17"/>
  </w:num>
  <w:num w:numId="18">
    <w:abstractNumId w:val="1"/>
  </w:num>
  <w:num w:numId="19">
    <w:abstractNumId w:val="2"/>
  </w:num>
  <w:num w:numId="20">
    <w:abstractNumId w:val="22"/>
  </w:num>
  <w:num w:numId="21">
    <w:abstractNumId w:val="19"/>
  </w:num>
  <w:num w:numId="22">
    <w:abstractNumId w:val="20"/>
  </w:num>
  <w:num w:numId="23">
    <w:abstractNumId w:val="14"/>
  </w:num>
  <w:num w:numId="24">
    <w:abstractNumId w:val="6"/>
  </w:num>
  <w:num w:numId="25">
    <w:abstractNumId w:val="9"/>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20057"/>
    <w:rsid w:val="00021108"/>
    <w:rsid w:val="00022797"/>
    <w:rsid w:val="00033DBE"/>
    <w:rsid w:val="00037DAC"/>
    <w:rsid w:val="0004030C"/>
    <w:rsid w:val="000404DE"/>
    <w:rsid w:val="00041D71"/>
    <w:rsid w:val="00043F82"/>
    <w:rsid w:val="00056BA6"/>
    <w:rsid w:val="00057B8F"/>
    <w:rsid w:val="00061E1F"/>
    <w:rsid w:val="00073F6F"/>
    <w:rsid w:val="00074F01"/>
    <w:rsid w:val="00074F2B"/>
    <w:rsid w:val="00080ACB"/>
    <w:rsid w:val="00095E29"/>
    <w:rsid w:val="00095FEE"/>
    <w:rsid w:val="000A1862"/>
    <w:rsid w:val="000A27AA"/>
    <w:rsid w:val="000A62C9"/>
    <w:rsid w:val="000B3CEF"/>
    <w:rsid w:val="000B56FF"/>
    <w:rsid w:val="000B75AF"/>
    <w:rsid w:val="000C3D13"/>
    <w:rsid w:val="000C6A1B"/>
    <w:rsid w:val="000D0015"/>
    <w:rsid w:val="000E7136"/>
    <w:rsid w:val="000F054A"/>
    <w:rsid w:val="000F0E83"/>
    <w:rsid w:val="000F6054"/>
    <w:rsid w:val="001011BD"/>
    <w:rsid w:val="0011183D"/>
    <w:rsid w:val="00114D13"/>
    <w:rsid w:val="001216D6"/>
    <w:rsid w:val="00121ECB"/>
    <w:rsid w:val="001247D2"/>
    <w:rsid w:val="00135A7C"/>
    <w:rsid w:val="001416AF"/>
    <w:rsid w:val="00143D31"/>
    <w:rsid w:val="001511A2"/>
    <w:rsid w:val="00153214"/>
    <w:rsid w:val="00160CA2"/>
    <w:rsid w:val="001718E6"/>
    <w:rsid w:val="00171A1B"/>
    <w:rsid w:val="00176F02"/>
    <w:rsid w:val="001823FA"/>
    <w:rsid w:val="00182EA8"/>
    <w:rsid w:val="00183CB5"/>
    <w:rsid w:val="001853FC"/>
    <w:rsid w:val="00187675"/>
    <w:rsid w:val="00193D13"/>
    <w:rsid w:val="00195F1A"/>
    <w:rsid w:val="00197C4B"/>
    <w:rsid w:val="001A286B"/>
    <w:rsid w:val="001A5A27"/>
    <w:rsid w:val="001A7CDB"/>
    <w:rsid w:val="001B5079"/>
    <w:rsid w:val="001C2954"/>
    <w:rsid w:val="001C5260"/>
    <w:rsid w:val="001C6EB8"/>
    <w:rsid w:val="001D3C14"/>
    <w:rsid w:val="001D3CCF"/>
    <w:rsid w:val="001D4545"/>
    <w:rsid w:val="001D5EBD"/>
    <w:rsid w:val="001E004F"/>
    <w:rsid w:val="001E345D"/>
    <w:rsid w:val="001E3B47"/>
    <w:rsid w:val="001E3E33"/>
    <w:rsid w:val="001E50E9"/>
    <w:rsid w:val="001F34B8"/>
    <w:rsid w:val="001F507B"/>
    <w:rsid w:val="00200691"/>
    <w:rsid w:val="00200E0C"/>
    <w:rsid w:val="002062E7"/>
    <w:rsid w:val="002072EB"/>
    <w:rsid w:val="00210497"/>
    <w:rsid w:val="00213521"/>
    <w:rsid w:val="00216BFF"/>
    <w:rsid w:val="00216C99"/>
    <w:rsid w:val="002215D9"/>
    <w:rsid w:val="00230DB2"/>
    <w:rsid w:val="00231026"/>
    <w:rsid w:val="00236AB1"/>
    <w:rsid w:val="0024082E"/>
    <w:rsid w:val="002434E5"/>
    <w:rsid w:val="00246D7A"/>
    <w:rsid w:val="00253754"/>
    <w:rsid w:val="00257087"/>
    <w:rsid w:val="0026150C"/>
    <w:rsid w:val="002620F6"/>
    <w:rsid w:val="002708D4"/>
    <w:rsid w:val="00270C1A"/>
    <w:rsid w:val="00273221"/>
    <w:rsid w:val="0027594B"/>
    <w:rsid w:val="00286835"/>
    <w:rsid w:val="002871EB"/>
    <w:rsid w:val="00291132"/>
    <w:rsid w:val="002938AF"/>
    <w:rsid w:val="002A1E33"/>
    <w:rsid w:val="002B285D"/>
    <w:rsid w:val="002B2D2F"/>
    <w:rsid w:val="002B6314"/>
    <w:rsid w:val="002B705F"/>
    <w:rsid w:val="002C0542"/>
    <w:rsid w:val="002C0B59"/>
    <w:rsid w:val="002D04B0"/>
    <w:rsid w:val="002D2258"/>
    <w:rsid w:val="002D2F67"/>
    <w:rsid w:val="002E24B1"/>
    <w:rsid w:val="002E342B"/>
    <w:rsid w:val="002F1244"/>
    <w:rsid w:val="002F484F"/>
    <w:rsid w:val="002F61B9"/>
    <w:rsid w:val="002F62AE"/>
    <w:rsid w:val="003002F8"/>
    <w:rsid w:val="003062D3"/>
    <w:rsid w:val="0031457A"/>
    <w:rsid w:val="0031474A"/>
    <w:rsid w:val="003201C2"/>
    <w:rsid w:val="003215C3"/>
    <w:rsid w:val="00322A4C"/>
    <w:rsid w:val="0032322D"/>
    <w:rsid w:val="0032392B"/>
    <w:rsid w:val="00325265"/>
    <w:rsid w:val="00335FEE"/>
    <w:rsid w:val="00340787"/>
    <w:rsid w:val="00343E9A"/>
    <w:rsid w:val="00344794"/>
    <w:rsid w:val="00350282"/>
    <w:rsid w:val="0035751C"/>
    <w:rsid w:val="00357C25"/>
    <w:rsid w:val="00357C5B"/>
    <w:rsid w:val="003613E0"/>
    <w:rsid w:val="00367D30"/>
    <w:rsid w:val="00373204"/>
    <w:rsid w:val="0037348B"/>
    <w:rsid w:val="00375109"/>
    <w:rsid w:val="003857A7"/>
    <w:rsid w:val="00385B7D"/>
    <w:rsid w:val="00396BBE"/>
    <w:rsid w:val="003970E6"/>
    <w:rsid w:val="003A1A80"/>
    <w:rsid w:val="003A1FA2"/>
    <w:rsid w:val="003A359D"/>
    <w:rsid w:val="003C102E"/>
    <w:rsid w:val="003D17B4"/>
    <w:rsid w:val="003D4E0C"/>
    <w:rsid w:val="003E1861"/>
    <w:rsid w:val="00404126"/>
    <w:rsid w:val="00410E21"/>
    <w:rsid w:val="0041260E"/>
    <w:rsid w:val="00416C11"/>
    <w:rsid w:val="00416CC0"/>
    <w:rsid w:val="00424437"/>
    <w:rsid w:val="004245EE"/>
    <w:rsid w:val="00441D90"/>
    <w:rsid w:val="00442613"/>
    <w:rsid w:val="00465EE6"/>
    <w:rsid w:val="004660D3"/>
    <w:rsid w:val="00467DEF"/>
    <w:rsid w:val="004711CF"/>
    <w:rsid w:val="004744A4"/>
    <w:rsid w:val="00483664"/>
    <w:rsid w:val="00492C76"/>
    <w:rsid w:val="00494054"/>
    <w:rsid w:val="004A1F03"/>
    <w:rsid w:val="004A3C2A"/>
    <w:rsid w:val="004A3D78"/>
    <w:rsid w:val="004B4A0F"/>
    <w:rsid w:val="004C4943"/>
    <w:rsid w:val="004C4F5D"/>
    <w:rsid w:val="004D0D99"/>
    <w:rsid w:val="004D3A44"/>
    <w:rsid w:val="004D7D0E"/>
    <w:rsid w:val="004E1ADF"/>
    <w:rsid w:val="004F0722"/>
    <w:rsid w:val="004F61D3"/>
    <w:rsid w:val="00516B87"/>
    <w:rsid w:val="00520F40"/>
    <w:rsid w:val="00523F50"/>
    <w:rsid w:val="0052669D"/>
    <w:rsid w:val="00527C02"/>
    <w:rsid w:val="005309EA"/>
    <w:rsid w:val="00536ABF"/>
    <w:rsid w:val="00536D03"/>
    <w:rsid w:val="00540434"/>
    <w:rsid w:val="0054176F"/>
    <w:rsid w:val="005427A3"/>
    <w:rsid w:val="0054305B"/>
    <w:rsid w:val="005439E6"/>
    <w:rsid w:val="00550713"/>
    <w:rsid w:val="00556FA9"/>
    <w:rsid w:val="005612C8"/>
    <w:rsid w:val="00561A19"/>
    <w:rsid w:val="00567186"/>
    <w:rsid w:val="00570169"/>
    <w:rsid w:val="0057064A"/>
    <w:rsid w:val="00575FB7"/>
    <w:rsid w:val="00580993"/>
    <w:rsid w:val="00586586"/>
    <w:rsid w:val="00591CFE"/>
    <w:rsid w:val="00591E68"/>
    <w:rsid w:val="005A1ACE"/>
    <w:rsid w:val="005A3FC1"/>
    <w:rsid w:val="005B3D9A"/>
    <w:rsid w:val="005B54F4"/>
    <w:rsid w:val="005B79EA"/>
    <w:rsid w:val="005C1159"/>
    <w:rsid w:val="005C60A8"/>
    <w:rsid w:val="005C60F9"/>
    <w:rsid w:val="005C6BF5"/>
    <w:rsid w:val="005C762D"/>
    <w:rsid w:val="005E02C6"/>
    <w:rsid w:val="005E27BD"/>
    <w:rsid w:val="005F7A8A"/>
    <w:rsid w:val="0060110E"/>
    <w:rsid w:val="006018B6"/>
    <w:rsid w:val="00602022"/>
    <w:rsid w:val="0060365B"/>
    <w:rsid w:val="006043DC"/>
    <w:rsid w:val="0060699F"/>
    <w:rsid w:val="00610EEE"/>
    <w:rsid w:val="0061222F"/>
    <w:rsid w:val="00612538"/>
    <w:rsid w:val="0061346E"/>
    <w:rsid w:val="00627DDA"/>
    <w:rsid w:val="00631508"/>
    <w:rsid w:val="00632A8E"/>
    <w:rsid w:val="006347C7"/>
    <w:rsid w:val="00640209"/>
    <w:rsid w:val="00642C37"/>
    <w:rsid w:val="00646B6F"/>
    <w:rsid w:val="00650E90"/>
    <w:rsid w:val="00653C36"/>
    <w:rsid w:val="00654163"/>
    <w:rsid w:val="00666241"/>
    <w:rsid w:val="00670550"/>
    <w:rsid w:val="00671354"/>
    <w:rsid w:val="006736A3"/>
    <w:rsid w:val="0067403C"/>
    <w:rsid w:val="0067491E"/>
    <w:rsid w:val="00676347"/>
    <w:rsid w:val="00680B07"/>
    <w:rsid w:val="00681D20"/>
    <w:rsid w:val="0069463B"/>
    <w:rsid w:val="006957E4"/>
    <w:rsid w:val="006A5D03"/>
    <w:rsid w:val="006A5E9B"/>
    <w:rsid w:val="006A60F4"/>
    <w:rsid w:val="006B05EF"/>
    <w:rsid w:val="006B4CCA"/>
    <w:rsid w:val="006B52E8"/>
    <w:rsid w:val="006C6B3A"/>
    <w:rsid w:val="006C6D02"/>
    <w:rsid w:val="006C79D4"/>
    <w:rsid w:val="006D09C2"/>
    <w:rsid w:val="006D2A38"/>
    <w:rsid w:val="006E0DB2"/>
    <w:rsid w:val="006E1000"/>
    <w:rsid w:val="006E530D"/>
    <w:rsid w:val="006F3FA2"/>
    <w:rsid w:val="006F4917"/>
    <w:rsid w:val="006F5E71"/>
    <w:rsid w:val="007038AE"/>
    <w:rsid w:val="00704DE8"/>
    <w:rsid w:val="00715A8F"/>
    <w:rsid w:val="0072387E"/>
    <w:rsid w:val="00723B5A"/>
    <w:rsid w:val="00744819"/>
    <w:rsid w:val="00745041"/>
    <w:rsid w:val="00745E65"/>
    <w:rsid w:val="007467BD"/>
    <w:rsid w:val="0075413C"/>
    <w:rsid w:val="00754BE1"/>
    <w:rsid w:val="00757B9E"/>
    <w:rsid w:val="0076328A"/>
    <w:rsid w:val="00763FC9"/>
    <w:rsid w:val="00771A51"/>
    <w:rsid w:val="00776C1B"/>
    <w:rsid w:val="00780F49"/>
    <w:rsid w:val="00785BED"/>
    <w:rsid w:val="0078703F"/>
    <w:rsid w:val="00790D03"/>
    <w:rsid w:val="00797EBA"/>
    <w:rsid w:val="007B2B33"/>
    <w:rsid w:val="007B4D15"/>
    <w:rsid w:val="007B7057"/>
    <w:rsid w:val="007B7788"/>
    <w:rsid w:val="007C0430"/>
    <w:rsid w:val="007D48C0"/>
    <w:rsid w:val="007E02D3"/>
    <w:rsid w:val="007F336A"/>
    <w:rsid w:val="007F5C4B"/>
    <w:rsid w:val="007F72AE"/>
    <w:rsid w:val="007F746F"/>
    <w:rsid w:val="008005A1"/>
    <w:rsid w:val="00803500"/>
    <w:rsid w:val="00803B13"/>
    <w:rsid w:val="0080682B"/>
    <w:rsid w:val="00810B7C"/>
    <w:rsid w:val="0081233E"/>
    <w:rsid w:val="00813ACB"/>
    <w:rsid w:val="0083225D"/>
    <w:rsid w:val="00834AA8"/>
    <w:rsid w:val="0083640D"/>
    <w:rsid w:val="008565ED"/>
    <w:rsid w:val="00857921"/>
    <w:rsid w:val="00860F65"/>
    <w:rsid w:val="0086178E"/>
    <w:rsid w:val="0086322B"/>
    <w:rsid w:val="00870806"/>
    <w:rsid w:val="0087278D"/>
    <w:rsid w:val="008758A8"/>
    <w:rsid w:val="00876A66"/>
    <w:rsid w:val="00885344"/>
    <w:rsid w:val="00890ACB"/>
    <w:rsid w:val="008945DB"/>
    <w:rsid w:val="00896B5C"/>
    <w:rsid w:val="008A0463"/>
    <w:rsid w:val="008A3771"/>
    <w:rsid w:val="008A3DE1"/>
    <w:rsid w:val="008A5D0C"/>
    <w:rsid w:val="008B1170"/>
    <w:rsid w:val="008B3929"/>
    <w:rsid w:val="008B678C"/>
    <w:rsid w:val="008B75DD"/>
    <w:rsid w:val="008C3B1E"/>
    <w:rsid w:val="008C705D"/>
    <w:rsid w:val="008C72D8"/>
    <w:rsid w:val="008D26F5"/>
    <w:rsid w:val="008D7AE6"/>
    <w:rsid w:val="008D7F96"/>
    <w:rsid w:val="008E3A39"/>
    <w:rsid w:val="008F14D8"/>
    <w:rsid w:val="008F2D1A"/>
    <w:rsid w:val="008F6C6B"/>
    <w:rsid w:val="00903EBE"/>
    <w:rsid w:val="009103B0"/>
    <w:rsid w:val="00911157"/>
    <w:rsid w:val="00912639"/>
    <w:rsid w:val="0091324E"/>
    <w:rsid w:val="009153C8"/>
    <w:rsid w:val="0092095C"/>
    <w:rsid w:val="00922309"/>
    <w:rsid w:val="009254C9"/>
    <w:rsid w:val="009265F9"/>
    <w:rsid w:val="00927179"/>
    <w:rsid w:val="00932183"/>
    <w:rsid w:val="009329AB"/>
    <w:rsid w:val="00941419"/>
    <w:rsid w:val="0094375F"/>
    <w:rsid w:val="00950D2D"/>
    <w:rsid w:val="00954A14"/>
    <w:rsid w:val="00954CDE"/>
    <w:rsid w:val="00955161"/>
    <w:rsid w:val="00955ABB"/>
    <w:rsid w:val="009636DB"/>
    <w:rsid w:val="00963C19"/>
    <w:rsid w:val="0097768D"/>
    <w:rsid w:val="00977C91"/>
    <w:rsid w:val="00981CD5"/>
    <w:rsid w:val="009857C4"/>
    <w:rsid w:val="009926CE"/>
    <w:rsid w:val="009928A6"/>
    <w:rsid w:val="00992C09"/>
    <w:rsid w:val="009A2617"/>
    <w:rsid w:val="009A2A39"/>
    <w:rsid w:val="009A4E37"/>
    <w:rsid w:val="009B460C"/>
    <w:rsid w:val="009B4626"/>
    <w:rsid w:val="009C487D"/>
    <w:rsid w:val="009D0639"/>
    <w:rsid w:val="009D416B"/>
    <w:rsid w:val="009E06D9"/>
    <w:rsid w:val="009E7FF8"/>
    <w:rsid w:val="009F36F0"/>
    <w:rsid w:val="009F4A57"/>
    <w:rsid w:val="00A12537"/>
    <w:rsid w:val="00A16BE4"/>
    <w:rsid w:val="00A20978"/>
    <w:rsid w:val="00A2224C"/>
    <w:rsid w:val="00A301BB"/>
    <w:rsid w:val="00A34D3F"/>
    <w:rsid w:val="00A435F4"/>
    <w:rsid w:val="00A52257"/>
    <w:rsid w:val="00A53D28"/>
    <w:rsid w:val="00A54AEF"/>
    <w:rsid w:val="00A5715F"/>
    <w:rsid w:val="00A603D2"/>
    <w:rsid w:val="00A63125"/>
    <w:rsid w:val="00A64FCC"/>
    <w:rsid w:val="00A6768D"/>
    <w:rsid w:val="00A724CE"/>
    <w:rsid w:val="00A735AF"/>
    <w:rsid w:val="00A76DED"/>
    <w:rsid w:val="00A86B7B"/>
    <w:rsid w:val="00A91F3D"/>
    <w:rsid w:val="00A92D8A"/>
    <w:rsid w:val="00A95334"/>
    <w:rsid w:val="00A97717"/>
    <w:rsid w:val="00AB0508"/>
    <w:rsid w:val="00AB1258"/>
    <w:rsid w:val="00AB71DE"/>
    <w:rsid w:val="00AC0D56"/>
    <w:rsid w:val="00AC0ED4"/>
    <w:rsid w:val="00AC155C"/>
    <w:rsid w:val="00AC3FEF"/>
    <w:rsid w:val="00AC563B"/>
    <w:rsid w:val="00AD0E3B"/>
    <w:rsid w:val="00AD2D93"/>
    <w:rsid w:val="00AE5228"/>
    <w:rsid w:val="00AE758B"/>
    <w:rsid w:val="00AF3EB1"/>
    <w:rsid w:val="00B00D95"/>
    <w:rsid w:val="00B03AE7"/>
    <w:rsid w:val="00B05F72"/>
    <w:rsid w:val="00B068BC"/>
    <w:rsid w:val="00B1058D"/>
    <w:rsid w:val="00B122CE"/>
    <w:rsid w:val="00B13F80"/>
    <w:rsid w:val="00B14CAF"/>
    <w:rsid w:val="00B167FE"/>
    <w:rsid w:val="00B170E9"/>
    <w:rsid w:val="00B208EC"/>
    <w:rsid w:val="00B21449"/>
    <w:rsid w:val="00B27D6C"/>
    <w:rsid w:val="00B30AA4"/>
    <w:rsid w:val="00B33DF2"/>
    <w:rsid w:val="00B36FBB"/>
    <w:rsid w:val="00B371EB"/>
    <w:rsid w:val="00B513FC"/>
    <w:rsid w:val="00B52342"/>
    <w:rsid w:val="00B5257F"/>
    <w:rsid w:val="00B528BF"/>
    <w:rsid w:val="00B57999"/>
    <w:rsid w:val="00B57A50"/>
    <w:rsid w:val="00B60811"/>
    <w:rsid w:val="00B62B09"/>
    <w:rsid w:val="00B742A7"/>
    <w:rsid w:val="00B84F75"/>
    <w:rsid w:val="00B920DE"/>
    <w:rsid w:val="00BA5D4D"/>
    <w:rsid w:val="00BC0701"/>
    <w:rsid w:val="00BC0809"/>
    <w:rsid w:val="00BC0C14"/>
    <w:rsid w:val="00BC4F99"/>
    <w:rsid w:val="00BC5A1E"/>
    <w:rsid w:val="00BC7CA6"/>
    <w:rsid w:val="00BD4F67"/>
    <w:rsid w:val="00BF0E0F"/>
    <w:rsid w:val="00BF17FC"/>
    <w:rsid w:val="00C01EB9"/>
    <w:rsid w:val="00C15148"/>
    <w:rsid w:val="00C25550"/>
    <w:rsid w:val="00C25675"/>
    <w:rsid w:val="00C3370F"/>
    <w:rsid w:val="00C513CF"/>
    <w:rsid w:val="00C5267F"/>
    <w:rsid w:val="00C625AC"/>
    <w:rsid w:val="00C67D80"/>
    <w:rsid w:val="00C70E4F"/>
    <w:rsid w:val="00C856B6"/>
    <w:rsid w:val="00C90791"/>
    <w:rsid w:val="00C91771"/>
    <w:rsid w:val="00C96CAA"/>
    <w:rsid w:val="00CA0B0D"/>
    <w:rsid w:val="00CA633C"/>
    <w:rsid w:val="00CA7F40"/>
    <w:rsid w:val="00CB0A10"/>
    <w:rsid w:val="00CB24EA"/>
    <w:rsid w:val="00CB7710"/>
    <w:rsid w:val="00CB7BB8"/>
    <w:rsid w:val="00CC2FF8"/>
    <w:rsid w:val="00CC4772"/>
    <w:rsid w:val="00CC478C"/>
    <w:rsid w:val="00CC4F28"/>
    <w:rsid w:val="00CD4017"/>
    <w:rsid w:val="00CD43A5"/>
    <w:rsid w:val="00CE0ACB"/>
    <w:rsid w:val="00CE0B4F"/>
    <w:rsid w:val="00CE1B0F"/>
    <w:rsid w:val="00CE3E8E"/>
    <w:rsid w:val="00CF6E82"/>
    <w:rsid w:val="00D00D1F"/>
    <w:rsid w:val="00D0231C"/>
    <w:rsid w:val="00D030A9"/>
    <w:rsid w:val="00D05CA4"/>
    <w:rsid w:val="00D110B7"/>
    <w:rsid w:val="00D1324A"/>
    <w:rsid w:val="00D1618B"/>
    <w:rsid w:val="00D17E34"/>
    <w:rsid w:val="00D23A42"/>
    <w:rsid w:val="00D246B5"/>
    <w:rsid w:val="00D25B6A"/>
    <w:rsid w:val="00D25E24"/>
    <w:rsid w:val="00D312F8"/>
    <w:rsid w:val="00D41390"/>
    <w:rsid w:val="00D44E20"/>
    <w:rsid w:val="00D52CE6"/>
    <w:rsid w:val="00D55A62"/>
    <w:rsid w:val="00D67286"/>
    <w:rsid w:val="00D70652"/>
    <w:rsid w:val="00D74C94"/>
    <w:rsid w:val="00D75035"/>
    <w:rsid w:val="00D800F4"/>
    <w:rsid w:val="00D81AEE"/>
    <w:rsid w:val="00D8424B"/>
    <w:rsid w:val="00D86893"/>
    <w:rsid w:val="00DA70FB"/>
    <w:rsid w:val="00DB2644"/>
    <w:rsid w:val="00DB445F"/>
    <w:rsid w:val="00DB4F05"/>
    <w:rsid w:val="00DC1C91"/>
    <w:rsid w:val="00DC3520"/>
    <w:rsid w:val="00DC4C14"/>
    <w:rsid w:val="00DD36A0"/>
    <w:rsid w:val="00DE0F03"/>
    <w:rsid w:val="00DE6350"/>
    <w:rsid w:val="00DF38E0"/>
    <w:rsid w:val="00E04039"/>
    <w:rsid w:val="00E16DB1"/>
    <w:rsid w:val="00E170CD"/>
    <w:rsid w:val="00E21969"/>
    <w:rsid w:val="00E21A58"/>
    <w:rsid w:val="00E225BE"/>
    <w:rsid w:val="00E2676F"/>
    <w:rsid w:val="00E40E04"/>
    <w:rsid w:val="00E420D9"/>
    <w:rsid w:val="00E46BB3"/>
    <w:rsid w:val="00E5561C"/>
    <w:rsid w:val="00E61F92"/>
    <w:rsid w:val="00E64262"/>
    <w:rsid w:val="00E800AC"/>
    <w:rsid w:val="00E828D0"/>
    <w:rsid w:val="00E85433"/>
    <w:rsid w:val="00E918FA"/>
    <w:rsid w:val="00E93F34"/>
    <w:rsid w:val="00EA0F71"/>
    <w:rsid w:val="00EA753F"/>
    <w:rsid w:val="00EC10F8"/>
    <w:rsid w:val="00EC2587"/>
    <w:rsid w:val="00ED566B"/>
    <w:rsid w:val="00ED780C"/>
    <w:rsid w:val="00EE3D6B"/>
    <w:rsid w:val="00EF2128"/>
    <w:rsid w:val="00EF2EDE"/>
    <w:rsid w:val="00EF4296"/>
    <w:rsid w:val="00F066F1"/>
    <w:rsid w:val="00F07646"/>
    <w:rsid w:val="00F22221"/>
    <w:rsid w:val="00F23AE7"/>
    <w:rsid w:val="00F25B04"/>
    <w:rsid w:val="00F27222"/>
    <w:rsid w:val="00F27902"/>
    <w:rsid w:val="00F30D69"/>
    <w:rsid w:val="00F3118C"/>
    <w:rsid w:val="00F35480"/>
    <w:rsid w:val="00F4398E"/>
    <w:rsid w:val="00F46F74"/>
    <w:rsid w:val="00F477EA"/>
    <w:rsid w:val="00F505AC"/>
    <w:rsid w:val="00F57DC0"/>
    <w:rsid w:val="00F64CFF"/>
    <w:rsid w:val="00F65136"/>
    <w:rsid w:val="00F67E34"/>
    <w:rsid w:val="00F8199B"/>
    <w:rsid w:val="00F84119"/>
    <w:rsid w:val="00F94D10"/>
    <w:rsid w:val="00FA3228"/>
    <w:rsid w:val="00FA47B6"/>
    <w:rsid w:val="00FC55BF"/>
    <w:rsid w:val="00FE4B30"/>
    <w:rsid w:val="00FE5AA4"/>
    <w:rsid w:val="00FF028B"/>
    <w:rsid w:val="00FF06D9"/>
    <w:rsid w:val="00FF0EE1"/>
    <w:rsid w:val="00FF282E"/>
    <w:rsid w:val="00FF6D84"/>
    <w:rsid w:val="00FF7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0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8E"/>
    <w:pPr>
      <w:ind w:left="720"/>
      <w:contextualSpacing/>
    </w:pPr>
  </w:style>
  <w:style w:type="table" w:styleId="TableGrid">
    <w:name w:val="Table Grid"/>
    <w:basedOn w:val="Table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691"/>
    <w:rPr>
      <w:color w:val="0563C1" w:themeColor="hyperlink"/>
      <w:u w:val="single"/>
    </w:rPr>
  </w:style>
  <w:style w:type="character" w:styleId="CommentReference">
    <w:name w:val="annotation reference"/>
    <w:basedOn w:val="DefaultParagraphFont"/>
    <w:uiPriority w:val="99"/>
    <w:semiHidden/>
    <w:unhideWhenUsed/>
    <w:rsid w:val="000B3CEF"/>
    <w:rPr>
      <w:sz w:val="16"/>
      <w:szCs w:val="16"/>
    </w:rPr>
  </w:style>
  <w:style w:type="paragraph" w:styleId="CommentText">
    <w:name w:val="annotation text"/>
    <w:basedOn w:val="Normal"/>
    <w:link w:val="CommentTextChar"/>
    <w:uiPriority w:val="99"/>
    <w:semiHidden/>
    <w:unhideWhenUsed/>
    <w:rsid w:val="000B3CEF"/>
    <w:pPr>
      <w:spacing w:line="240" w:lineRule="auto"/>
    </w:pPr>
    <w:rPr>
      <w:sz w:val="20"/>
      <w:szCs w:val="20"/>
    </w:rPr>
  </w:style>
  <w:style w:type="character" w:customStyle="1" w:styleId="CommentTextChar">
    <w:name w:val="Comment Text Char"/>
    <w:basedOn w:val="DefaultParagraphFont"/>
    <w:link w:val="CommentText"/>
    <w:uiPriority w:val="99"/>
    <w:semiHidden/>
    <w:rsid w:val="000B3CEF"/>
    <w:rPr>
      <w:sz w:val="20"/>
      <w:szCs w:val="20"/>
    </w:rPr>
  </w:style>
  <w:style w:type="paragraph" w:styleId="CommentSubject">
    <w:name w:val="annotation subject"/>
    <w:basedOn w:val="CommentText"/>
    <w:next w:val="CommentText"/>
    <w:link w:val="CommentSubjectChar"/>
    <w:uiPriority w:val="99"/>
    <w:semiHidden/>
    <w:unhideWhenUsed/>
    <w:rsid w:val="000B3CEF"/>
    <w:rPr>
      <w:b/>
      <w:bCs/>
    </w:rPr>
  </w:style>
  <w:style w:type="character" w:customStyle="1" w:styleId="CommentSubjectChar">
    <w:name w:val="Comment Subject Char"/>
    <w:basedOn w:val="CommentTextChar"/>
    <w:link w:val="CommentSubject"/>
    <w:uiPriority w:val="99"/>
    <w:semiHidden/>
    <w:rsid w:val="000B3CEF"/>
    <w:rPr>
      <w:b/>
      <w:bCs/>
      <w:sz w:val="20"/>
      <w:szCs w:val="20"/>
    </w:rPr>
  </w:style>
  <w:style w:type="paragraph" w:styleId="BalloonText">
    <w:name w:val="Balloon Text"/>
    <w:basedOn w:val="Normal"/>
    <w:link w:val="BalloonTextChar"/>
    <w:uiPriority w:val="99"/>
    <w:semiHidden/>
    <w:unhideWhenUsed/>
    <w:rsid w:val="000B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EF"/>
    <w:rPr>
      <w:rFonts w:ascii="Segoe UI" w:hAnsi="Segoe UI" w:cs="Segoe UI"/>
      <w:sz w:val="18"/>
      <w:szCs w:val="18"/>
    </w:rPr>
  </w:style>
  <w:style w:type="table" w:styleId="GridTable4-Accent5">
    <w:name w:val="Grid Table 4 Accent 5"/>
    <w:basedOn w:val="Table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unhideWhenUsed/>
    <w:rsid w:val="008A3771"/>
    <w:pPr>
      <w:spacing w:line="240" w:lineRule="auto"/>
    </w:pPr>
    <w:rPr>
      <w:sz w:val="20"/>
      <w:szCs w:val="20"/>
    </w:rPr>
  </w:style>
  <w:style w:type="character" w:customStyle="1" w:styleId="FootnoteTextChar">
    <w:name w:val="Footnote Text Char"/>
    <w:basedOn w:val="DefaultParagraphFont"/>
    <w:link w:val="FootnoteText"/>
    <w:uiPriority w:val="99"/>
    <w:rsid w:val="008A3771"/>
    <w:rPr>
      <w:sz w:val="20"/>
      <w:szCs w:val="20"/>
    </w:rPr>
  </w:style>
  <w:style w:type="character" w:styleId="FootnoteReference">
    <w:name w:val="footnote reference"/>
    <w:basedOn w:val="DefaultParagraphFont"/>
    <w:uiPriority w:val="99"/>
    <w:semiHidden/>
    <w:unhideWhenUsed/>
    <w:rsid w:val="008A3771"/>
    <w:rPr>
      <w:vertAlign w:val="superscript"/>
    </w:rPr>
  </w:style>
  <w:style w:type="paragraph" w:styleId="Footer">
    <w:name w:val="footer"/>
    <w:basedOn w:val="Normal"/>
    <w:link w:val="FooterChar"/>
    <w:uiPriority w:val="99"/>
    <w:unhideWhenUsed/>
    <w:rsid w:val="00FF282E"/>
    <w:pPr>
      <w:tabs>
        <w:tab w:val="center" w:pos="4419"/>
        <w:tab w:val="right" w:pos="8838"/>
      </w:tabs>
      <w:spacing w:line="240" w:lineRule="auto"/>
    </w:pPr>
  </w:style>
  <w:style w:type="character" w:customStyle="1" w:styleId="FooterChar">
    <w:name w:val="Footer Char"/>
    <w:basedOn w:val="DefaultParagraphFont"/>
    <w:link w:val="Footer"/>
    <w:uiPriority w:val="99"/>
    <w:rsid w:val="00FF282E"/>
  </w:style>
  <w:style w:type="paragraph" w:styleId="Header">
    <w:name w:val="header"/>
    <w:basedOn w:val="Normal"/>
    <w:link w:val="HeaderChar"/>
    <w:uiPriority w:val="99"/>
    <w:unhideWhenUsed/>
    <w:rsid w:val="000F054A"/>
    <w:pPr>
      <w:tabs>
        <w:tab w:val="center" w:pos="4419"/>
        <w:tab w:val="right" w:pos="8838"/>
      </w:tabs>
      <w:spacing w:line="240" w:lineRule="auto"/>
    </w:pPr>
  </w:style>
  <w:style w:type="character" w:customStyle="1" w:styleId="HeaderChar">
    <w:name w:val="Header Char"/>
    <w:basedOn w:val="DefaultParagraphFont"/>
    <w:link w:val="Header"/>
    <w:uiPriority w:val="99"/>
    <w:rsid w:val="000F054A"/>
  </w:style>
  <w:style w:type="character" w:styleId="FollowedHyperlink">
    <w:name w:val="FollowedHyperlink"/>
    <w:basedOn w:val="DefaultParagraphFont"/>
    <w:uiPriority w:val="99"/>
    <w:semiHidden/>
    <w:unhideWhenUsed/>
    <w:rsid w:val="0063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7245">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08939796">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47943831">
      <w:bodyDiv w:val="1"/>
      <w:marLeft w:val="0"/>
      <w:marRight w:val="0"/>
      <w:marTop w:val="0"/>
      <w:marBottom w:val="0"/>
      <w:divBdr>
        <w:top w:val="none" w:sz="0" w:space="0" w:color="auto"/>
        <w:left w:val="none" w:sz="0" w:space="0" w:color="auto"/>
        <w:bottom w:val="none" w:sz="0" w:space="0" w:color="auto"/>
        <w:right w:val="none" w:sz="0" w:space="0" w:color="auto"/>
      </w:divBdr>
    </w:div>
    <w:div w:id="161167870">
      <w:bodyDiv w:val="1"/>
      <w:marLeft w:val="0"/>
      <w:marRight w:val="0"/>
      <w:marTop w:val="0"/>
      <w:marBottom w:val="0"/>
      <w:divBdr>
        <w:top w:val="none" w:sz="0" w:space="0" w:color="auto"/>
        <w:left w:val="none" w:sz="0" w:space="0" w:color="auto"/>
        <w:bottom w:val="none" w:sz="0" w:space="0" w:color="auto"/>
        <w:right w:val="none" w:sz="0" w:space="0" w:color="auto"/>
      </w:divBdr>
    </w:div>
    <w:div w:id="208929310">
      <w:bodyDiv w:val="1"/>
      <w:marLeft w:val="0"/>
      <w:marRight w:val="0"/>
      <w:marTop w:val="0"/>
      <w:marBottom w:val="0"/>
      <w:divBdr>
        <w:top w:val="none" w:sz="0" w:space="0" w:color="auto"/>
        <w:left w:val="none" w:sz="0" w:space="0" w:color="auto"/>
        <w:bottom w:val="none" w:sz="0" w:space="0" w:color="auto"/>
        <w:right w:val="none" w:sz="0" w:space="0" w:color="auto"/>
      </w:divBdr>
    </w:div>
    <w:div w:id="22912267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86475535">
      <w:bodyDiv w:val="1"/>
      <w:marLeft w:val="0"/>
      <w:marRight w:val="0"/>
      <w:marTop w:val="0"/>
      <w:marBottom w:val="0"/>
      <w:divBdr>
        <w:top w:val="none" w:sz="0" w:space="0" w:color="auto"/>
        <w:left w:val="none" w:sz="0" w:space="0" w:color="auto"/>
        <w:bottom w:val="none" w:sz="0" w:space="0" w:color="auto"/>
        <w:right w:val="none" w:sz="0" w:space="0" w:color="auto"/>
      </w:divBdr>
    </w:div>
    <w:div w:id="289019694">
      <w:bodyDiv w:val="1"/>
      <w:marLeft w:val="0"/>
      <w:marRight w:val="0"/>
      <w:marTop w:val="0"/>
      <w:marBottom w:val="0"/>
      <w:divBdr>
        <w:top w:val="none" w:sz="0" w:space="0" w:color="auto"/>
        <w:left w:val="none" w:sz="0" w:space="0" w:color="auto"/>
        <w:bottom w:val="none" w:sz="0" w:space="0" w:color="auto"/>
        <w:right w:val="none" w:sz="0" w:space="0" w:color="auto"/>
      </w:divBdr>
    </w:div>
    <w:div w:id="292443350">
      <w:bodyDiv w:val="1"/>
      <w:marLeft w:val="0"/>
      <w:marRight w:val="0"/>
      <w:marTop w:val="0"/>
      <w:marBottom w:val="0"/>
      <w:divBdr>
        <w:top w:val="none" w:sz="0" w:space="0" w:color="auto"/>
        <w:left w:val="none" w:sz="0" w:space="0" w:color="auto"/>
        <w:bottom w:val="none" w:sz="0" w:space="0" w:color="auto"/>
        <w:right w:val="none" w:sz="0" w:space="0" w:color="auto"/>
      </w:divBdr>
    </w:div>
    <w:div w:id="326784223">
      <w:bodyDiv w:val="1"/>
      <w:marLeft w:val="0"/>
      <w:marRight w:val="0"/>
      <w:marTop w:val="0"/>
      <w:marBottom w:val="0"/>
      <w:divBdr>
        <w:top w:val="none" w:sz="0" w:space="0" w:color="auto"/>
        <w:left w:val="none" w:sz="0" w:space="0" w:color="auto"/>
        <w:bottom w:val="none" w:sz="0" w:space="0" w:color="auto"/>
        <w:right w:val="none" w:sz="0" w:space="0" w:color="auto"/>
      </w:divBdr>
    </w:div>
    <w:div w:id="328410597">
      <w:bodyDiv w:val="1"/>
      <w:marLeft w:val="0"/>
      <w:marRight w:val="0"/>
      <w:marTop w:val="0"/>
      <w:marBottom w:val="0"/>
      <w:divBdr>
        <w:top w:val="none" w:sz="0" w:space="0" w:color="auto"/>
        <w:left w:val="none" w:sz="0" w:space="0" w:color="auto"/>
        <w:bottom w:val="none" w:sz="0" w:space="0" w:color="auto"/>
        <w:right w:val="none" w:sz="0" w:space="0" w:color="auto"/>
      </w:divBdr>
    </w:div>
    <w:div w:id="397822789">
      <w:bodyDiv w:val="1"/>
      <w:marLeft w:val="0"/>
      <w:marRight w:val="0"/>
      <w:marTop w:val="0"/>
      <w:marBottom w:val="0"/>
      <w:divBdr>
        <w:top w:val="none" w:sz="0" w:space="0" w:color="auto"/>
        <w:left w:val="none" w:sz="0" w:space="0" w:color="auto"/>
        <w:bottom w:val="none" w:sz="0" w:space="0" w:color="auto"/>
        <w:right w:val="none" w:sz="0" w:space="0" w:color="auto"/>
      </w:divBdr>
    </w:div>
    <w:div w:id="438183877">
      <w:bodyDiv w:val="1"/>
      <w:marLeft w:val="0"/>
      <w:marRight w:val="0"/>
      <w:marTop w:val="0"/>
      <w:marBottom w:val="0"/>
      <w:divBdr>
        <w:top w:val="none" w:sz="0" w:space="0" w:color="auto"/>
        <w:left w:val="none" w:sz="0" w:space="0" w:color="auto"/>
        <w:bottom w:val="none" w:sz="0" w:space="0" w:color="auto"/>
        <w:right w:val="none" w:sz="0" w:space="0" w:color="auto"/>
      </w:divBdr>
    </w:div>
    <w:div w:id="486635202">
      <w:bodyDiv w:val="1"/>
      <w:marLeft w:val="0"/>
      <w:marRight w:val="0"/>
      <w:marTop w:val="0"/>
      <w:marBottom w:val="0"/>
      <w:divBdr>
        <w:top w:val="none" w:sz="0" w:space="0" w:color="auto"/>
        <w:left w:val="none" w:sz="0" w:space="0" w:color="auto"/>
        <w:bottom w:val="none" w:sz="0" w:space="0" w:color="auto"/>
        <w:right w:val="none" w:sz="0" w:space="0" w:color="auto"/>
      </w:divBdr>
    </w:div>
    <w:div w:id="496920995">
      <w:bodyDiv w:val="1"/>
      <w:marLeft w:val="0"/>
      <w:marRight w:val="0"/>
      <w:marTop w:val="0"/>
      <w:marBottom w:val="0"/>
      <w:divBdr>
        <w:top w:val="none" w:sz="0" w:space="0" w:color="auto"/>
        <w:left w:val="none" w:sz="0" w:space="0" w:color="auto"/>
        <w:bottom w:val="none" w:sz="0" w:space="0" w:color="auto"/>
        <w:right w:val="none" w:sz="0" w:space="0" w:color="auto"/>
      </w:divBdr>
    </w:div>
    <w:div w:id="522590935">
      <w:bodyDiv w:val="1"/>
      <w:marLeft w:val="0"/>
      <w:marRight w:val="0"/>
      <w:marTop w:val="0"/>
      <w:marBottom w:val="0"/>
      <w:divBdr>
        <w:top w:val="none" w:sz="0" w:space="0" w:color="auto"/>
        <w:left w:val="none" w:sz="0" w:space="0" w:color="auto"/>
        <w:bottom w:val="none" w:sz="0" w:space="0" w:color="auto"/>
        <w:right w:val="none" w:sz="0" w:space="0" w:color="auto"/>
      </w:divBdr>
    </w:div>
    <w:div w:id="579757755">
      <w:bodyDiv w:val="1"/>
      <w:marLeft w:val="0"/>
      <w:marRight w:val="0"/>
      <w:marTop w:val="0"/>
      <w:marBottom w:val="0"/>
      <w:divBdr>
        <w:top w:val="none" w:sz="0" w:space="0" w:color="auto"/>
        <w:left w:val="none" w:sz="0" w:space="0" w:color="auto"/>
        <w:bottom w:val="none" w:sz="0" w:space="0" w:color="auto"/>
        <w:right w:val="none" w:sz="0" w:space="0" w:color="auto"/>
      </w:divBdr>
    </w:div>
    <w:div w:id="659966436">
      <w:bodyDiv w:val="1"/>
      <w:marLeft w:val="0"/>
      <w:marRight w:val="0"/>
      <w:marTop w:val="0"/>
      <w:marBottom w:val="0"/>
      <w:divBdr>
        <w:top w:val="none" w:sz="0" w:space="0" w:color="auto"/>
        <w:left w:val="none" w:sz="0" w:space="0" w:color="auto"/>
        <w:bottom w:val="none" w:sz="0" w:space="0" w:color="auto"/>
        <w:right w:val="none" w:sz="0" w:space="0" w:color="auto"/>
      </w:divBdr>
    </w:div>
    <w:div w:id="690953339">
      <w:bodyDiv w:val="1"/>
      <w:marLeft w:val="0"/>
      <w:marRight w:val="0"/>
      <w:marTop w:val="0"/>
      <w:marBottom w:val="0"/>
      <w:divBdr>
        <w:top w:val="none" w:sz="0" w:space="0" w:color="auto"/>
        <w:left w:val="none" w:sz="0" w:space="0" w:color="auto"/>
        <w:bottom w:val="none" w:sz="0" w:space="0" w:color="auto"/>
        <w:right w:val="none" w:sz="0" w:space="0" w:color="auto"/>
      </w:divBdr>
    </w:div>
    <w:div w:id="713235835">
      <w:bodyDiv w:val="1"/>
      <w:marLeft w:val="0"/>
      <w:marRight w:val="0"/>
      <w:marTop w:val="0"/>
      <w:marBottom w:val="0"/>
      <w:divBdr>
        <w:top w:val="none" w:sz="0" w:space="0" w:color="auto"/>
        <w:left w:val="none" w:sz="0" w:space="0" w:color="auto"/>
        <w:bottom w:val="none" w:sz="0" w:space="0" w:color="auto"/>
        <w:right w:val="none" w:sz="0" w:space="0" w:color="auto"/>
      </w:divBdr>
    </w:div>
    <w:div w:id="755906408">
      <w:bodyDiv w:val="1"/>
      <w:marLeft w:val="0"/>
      <w:marRight w:val="0"/>
      <w:marTop w:val="0"/>
      <w:marBottom w:val="0"/>
      <w:divBdr>
        <w:top w:val="none" w:sz="0" w:space="0" w:color="auto"/>
        <w:left w:val="none" w:sz="0" w:space="0" w:color="auto"/>
        <w:bottom w:val="none" w:sz="0" w:space="0" w:color="auto"/>
        <w:right w:val="none" w:sz="0" w:space="0" w:color="auto"/>
      </w:divBdr>
    </w:div>
    <w:div w:id="792868967">
      <w:bodyDiv w:val="1"/>
      <w:marLeft w:val="0"/>
      <w:marRight w:val="0"/>
      <w:marTop w:val="0"/>
      <w:marBottom w:val="0"/>
      <w:divBdr>
        <w:top w:val="none" w:sz="0" w:space="0" w:color="auto"/>
        <w:left w:val="none" w:sz="0" w:space="0" w:color="auto"/>
        <w:bottom w:val="none" w:sz="0" w:space="0" w:color="auto"/>
        <w:right w:val="none" w:sz="0" w:space="0" w:color="auto"/>
      </w:divBdr>
    </w:div>
    <w:div w:id="795946023">
      <w:bodyDiv w:val="1"/>
      <w:marLeft w:val="0"/>
      <w:marRight w:val="0"/>
      <w:marTop w:val="0"/>
      <w:marBottom w:val="0"/>
      <w:divBdr>
        <w:top w:val="none" w:sz="0" w:space="0" w:color="auto"/>
        <w:left w:val="none" w:sz="0" w:space="0" w:color="auto"/>
        <w:bottom w:val="none" w:sz="0" w:space="0" w:color="auto"/>
        <w:right w:val="none" w:sz="0" w:space="0" w:color="auto"/>
      </w:divBdr>
    </w:div>
    <w:div w:id="805705321">
      <w:bodyDiv w:val="1"/>
      <w:marLeft w:val="0"/>
      <w:marRight w:val="0"/>
      <w:marTop w:val="0"/>
      <w:marBottom w:val="0"/>
      <w:divBdr>
        <w:top w:val="none" w:sz="0" w:space="0" w:color="auto"/>
        <w:left w:val="none" w:sz="0" w:space="0" w:color="auto"/>
        <w:bottom w:val="none" w:sz="0" w:space="0" w:color="auto"/>
        <w:right w:val="none" w:sz="0" w:space="0" w:color="auto"/>
      </w:divBdr>
    </w:div>
    <w:div w:id="819879590">
      <w:bodyDiv w:val="1"/>
      <w:marLeft w:val="0"/>
      <w:marRight w:val="0"/>
      <w:marTop w:val="0"/>
      <w:marBottom w:val="0"/>
      <w:divBdr>
        <w:top w:val="none" w:sz="0" w:space="0" w:color="auto"/>
        <w:left w:val="none" w:sz="0" w:space="0" w:color="auto"/>
        <w:bottom w:val="none" w:sz="0" w:space="0" w:color="auto"/>
        <w:right w:val="none" w:sz="0" w:space="0" w:color="auto"/>
      </w:divBdr>
    </w:div>
    <w:div w:id="843130856">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898323823">
      <w:bodyDiv w:val="1"/>
      <w:marLeft w:val="0"/>
      <w:marRight w:val="0"/>
      <w:marTop w:val="0"/>
      <w:marBottom w:val="0"/>
      <w:divBdr>
        <w:top w:val="none" w:sz="0" w:space="0" w:color="auto"/>
        <w:left w:val="none" w:sz="0" w:space="0" w:color="auto"/>
        <w:bottom w:val="none" w:sz="0" w:space="0" w:color="auto"/>
        <w:right w:val="none" w:sz="0" w:space="0" w:color="auto"/>
      </w:divBdr>
    </w:div>
    <w:div w:id="90171608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91182648">
      <w:bodyDiv w:val="1"/>
      <w:marLeft w:val="0"/>
      <w:marRight w:val="0"/>
      <w:marTop w:val="0"/>
      <w:marBottom w:val="0"/>
      <w:divBdr>
        <w:top w:val="none" w:sz="0" w:space="0" w:color="auto"/>
        <w:left w:val="none" w:sz="0" w:space="0" w:color="auto"/>
        <w:bottom w:val="none" w:sz="0" w:space="0" w:color="auto"/>
        <w:right w:val="none" w:sz="0" w:space="0" w:color="auto"/>
      </w:divBdr>
    </w:div>
    <w:div w:id="101627480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46494338">
      <w:bodyDiv w:val="1"/>
      <w:marLeft w:val="0"/>
      <w:marRight w:val="0"/>
      <w:marTop w:val="0"/>
      <w:marBottom w:val="0"/>
      <w:divBdr>
        <w:top w:val="none" w:sz="0" w:space="0" w:color="auto"/>
        <w:left w:val="none" w:sz="0" w:space="0" w:color="auto"/>
        <w:bottom w:val="none" w:sz="0" w:space="0" w:color="auto"/>
        <w:right w:val="none" w:sz="0" w:space="0" w:color="auto"/>
      </w:divBdr>
    </w:div>
    <w:div w:id="1072003003">
      <w:bodyDiv w:val="1"/>
      <w:marLeft w:val="0"/>
      <w:marRight w:val="0"/>
      <w:marTop w:val="0"/>
      <w:marBottom w:val="0"/>
      <w:divBdr>
        <w:top w:val="none" w:sz="0" w:space="0" w:color="auto"/>
        <w:left w:val="none" w:sz="0" w:space="0" w:color="auto"/>
        <w:bottom w:val="none" w:sz="0" w:space="0" w:color="auto"/>
        <w:right w:val="none" w:sz="0" w:space="0" w:color="auto"/>
      </w:divBdr>
    </w:div>
    <w:div w:id="1104770144">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30199013">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253659232">
      <w:bodyDiv w:val="1"/>
      <w:marLeft w:val="0"/>
      <w:marRight w:val="0"/>
      <w:marTop w:val="0"/>
      <w:marBottom w:val="0"/>
      <w:divBdr>
        <w:top w:val="none" w:sz="0" w:space="0" w:color="auto"/>
        <w:left w:val="none" w:sz="0" w:space="0" w:color="auto"/>
        <w:bottom w:val="none" w:sz="0" w:space="0" w:color="auto"/>
        <w:right w:val="none" w:sz="0" w:space="0" w:color="auto"/>
      </w:divBdr>
    </w:div>
    <w:div w:id="1264075166">
      <w:bodyDiv w:val="1"/>
      <w:marLeft w:val="0"/>
      <w:marRight w:val="0"/>
      <w:marTop w:val="0"/>
      <w:marBottom w:val="0"/>
      <w:divBdr>
        <w:top w:val="none" w:sz="0" w:space="0" w:color="auto"/>
        <w:left w:val="none" w:sz="0" w:space="0" w:color="auto"/>
        <w:bottom w:val="none" w:sz="0" w:space="0" w:color="auto"/>
        <w:right w:val="none" w:sz="0" w:space="0" w:color="auto"/>
      </w:divBdr>
    </w:div>
    <w:div w:id="1301616572">
      <w:bodyDiv w:val="1"/>
      <w:marLeft w:val="0"/>
      <w:marRight w:val="0"/>
      <w:marTop w:val="0"/>
      <w:marBottom w:val="0"/>
      <w:divBdr>
        <w:top w:val="none" w:sz="0" w:space="0" w:color="auto"/>
        <w:left w:val="none" w:sz="0" w:space="0" w:color="auto"/>
        <w:bottom w:val="none" w:sz="0" w:space="0" w:color="auto"/>
        <w:right w:val="none" w:sz="0" w:space="0" w:color="auto"/>
      </w:divBdr>
    </w:div>
    <w:div w:id="1355376091">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036033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53280219">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38660728">
      <w:bodyDiv w:val="1"/>
      <w:marLeft w:val="0"/>
      <w:marRight w:val="0"/>
      <w:marTop w:val="0"/>
      <w:marBottom w:val="0"/>
      <w:divBdr>
        <w:top w:val="none" w:sz="0" w:space="0" w:color="auto"/>
        <w:left w:val="none" w:sz="0" w:space="0" w:color="auto"/>
        <w:bottom w:val="none" w:sz="0" w:space="0" w:color="auto"/>
        <w:right w:val="none" w:sz="0" w:space="0" w:color="auto"/>
      </w:divBdr>
    </w:div>
    <w:div w:id="1570651783">
      <w:bodyDiv w:val="1"/>
      <w:marLeft w:val="0"/>
      <w:marRight w:val="0"/>
      <w:marTop w:val="0"/>
      <w:marBottom w:val="0"/>
      <w:divBdr>
        <w:top w:val="none" w:sz="0" w:space="0" w:color="auto"/>
        <w:left w:val="none" w:sz="0" w:space="0" w:color="auto"/>
        <w:bottom w:val="none" w:sz="0" w:space="0" w:color="auto"/>
        <w:right w:val="none" w:sz="0" w:space="0" w:color="auto"/>
      </w:divBdr>
    </w:div>
    <w:div w:id="1572305852">
      <w:bodyDiv w:val="1"/>
      <w:marLeft w:val="0"/>
      <w:marRight w:val="0"/>
      <w:marTop w:val="0"/>
      <w:marBottom w:val="0"/>
      <w:divBdr>
        <w:top w:val="none" w:sz="0" w:space="0" w:color="auto"/>
        <w:left w:val="none" w:sz="0" w:space="0" w:color="auto"/>
        <w:bottom w:val="none" w:sz="0" w:space="0" w:color="auto"/>
        <w:right w:val="none" w:sz="0" w:space="0" w:color="auto"/>
      </w:divBdr>
    </w:div>
    <w:div w:id="1604997109">
      <w:bodyDiv w:val="1"/>
      <w:marLeft w:val="0"/>
      <w:marRight w:val="0"/>
      <w:marTop w:val="0"/>
      <w:marBottom w:val="0"/>
      <w:divBdr>
        <w:top w:val="none" w:sz="0" w:space="0" w:color="auto"/>
        <w:left w:val="none" w:sz="0" w:space="0" w:color="auto"/>
        <w:bottom w:val="none" w:sz="0" w:space="0" w:color="auto"/>
        <w:right w:val="none" w:sz="0" w:space="0" w:color="auto"/>
      </w:divBdr>
    </w:div>
    <w:div w:id="1605730301">
      <w:bodyDiv w:val="1"/>
      <w:marLeft w:val="0"/>
      <w:marRight w:val="0"/>
      <w:marTop w:val="0"/>
      <w:marBottom w:val="0"/>
      <w:divBdr>
        <w:top w:val="none" w:sz="0" w:space="0" w:color="auto"/>
        <w:left w:val="none" w:sz="0" w:space="0" w:color="auto"/>
        <w:bottom w:val="none" w:sz="0" w:space="0" w:color="auto"/>
        <w:right w:val="none" w:sz="0" w:space="0" w:color="auto"/>
      </w:divBdr>
    </w:div>
    <w:div w:id="1617978481">
      <w:bodyDiv w:val="1"/>
      <w:marLeft w:val="0"/>
      <w:marRight w:val="0"/>
      <w:marTop w:val="0"/>
      <w:marBottom w:val="0"/>
      <w:divBdr>
        <w:top w:val="none" w:sz="0" w:space="0" w:color="auto"/>
        <w:left w:val="none" w:sz="0" w:space="0" w:color="auto"/>
        <w:bottom w:val="none" w:sz="0" w:space="0" w:color="auto"/>
        <w:right w:val="none" w:sz="0" w:space="0" w:color="auto"/>
      </w:divBdr>
    </w:div>
    <w:div w:id="1669333459">
      <w:bodyDiv w:val="1"/>
      <w:marLeft w:val="0"/>
      <w:marRight w:val="0"/>
      <w:marTop w:val="0"/>
      <w:marBottom w:val="0"/>
      <w:divBdr>
        <w:top w:val="none" w:sz="0" w:space="0" w:color="auto"/>
        <w:left w:val="none" w:sz="0" w:space="0" w:color="auto"/>
        <w:bottom w:val="none" w:sz="0" w:space="0" w:color="auto"/>
        <w:right w:val="none" w:sz="0" w:space="0" w:color="auto"/>
      </w:divBdr>
    </w:div>
    <w:div w:id="1669481809">
      <w:bodyDiv w:val="1"/>
      <w:marLeft w:val="0"/>
      <w:marRight w:val="0"/>
      <w:marTop w:val="0"/>
      <w:marBottom w:val="0"/>
      <w:divBdr>
        <w:top w:val="none" w:sz="0" w:space="0" w:color="auto"/>
        <w:left w:val="none" w:sz="0" w:space="0" w:color="auto"/>
        <w:bottom w:val="none" w:sz="0" w:space="0" w:color="auto"/>
        <w:right w:val="none" w:sz="0" w:space="0" w:color="auto"/>
      </w:divBdr>
    </w:div>
    <w:div w:id="1694696052">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57634551">
      <w:bodyDiv w:val="1"/>
      <w:marLeft w:val="0"/>
      <w:marRight w:val="0"/>
      <w:marTop w:val="0"/>
      <w:marBottom w:val="0"/>
      <w:divBdr>
        <w:top w:val="none" w:sz="0" w:space="0" w:color="auto"/>
        <w:left w:val="none" w:sz="0" w:space="0" w:color="auto"/>
        <w:bottom w:val="none" w:sz="0" w:space="0" w:color="auto"/>
        <w:right w:val="none" w:sz="0" w:space="0" w:color="auto"/>
      </w:divBdr>
    </w:div>
    <w:div w:id="1762026230">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828786456">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923907023">
      <w:bodyDiv w:val="1"/>
      <w:marLeft w:val="0"/>
      <w:marRight w:val="0"/>
      <w:marTop w:val="0"/>
      <w:marBottom w:val="0"/>
      <w:divBdr>
        <w:top w:val="none" w:sz="0" w:space="0" w:color="auto"/>
        <w:left w:val="none" w:sz="0" w:space="0" w:color="auto"/>
        <w:bottom w:val="none" w:sz="0" w:space="0" w:color="auto"/>
        <w:right w:val="none" w:sz="0" w:space="0" w:color="auto"/>
      </w:divBdr>
    </w:div>
    <w:div w:id="1928921337">
      <w:bodyDiv w:val="1"/>
      <w:marLeft w:val="0"/>
      <w:marRight w:val="0"/>
      <w:marTop w:val="0"/>
      <w:marBottom w:val="0"/>
      <w:divBdr>
        <w:top w:val="none" w:sz="0" w:space="0" w:color="auto"/>
        <w:left w:val="none" w:sz="0" w:space="0" w:color="auto"/>
        <w:bottom w:val="none" w:sz="0" w:space="0" w:color="auto"/>
        <w:right w:val="none" w:sz="0" w:space="0" w:color="auto"/>
      </w:divBdr>
    </w:div>
    <w:div w:id="1949197896">
      <w:bodyDiv w:val="1"/>
      <w:marLeft w:val="0"/>
      <w:marRight w:val="0"/>
      <w:marTop w:val="0"/>
      <w:marBottom w:val="0"/>
      <w:divBdr>
        <w:top w:val="none" w:sz="0" w:space="0" w:color="auto"/>
        <w:left w:val="none" w:sz="0" w:space="0" w:color="auto"/>
        <w:bottom w:val="none" w:sz="0" w:space="0" w:color="auto"/>
        <w:right w:val="none" w:sz="0" w:space="0" w:color="auto"/>
      </w:divBdr>
    </w:div>
    <w:div w:id="1987203324">
      <w:bodyDiv w:val="1"/>
      <w:marLeft w:val="0"/>
      <w:marRight w:val="0"/>
      <w:marTop w:val="0"/>
      <w:marBottom w:val="0"/>
      <w:divBdr>
        <w:top w:val="none" w:sz="0" w:space="0" w:color="auto"/>
        <w:left w:val="none" w:sz="0" w:space="0" w:color="auto"/>
        <w:bottom w:val="none" w:sz="0" w:space="0" w:color="auto"/>
        <w:right w:val="none" w:sz="0" w:space="0" w:color="auto"/>
      </w:divBdr>
    </w:div>
    <w:div w:id="1991975697">
      <w:bodyDiv w:val="1"/>
      <w:marLeft w:val="0"/>
      <w:marRight w:val="0"/>
      <w:marTop w:val="0"/>
      <w:marBottom w:val="0"/>
      <w:divBdr>
        <w:top w:val="none" w:sz="0" w:space="0" w:color="auto"/>
        <w:left w:val="none" w:sz="0" w:space="0" w:color="auto"/>
        <w:bottom w:val="none" w:sz="0" w:space="0" w:color="auto"/>
        <w:right w:val="none" w:sz="0" w:space="0" w:color="auto"/>
      </w:divBdr>
    </w:div>
    <w:div w:id="2001955832">
      <w:bodyDiv w:val="1"/>
      <w:marLeft w:val="0"/>
      <w:marRight w:val="0"/>
      <w:marTop w:val="0"/>
      <w:marBottom w:val="0"/>
      <w:divBdr>
        <w:top w:val="none" w:sz="0" w:space="0" w:color="auto"/>
        <w:left w:val="none" w:sz="0" w:space="0" w:color="auto"/>
        <w:bottom w:val="none" w:sz="0" w:space="0" w:color="auto"/>
        <w:right w:val="none" w:sz="0" w:space="0" w:color="auto"/>
      </w:divBdr>
    </w:div>
    <w:div w:id="2044354579">
      <w:bodyDiv w:val="1"/>
      <w:marLeft w:val="0"/>
      <w:marRight w:val="0"/>
      <w:marTop w:val="0"/>
      <w:marBottom w:val="0"/>
      <w:divBdr>
        <w:top w:val="none" w:sz="0" w:space="0" w:color="auto"/>
        <w:left w:val="none" w:sz="0" w:space="0" w:color="auto"/>
        <w:bottom w:val="none" w:sz="0" w:space="0" w:color="auto"/>
        <w:right w:val="none" w:sz="0" w:space="0" w:color="auto"/>
      </w:divBdr>
    </w:div>
    <w:div w:id="2064988255">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101366106">
      <w:bodyDiv w:val="1"/>
      <w:marLeft w:val="0"/>
      <w:marRight w:val="0"/>
      <w:marTop w:val="0"/>
      <w:marBottom w:val="0"/>
      <w:divBdr>
        <w:top w:val="none" w:sz="0" w:space="0" w:color="auto"/>
        <w:left w:val="none" w:sz="0" w:space="0" w:color="auto"/>
        <w:bottom w:val="none" w:sz="0" w:space="0" w:color="auto"/>
        <w:right w:val="none" w:sz="0" w:space="0" w:color="auto"/>
      </w:divBdr>
    </w:div>
    <w:div w:id="21372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THE%20Rankings%20by%20Subjec%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5555555555555552E-2"/>
          <c:w val="0.90286351706036749"/>
          <c:h val="0.79224482356372117"/>
        </c:manualLayout>
      </c:layout>
      <c:barChart>
        <c:barDir val="col"/>
        <c:grouping val="clustered"/>
        <c:varyColors val="0"/>
        <c:ser>
          <c:idx val="0"/>
          <c:order val="0"/>
          <c:tx>
            <c:strRef>
              <c:f>'Paises 1 Participacion'!$A$3</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Participacion'!$C$3</c:f>
              <c:numCache>
                <c:formatCode>General</c:formatCode>
                <c:ptCount val="1"/>
                <c:pt idx="0">
                  <c:v>50</c:v>
                </c:pt>
              </c:numCache>
            </c:numRef>
          </c:val>
          <c:extLst>
            <c:ext xmlns:c16="http://schemas.microsoft.com/office/drawing/2014/chart" uri="{C3380CC4-5D6E-409C-BE32-E72D297353CC}">
              <c16:uniqueId val="{00000000-3324-4F4D-B62B-6D0295270CA0}"/>
            </c:ext>
          </c:extLst>
        </c:ser>
        <c:ser>
          <c:idx val="1"/>
          <c:order val="1"/>
          <c:tx>
            <c:strRef>
              <c:f>'Paises 1 Participacion'!$A$4</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Participacion'!$C$4</c:f>
              <c:numCache>
                <c:formatCode>General</c:formatCode>
                <c:ptCount val="1"/>
                <c:pt idx="0">
                  <c:v>49</c:v>
                </c:pt>
              </c:numCache>
            </c:numRef>
          </c:val>
          <c:extLst>
            <c:ext xmlns:c16="http://schemas.microsoft.com/office/drawing/2014/chart" uri="{C3380CC4-5D6E-409C-BE32-E72D297353CC}">
              <c16:uniqueId val="{00000001-3324-4F4D-B62B-6D0295270CA0}"/>
            </c:ext>
          </c:extLst>
        </c:ser>
        <c:ser>
          <c:idx val="2"/>
          <c:order val="2"/>
          <c:tx>
            <c:strRef>
              <c:f>'Paises 1 Participacion'!$A$5</c:f>
              <c:strCache>
                <c:ptCount val="1"/>
                <c:pt idx="0">
                  <c:v>Chile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Participacion'!$C$5</c:f>
              <c:numCache>
                <c:formatCode>General</c:formatCode>
                <c:ptCount val="1"/>
                <c:pt idx="0">
                  <c:v>21</c:v>
                </c:pt>
              </c:numCache>
            </c:numRef>
          </c:val>
          <c:extLst>
            <c:ext xmlns:c16="http://schemas.microsoft.com/office/drawing/2014/chart" uri="{C3380CC4-5D6E-409C-BE32-E72D297353CC}">
              <c16:uniqueId val="{00000002-3324-4F4D-B62B-6D0295270CA0}"/>
            </c:ext>
          </c:extLst>
        </c:ser>
        <c:ser>
          <c:idx val="3"/>
          <c:order val="3"/>
          <c:tx>
            <c:strRef>
              <c:f>'Paises 1 Participacion'!$A$6</c:f>
              <c:strCache>
                <c:ptCount val="1"/>
                <c:pt idx="0">
                  <c:v>México</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Participacion'!$C$6</c:f>
              <c:numCache>
                <c:formatCode>General</c:formatCode>
                <c:ptCount val="1"/>
                <c:pt idx="0">
                  <c:v>16</c:v>
                </c:pt>
              </c:numCache>
            </c:numRef>
          </c:val>
          <c:extLst>
            <c:ext xmlns:c16="http://schemas.microsoft.com/office/drawing/2014/chart" uri="{C3380CC4-5D6E-409C-BE32-E72D297353CC}">
              <c16:uniqueId val="{00000003-3324-4F4D-B62B-6D0295270CA0}"/>
            </c:ext>
          </c:extLst>
        </c:ser>
        <c:ser>
          <c:idx val="4"/>
          <c:order val="4"/>
          <c:tx>
            <c:strRef>
              <c:f>'Paises 1 Participacion'!$A$7</c:f>
              <c:strCache>
                <c:ptCount val="1"/>
                <c:pt idx="0">
                  <c:v>Portugal</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Participacion'!$C$7</c:f>
              <c:numCache>
                <c:formatCode>General</c:formatCode>
                <c:ptCount val="1"/>
                <c:pt idx="0">
                  <c:v>12</c:v>
                </c:pt>
              </c:numCache>
            </c:numRef>
          </c:val>
          <c:extLst>
            <c:ext xmlns:c16="http://schemas.microsoft.com/office/drawing/2014/chart" uri="{C3380CC4-5D6E-409C-BE32-E72D297353CC}">
              <c16:uniqueId val="{00000004-3324-4F4D-B62B-6D0295270CA0}"/>
            </c:ext>
          </c:extLst>
        </c:ser>
        <c:ser>
          <c:idx val="5"/>
          <c:order val="5"/>
          <c:tx>
            <c:strRef>
              <c:f>'Paises 1 Participacion'!$A$8</c:f>
              <c:strCache>
                <c:ptCount val="1"/>
                <c:pt idx="0">
                  <c:v>Colombia</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Participacion'!$C$8</c:f>
              <c:numCache>
                <c:formatCode>General</c:formatCode>
                <c:ptCount val="1"/>
                <c:pt idx="0">
                  <c:v>8</c:v>
                </c:pt>
              </c:numCache>
            </c:numRef>
          </c:val>
          <c:extLst>
            <c:ext xmlns:c16="http://schemas.microsoft.com/office/drawing/2014/chart" uri="{C3380CC4-5D6E-409C-BE32-E72D297353CC}">
              <c16:uniqueId val="{00000005-3324-4F4D-B62B-6D0295270CA0}"/>
            </c:ext>
          </c:extLst>
        </c:ser>
        <c:ser>
          <c:idx val="6"/>
          <c:order val="6"/>
          <c:tx>
            <c:strRef>
              <c:f>'Paises 1 Participacion'!$A$9</c:f>
              <c:strCache>
                <c:ptCount val="1"/>
                <c:pt idx="0">
                  <c:v>Argentina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Participacion'!$C$9</c:f>
              <c:numCache>
                <c:formatCode>General</c:formatCode>
                <c:ptCount val="1"/>
                <c:pt idx="0">
                  <c:v>4</c:v>
                </c:pt>
              </c:numCache>
            </c:numRef>
          </c:val>
          <c:extLst>
            <c:ext xmlns:c16="http://schemas.microsoft.com/office/drawing/2014/chart" uri="{C3380CC4-5D6E-409C-BE32-E72D297353CC}">
              <c16:uniqueId val="{00000006-3324-4F4D-B62B-6D0295270CA0}"/>
            </c:ext>
          </c:extLst>
        </c:ser>
        <c:ser>
          <c:idx val="7"/>
          <c:order val="7"/>
          <c:tx>
            <c:strRef>
              <c:f>'Paises 1 Participacion'!$A$10</c:f>
              <c:strCache>
                <c:ptCount val="1"/>
                <c:pt idx="0">
                  <c:v>Perú</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Participacion'!$C$10</c:f>
              <c:numCache>
                <c:formatCode>General</c:formatCode>
                <c:ptCount val="1"/>
                <c:pt idx="0">
                  <c:v>2</c:v>
                </c:pt>
              </c:numCache>
            </c:numRef>
          </c:val>
          <c:extLst>
            <c:ext xmlns:c16="http://schemas.microsoft.com/office/drawing/2014/chart" uri="{C3380CC4-5D6E-409C-BE32-E72D297353CC}">
              <c16:uniqueId val="{00000007-3324-4F4D-B62B-6D0295270CA0}"/>
            </c:ext>
          </c:extLst>
        </c:ser>
        <c:ser>
          <c:idx val="8"/>
          <c:order val="8"/>
          <c:tx>
            <c:strRef>
              <c:f>'Paises 1 Participacion'!$A$11</c:f>
              <c:strCache>
                <c:ptCount val="1"/>
                <c:pt idx="0">
                  <c:v>Venezuela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Participacion'!$C$11</c:f>
              <c:numCache>
                <c:formatCode>General</c:formatCode>
                <c:ptCount val="1"/>
                <c:pt idx="0">
                  <c:v>2</c:v>
                </c:pt>
              </c:numCache>
            </c:numRef>
          </c:val>
          <c:extLst>
            <c:ext xmlns:c16="http://schemas.microsoft.com/office/drawing/2014/chart" uri="{C3380CC4-5D6E-409C-BE32-E72D297353CC}">
              <c16:uniqueId val="{00000008-3324-4F4D-B62B-6D0295270CA0}"/>
            </c:ext>
          </c:extLst>
        </c:ser>
        <c:ser>
          <c:idx val="9"/>
          <c:order val="9"/>
          <c:tx>
            <c:strRef>
              <c:f>'Paises 1 Participacion'!$A$12</c:f>
              <c:strCache>
                <c:ptCount val="1"/>
                <c:pt idx="0">
                  <c:v>Costa Rica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Participacion'!$C$12</c:f>
              <c:numCache>
                <c:formatCode>General</c:formatCode>
                <c:ptCount val="1"/>
                <c:pt idx="0">
                  <c:v>1</c:v>
                </c:pt>
              </c:numCache>
            </c:numRef>
          </c:val>
          <c:extLst>
            <c:ext xmlns:c16="http://schemas.microsoft.com/office/drawing/2014/chart" uri="{C3380CC4-5D6E-409C-BE32-E72D297353CC}">
              <c16:uniqueId val="{00000009-3324-4F4D-B62B-6D0295270CA0}"/>
            </c:ext>
          </c:extLst>
        </c:ser>
        <c:ser>
          <c:idx val="10"/>
          <c:order val="10"/>
          <c:tx>
            <c:strRef>
              <c:f>'Paises 1 Participacion'!$A$13</c:f>
              <c:strCache>
                <c:ptCount val="1"/>
                <c:pt idx="0">
                  <c:v>Cuba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Participacion'!$C$13</c:f>
              <c:numCache>
                <c:formatCode>General</c:formatCode>
                <c:ptCount val="1"/>
                <c:pt idx="0">
                  <c:v>1</c:v>
                </c:pt>
              </c:numCache>
            </c:numRef>
          </c:val>
          <c:extLst>
            <c:ext xmlns:c16="http://schemas.microsoft.com/office/drawing/2014/chart" uri="{C3380CC4-5D6E-409C-BE32-E72D297353CC}">
              <c16:uniqueId val="{0000000A-3324-4F4D-B62B-6D0295270CA0}"/>
            </c:ext>
          </c:extLst>
        </c:ser>
        <c:dLbls>
          <c:dLblPos val="outEnd"/>
          <c:showLegendKey val="0"/>
          <c:showVal val="1"/>
          <c:showCatName val="0"/>
          <c:showSerName val="0"/>
          <c:showPercent val="0"/>
          <c:showBubbleSize val="0"/>
        </c:dLbls>
        <c:gapWidth val="219"/>
        <c:overlap val="-27"/>
        <c:axId val="404703400"/>
        <c:axId val="408887496"/>
      </c:barChart>
      <c:catAx>
        <c:axId val="404703400"/>
        <c:scaling>
          <c:orientation val="minMax"/>
        </c:scaling>
        <c:delete val="1"/>
        <c:axPos val="b"/>
        <c:numFmt formatCode="General" sourceLinked="1"/>
        <c:majorTickMark val="none"/>
        <c:minorTickMark val="none"/>
        <c:tickLblPos val="nextTo"/>
        <c:crossAx val="408887496"/>
        <c:crosses val="autoZero"/>
        <c:auto val="1"/>
        <c:lblAlgn val="ctr"/>
        <c:lblOffset val="100"/>
        <c:noMultiLvlLbl val="0"/>
      </c:catAx>
      <c:valAx>
        <c:axId val="40888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0470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38DF-6D22-46AB-B24D-735CD839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3391</Words>
  <Characters>18655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4</cp:revision>
  <cp:lastPrinted>2019-11-20T21:45:00Z</cp:lastPrinted>
  <dcterms:created xsi:type="dcterms:W3CDTF">2020-11-04T20:37:00Z</dcterms:created>
  <dcterms:modified xsi:type="dcterms:W3CDTF">2020-11-12T19:36:00Z</dcterms:modified>
</cp:coreProperties>
</file>