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0FE9" w14:textId="77777777" w:rsidR="00E4297B" w:rsidRPr="00577FDB" w:rsidRDefault="00E4297B" w:rsidP="00E4297B">
      <w:pPr>
        <w:jc w:val="center"/>
        <w:rPr>
          <w:b/>
          <w:bCs/>
        </w:rPr>
      </w:pPr>
      <w:r w:rsidRPr="00577FDB">
        <w:rPr>
          <w:b/>
          <w:bCs/>
        </w:rPr>
        <w:t>Comparativo entre los rankings QS World y QS Latin America 2021</w:t>
      </w:r>
    </w:p>
    <w:p w14:paraId="4038360F" w14:textId="77777777" w:rsidR="00E4297B" w:rsidRDefault="00106787" w:rsidP="00E4297B">
      <w:pPr>
        <w:jc w:val="center"/>
      </w:pPr>
      <w:r>
        <w:t>Dirección General de Evaluación Institucional</w:t>
      </w:r>
    </w:p>
    <w:p w14:paraId="477EC42D" w14:textId="77777777" w:rsidR="00277456" w:rsidRDefault="00277456" w:rsidP="00E4297B">
      <w:pPr>
        <w:jc w:val="center"/>
      </w:pPr>
      <w:r>
        <w:t>11 de noviembre de 2020</w:t>
      </w:r>
    </w:p>
    <w:p w14:paraId="6538CD4F" w14:textId="77777777" w:rsidR="00624A3B" w:rsidRDefault="00624A3B" w:rsidP="00E4297B">
      <w:pPr>
        <w:jc w:val="center"/>
      </w:pPr>
    </w:p>
    <w:p w14:paraId="4F293D2B" w14:textId="77777777" w:rsidR="00577FDB" w:rsidRPr="00264176" w:rsidRDefault="00E4297B" w:rsidP="00264176">
      <w:pPr>
        <w:pStyle w:val="Prrafodelista"/>
      </w:pPr>
      <w:r w:rsidRPr="00264176">
        <w:t xml:space="preserve">En los rankings QS World y QS Latin America se hacen evidentes inconsistencias en el ordenamiento de las universidades latinoamericanas. </w:t>
      </w:r>
    </w:p>
    <w:p w14:paraId="7C1C82EB" w14:textId="77777777" w:rsidR="00B372C8" w:rsidRPr="00264176" w:rsidRDefault="00E4297B" w:rsidP="00264176">
      <w:pPr>
        <w:pStyle w:val="Prrafodelista"/>
      </w:pPr>
      <w:r w:rsidRPr="00264176">
        <w:t>En el primero (QS World)</w:t>
      </w:r>
      <w:r w:rsidR="00B372C8" w:rsidRPr="00264176">
        <w:t>,</w:t>
      </w:r>
      <w:r w:rsidRPr="00264176">
        <w:t xml:space="preserve"> aparece</w:t>
      </w:r>
      <w:r w:rsidR="00B372C8" w:rsidRPr="00264176">
        <w:t>n</w:t>
      </w:r>
      <w:r w:rsidRPr="00264176">
        <w:t xml:space="preserve"> en primer lugar la Universidad de Buenos Aires (lugar 66) y segundo lugar la UNAM (lugar 100). Les siguen la Universidad de Sao Paulo (115), la Pontificia Universidad Católica de Chile (121), el Instituto Tecnológico y de Estudios Superiores de Monterrey (155), la Universidad de Chile (180)</w:t>
      </w:r>
      <w:r w:rsidR="00577FDB" w:rsidRPr="00264176">
        <w:t>,</w:t>
      </w:r>
      <w:r w:rsidRPr="00264176">
        <w:t xml:space="preserve"> </w:t>
      </w:r>
      <w:r w:rsidR="00577FDB" w:rsidRPr="00264176">
        <w:t>Universidad d</w:t>
      </w:r>
      <w:r w:rsidRPr="00264176">
        <w:t>e los Andes (227), Estadual de Campinas (233)</w:t>
      </w:r>
      <w:r w:rsidR="00577FDB" w:rsidRPr="00264176">
        <w:t xml:space="preserve">, </w:t>
      </w:r>
      <w:r w:rsidRPr="00264176">
        <w:t>Nacional de Colombia (259)</w:t>
      </w:r>
      <w:r w:rsidR="00577FDB" w:rsidRPr="00264176">
        <w:t xml:space="preserve"> y Pontificia Universidad Católica Argentina (326).</w:t>
      </w:r>
    </w:p>
    <w:p w14:paraId="6CD76B94" w14:textId="77777777" w:rsidR="000E6431" w:rsidRDefault="000E6431" w:rsidP="000E6431">
      <w:pPr>
        <w:ind w:left="714"/>
      </w:pPr>
    </w:p>
    <w:tbl>
      <w:tblPr>
        <w:tblW w:w="111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406"/>
        <w:gridCol w:w="566"/>
        <w:gridCol w:w="2699"/>
        <w:gridCol w:w="561"/>
        <w:gridCol w:w="708"/>
        <w:gridCol w:w="993"/>
        <w:gridCol w:w="992"/>
        <w:gridCol w:w="992"/>
        <w:gridCol w:w="992"/>
        <w:gridCol w:w="993"/>
        <w:gridCol w:w="1134"/>
      </w:tblGrid>
      <w:tr w:rsidR="000E6431" w:rsidRPr="006C5732" w14:paraId="2DB68503" w14:textId="77777777" w:rsidTr="00624A3B">
        <w:trPr>
          <w:trHeight w:val="249"/>
          <w:tblHeader/>
          <w:jc w:val="center"/>
        </w:trPr>
        <w:tc>
          <w:tcPr>
            <w:tcW w:w="163" w:type="dxa"/>
            <w:tcBorders>
              <w:bottom w:val="single" w:sz="4" w:space="0" w:color="auto"/>
            </w:tcBorders>
          </w:tcPr>
          <w:p w14:paraId="1F46F07F" w14:textId="77777777" w:rsidR="000E6431" w:rsidRPr="006C5732" w:rsidRDefault="000E6431" w:rsidP="000E6431">
            <w:pPr>
              <w:ind w:firstLine="1414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03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8508FB" w14:textId="77777777" w:rsidR="000E6431" w:rsidRPr="006C5732" w:rsidRDefault="000E6431" w:rsidP="00E25674">
            <w:pPr>
              <w:jc w:val="center"/>
              <w:rPr>
                <w:b/>
                <w:sz w:val="20"/>
                <w:szCs w:val="18"/>
              </w:rPr>
            </w:pPr>
            <w:r w:rsidRPr="006C5732">
              <w:rPr>
                <w:b/>
                <w:sz w:val="20"/>
                <w:szCs w:val="18"/>
              </w:rPr>
              <w:t xml:space="preserve">Tabla </w:t>
            </w:r>
            <w:r>
              <w:rPr>
                <w:b/>
                <w:sz w:val="20"/>
                <w:szCs w:val="18"/>
              </w:rPr>
              <w:t>1</w:t>
            </w:r>
            <w:r w:rsidRPr="006C5732">
              <w:rPr>
                <w:b/>
                <w:sz w:val="20"/>
                <w:szCs w:val="18"/>
              </w:rPr>
              <w:t xml:space="preserve">. </w:t>
            </w:r>
            <w:r w:rsidRPr="006C5732">
              <w:rPr>
                <w:rFonts w:ascii="Calibri" w:hAnsi="Calibri"/>
                <w:b/>
                <w:color w:val="050505"/>
                <w:sz w:val="20"/>
              </w:rPr>
              <w:t>Posición de las universidades iberoamericanas en el TOP 500 del</w:t>
            </w:r>
            <w:r w:rsidRPr="006C5732">
              <w:t xml:space="preserve"> </w:t>
            </w:r>
            <w:r w:rsidRPr="006C5732">
              <w:rPr>
                <w:rFonts w:ascii="Calibri" w:hAnsi="Calibri"/>
                <w:b/>
                <w:color w:val="050505"/>
                <w:sz w:val="20"/>
              </w:rPr>
              <w:t>QS ranking mundial de universidades, 2021.</w:t>
            </w:r>
          </w:p>
        </w:tc>
      </w:tr>
      <w:tr w:rsidR="00624A3B" w:rsidRPr="006C5732" w14:paraId="73F77211" w14:textId="77777777" w:rsidTr="00624A3B">
        <w:trPr>
          <w:trHeight w:val="454"/>
          <w:tblHeader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4E19996F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200CE4" w14:textId="77777777" w:rsidR="000E6431" w:rsidRPr="006C5732" w:rsidRDefault="009C554E" w:rsidP="00624A3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 w:rsidR="000E6431">
              <w:rPr>
                <w:rFonts w:ascii="Calibri" w:hAnsi="Calibri" w:cs="Calibri"/>
                <w:b/>
                <w:bCs/>
                <w:sz w:val="16"/>
                <w:szCs w:val="16"/>
              </w:rPr>
              <w:t>os.</w:t>
            </w:r>
            <w:r w:rsidR="000E6431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2020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9B714D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D567515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8D685DD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Puntaje Gral.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48DA4407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Reputación según académicos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7870AB16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Reputación según empleadores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15607670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Relación entre estudiantes y profesores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0AC5B83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Proporción de académicos extranjeros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F3F8C9A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 w:cs="Calibri"/>
                <w:b/>
                <w:bCs/>
                <w:sz w:val="16"/>
                <w:szCs w:val="16"/>
              </w:rPr>
              <w:t>Proporción de estudiantes extranjeros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401CBE2" w14:textId="77777777" w:rsidR="000E6431" w:rsidRPr="006C5732" w:rsidRDefault="000E6431" w:rsidP="009C55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C5732">
              <w:rPr>
                <w:rFonts w:ascii="Calibri" w:hAnsi="Calibri"/>
                <w:b/>
                <w:sz w:val="16"/>
                <w:szCs w:val="16"/>
              </w:rPr>
              <w:t xml:space="preserve">Citas académicas por artículo </w:t>
            </w:r>
          </w:p>
        </w:tc>
      </w:tr>
      <w:tr w:rsidR="00624A3B" w:rsidRPr="006C5732" w14:paraId="6D960AAD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F5A0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A48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5912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FB3B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CB4C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ED350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8074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9431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287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D00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CA3D6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</w:tr>
      <w:tr w:rsidR="00624A3B" w:rsidRPr="006C5732" w14:paraId="297096DB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024890F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AAC1D2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DA3FB3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0CA8886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4E455FF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6C3DEE5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34AC711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6C3A2C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A4890B3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CE3E5CA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DF34A26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24A3B" w:rsidRPr="006C5732" w14:paraId="6A482110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1D8F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429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13D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3A8D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38AB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E54B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3AAC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BCD1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59CA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9F9C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D5A7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624A3B" w:rsidRPr="006C5732" w14:paraId="3E72E91A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C2941E5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D1DB4A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D66B57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2E0D10E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5C0E7DE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48C0B10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B912F5D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BD2F8BA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79CA773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FD0C33E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6DEDA8B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14.1</w:t>
            </w:r>
          </w:p>
        </w:tc>
      </w:tr>
      <w:tr w:rsidR="00624A3B" w:rsidRPr="006C5732" w14:paraId="44CDE46E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65C8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39B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7501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7D15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60AC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A2B6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1269D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30AD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15F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9A821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3AAD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</w:tr>
      <w:tr w:rsidR="00624A3B" w:rsidRPr="006C5732" w14:paraId="7D56CE44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9C12023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A9FD3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25BEF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61DCA7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FEC6375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AB07D0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FB8992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7D86ECC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51F44BA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B9C6B64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AD08A50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624A3B" w:rsidRPr="006C5732" w14:paraId="0F28F989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F12E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989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2C9B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2D3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A14D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C649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CB04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32E3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37E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B809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1080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</w:tr>
      <w:tr w:rsidR="00624A3B" w:rsidRPr="006C5732" w14:paraId="7D44D4BB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1F9BA23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6A17D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E0AE9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D053F9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D6597D7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D7EF15E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9FE69F5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033A86F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8D16849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49AC10B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FEC74AD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</w:tr>
      <w:tr w:rsidR="00624A3B" w:rsidRPr="006C5732" w14:paraId="3E6A07FB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F980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F2C" w14:textId="77777777" w:rsidR="000E6431" w:rsidRPr="006C5732" w:rsidRDefault="009C554E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6580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4A32A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368F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DD8C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9164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9A80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123E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A407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494F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</w:tr>
      <w:tr w:rsidR="00624A3B" w:rsidRPr="006C5732" w14:paraId="23A84C52" w14:textId="77777777" w:rsidTr="00624A3B">
        <w:trPr>
          <w:trHeight w:val="258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4C10F70" w14:textId="77777777" w:rsidR="000E6431" w:rsidRPr="006C5732" w:rsidRDefault="000E6431" w:rsidP="00624A3B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9FAB3" w14:textId="77777777" w:rsidR="000E6431" w:rsidRPr="006C5732" w:rsidRDefault="00624A3B" w:rsidP="00624A3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939C03" w14:textId="77777777" w:rsidR="000E6431" w:rsidRPr="006C5732" w:rsidRDefault="000E6431" w:rsidP="00E256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Argentina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8D50A0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FEDF6A6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71C04F7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8F73638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EE7EEEB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2C5686A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A438972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BFC9335" w14:textId="77777777" w:rsidR="000E6431" w:rsidRPr="006C5732" w:rsidRDefault="000E6431" w:rsidP="00E2567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5732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</w:tr>
      <w:tr w:rsidR="000E6431" w:rsidRPr="006C5732" w14:paraId="0AFF9FA5" w14:textId="77777777" w:rsidTr="00624A3B">
        <w:trPr>
          <w:trHeight w:val="258"/>
          <w:jc w:val="center"/>
        </w:trPr>
        <w:tc>
          <w:tcPr>
            <w:tcW w:w="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4A734" w14:textId="77777777" w:rsidR="000E6431" w:rsidRPr="006C5732" w:rsidRDefault="000E6431" w:rsidP="000E6431">
            <w:pPr>
              <w:ind w:firstLine="1414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10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F3F53" w14:textId="77777777" w:rsidR="000E6431" w:rsidRPr="006C5732" w:rsidRDefault="000E6431" w:rsidP="00E2567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5732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Fuente:</w:t>
            </w:r>
            <w:r w:rsidRPr="006C573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Elaboración propia con datos publicados del QS ranking mundial de universidades, 2021.</w:t>
            </w:r>
          </w:p>
          <w:p w14:paraId="49FD06ED" w14:textId="77777777" w:rsidR="000E6431" w:rsidRPr="006C5732" w:rsidRDefault="000E6431" w:rsidP="00E2567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5732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Nota: </w:t>
            </w:r>
            <w:r w:rsidRPr="006C5732">
              <w:rPr>
                <w:rFonts w:ascii="Calibri" w:hAnsi="Calibri" w:cs="Calibri"/>
                <w:color w:val="000000"/>
                <w:sz w:val="14"/>
                <w:szCs w:val="14"/>
              </w:rPr>
              <w:t>Ordenado conforme a la posición obtenida en 2021 y el nombre de la institución.</w:t>
            </w:r>
          </w:p>
        </w:tc>
      </w:tr>
    </w:tbl>
    <w:p w14:paraId="0B9C45DA" w14:textId="1F29DD5F" w:rsidR="000E6431" w:rsidRDefault="00624A3B" w:rsidP="00264176">
      <w:pPr>
        <w:pStyle w:val="Prrafodelista"/>
      </w:pPr>
      <w:r>
        <w:t xml:space="preserve">Las primeras universidades de América Latina mejoraron sus posiciones en este ranking mundial entre las ediciones de 2020 y la de 2021. </w:t>
      </w:r>
      <w:r w:rsidR="000E6431">
        <w:t>El orden en las posiciones  se mantiene (con excepción del caso de las universidades Estatal de Campinas y De los Andes que invierten su ubicación</w:t>
      </w:r>
      <w:r>
        <w:t>)</w:t>
      </w:r>
      <w:r w:rsidR="000E6431">
        <w:t>.</w:t>
      </w:r>
    </w:p>
    <w:p w14:paraId="0530658F" w14:textId="77777777" w:rsidR="000E6431" w:rsidRPr="00E4297B" w:rsidRDefault="00B372C8" w:rsidP="00264176">
      <w:pPr>
        <w:pStyle w:val="Prrafodelista"/>
      </w:pPr>
      <w:r>
        <w:t xml:space="preserve">En el segundo </w:t>
      </w:r>
      <w:r w:rsidR="00624A3B">
        <w:t xml:space="preserve">ranking </w:t>
      </w:r>
      <w:r>
        <w:t>(QS Latin America)</w:t>
      </w:r>
      <w:r w:rsidR="00837BFE">
        <w:t xml:space="preserve">, encabezan la lista la PUC Chile y la Universidad de Sao Paulo. Les siguen en orden el </w:t>
      </w:r>
      <w:r w:rsidR="00837BFE" w:rsidRPr="00837BFE">
        <w:t>Instituto Tecnológico y de Estudios Superiores de Monterrey</w:t>
      </w:r>
      <w:r w:rsidR="00837BFE">
        <w:t>, la Universidad de Chile, la Universidad Estatal de Campinas, la Universidad de los Andes, la UNAM y la Universidad de Buenos Aires.</w:t>
      </w:r>
    </w:p>
    <w:p w14:paraId="2CB4DC9E" w14:textId="77777777" w:rsidR="00734FA7" w:rsidRDefault="00734FA7">
      <w:r>
        <w:br w:type="page"/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2420"/>
        <w:gridCol w:w="425"/>
        <w:gridCol w:w="653"/>
        <w:gridCol w:w="918"/>
        <w:gridCol w:w="1009"/>
        <w:gridCol w:w="992"/>
        <w:gridCol w:w="854"/>
        <w:gridCol w:w="709"/>
        <w:gridCol w:w="992"/>
        <w:gridCol w:w="1020"/>
        <w:gridCol w:w="702"/>
      </w:tblGrid>
      <w:tr w:rsidR="00837BFE" w:rsidRPr="00837BFE" w14:paraId="24E37E97" w14:textId="77777777" w:rsidTr="00B43015">
        <w:trPr>
          <w:trHeight w:val="293"/>
          <w:jc w:val="center"/>
        </w:trPr>
        <w:tc>
          <w:tcPr>
            <w:tcW w:w="1162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805FAF" w14:textId="77777777" w:rsidR="00837BFE" w:rsidRPr="00837BFE" w:rsidRDefault="00837BFE" w:rsidP="00624A3B">
            <w:pPr>
              <w:keepNext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color w:val="050505"/>
                <w:sz w:val="20"/>
              </w:rPr>
              <w:lastRenderedPageBreak/>
              <w:t xml:space="preserve">Tabla 2. </w:t>
            </w:r>
            <w:r w:rsidRPr="006C5732">
              <w:rPr>
                <w:rFonts w:ascii="Calibri" w:hAnsi="Calibri"/>
                <w:b/>
                <w:color w:val="050505"/>
                <w:sz w:val="20"/>
              </w:rPr>
              <w:t xml:space="preserve">Posición de las </w:t>
            </w:r>
            <w:r>
              <w:rPr>
                <w:rFonts w:ascii="Calibri" w:hAnsi="Calibri"/>
                <w:b/>
                <w:color w:val="050505"/>
                <w:sz w:val="20"/>
              </w:rPr>
              <w:t xml:space="preserve">primer 10 </w:t>
            </w:r>
            <w:r w:rsidRPr="006C5732">
              <w:rPr>
                <w:rFonts w:ascii="Calibri" w:hAnsi="Calibri"/>
                <w:b/>
                <w:color w:val="050505"/>
                <w:sz w:val="20"/>
              </w:rPr>
              <w:t xml:space="preserve">universidades iberoamericanas en el QS ranking </w:t>
            </w:r>
            <w:r>
              <w:rPr>
                <w:rFonts w:ascii="Calibri" w:hAnsi="Calibri"/>
                <w:b/>
                <w:color w:val="050505"/>
                <w:sz w:val="20"/>
              </w:rPr>
              <w:t>Latin America</w:t>
            </w:r>
            <w:r w:rsidRPr="006C5732">
              <w:rPr>
                <w:rFonts w:ascii="Calibri" w:hAnsi="Calibri"/>
                <w:b/>
                <w:color w:val="050505"/>
                <w:sz w:val="20"/>
              </w:rPr>
              <w:t>, 2021</w:t>
            </w:r>
          </w:p>
        </w:tc>
      </w:tr>
      <w:tr w:rsidR="00837BFE" w:rsidRPr="00837BFE" w14:paraId="11820F6C" w14:textId="77777777" w:rsidTr="00837BFE">
        <w:trPr>
          <w:trHeight w:val="588"/>
          <w:jc w:val="center"/>
        </w:trPr>
        <w:tc>
          <w:tcPr>
            <w:tcW w:w="465" w:type="dxa"/>
            <w:shd w:val="clear" w:color="auto" w:fill="B4C6E7" w:themeFill="accent1" w:themeFillTint="66"/>
            <w:vAlign w:val="bottom"/>
            <w:hideMark/>
          </w:tcPr>
          <w:p w14:paraId="467C1B4E" w14:textId="77777777" w:rsidR="00D03CB3" w:rsidRPr="00837BFE" w:rsidRDefault="00837BFE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Pos.</w:t>
            </w: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D03CB3"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465" w:type="dxa"/>
            <w:shd w:val="clear" w:color="auto" w:fill="B4C6E7" w:themeFill="accent1" w:themeFillTint="66"/>
            <w:vAlign w:val="bottom"/>
            <w:hideMark/>
          </w:tcPr>
          <w:p w14:paraId="22305EDF" w14:textId="77777777" w:rsidR="00D03CB3" w:rsidRPr="00837BFE" w:rsidRDefault="00837BFE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Pos.</w:t>
            </w: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D03CB3"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420" w:type="dxa"/>
            <w:shd w:val="clear" w:color="auto" w:fill="B4C6E7" w:themeFill="accent1" w:themeFillTint="66"/>
            <w:vAlign w:val="bottom"/>
            <w:hideMark/>
          </w:tcPr>
          <w:p w14:paraId="34B45B31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425" w:type="dxa"/>
            <w:shd w:val="clear" w:color="auto" w:fill="B4C6E7" w:themeFill="accent1" w:themeFillTint="66"/>
            <w:vAlign w:val="bottom"/>
            <w:hideMark/>
          </w:tcPr>
          <w:p w14:paraId="061B39E6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53" w:type="dxa"/>
            <w:shd w:val="clear" w:color="auto" w:fill="B4C6E7" w:themeFill="accent1" w:themeFillTint="66"/>
            <w:vAlign w:val="bottom"/>
          </w:tcPr>
          <w:p w14:paraId="5D88F0E3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Puntaje general</w:t>
            </w:r>
          </w:p>
        </w:tc>
        <w:tc>
          <w:tcPr>
            <w:tcW w:w="918" w:type="dxa"/>
            <w:shd w:val="clear" w:color="auto" w:fill="B4C6E7" w:themeFill="accent1" w:themeFillTint="66"/>
            <w:vAlign w:val="bottom"/>
            <w:hideMark/>
          </w:tcPr>
          <w:p w14:paraId="698E277A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Reputación</w:t>
            </w:r>
            <w:r w:rsidR="00837BFE"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según </w:t>
            </w: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académicos</w:t>
            </w:r>
          </w:p>
        </w:tc>
        <w:tc>
          <w:tcPr>
            <w:tcW w:w="1009" w:type="dxa"/>
            <w:shd w:val="clear" w:color="auto" w:fill="B4C6E7" w:themeFill="accent1" w:themeFillTint="66"/>
            <w:vAlign w:val="bottom"/>
            <w:hideMark/>
          </w:tcPr>
          <w:p w14:paraId="0D8D6C8F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Reputación</w:t>
            </w:r>
            <w:r w:rsidR="00837BFE"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según</w:t>
            </w: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empleadores</w:t>
            </w:r>
          </w:p>
        </w:tc>
        <w:tc>
          <w:tcPr>
            <w:tcW w:w="992" w:type="dxa"/>
            <w:shd w:val="clear" w:color="auto" w:fill="B4C6E7" w:themeFill="accent1" w:themeFillTint="66"/>
            <w:vAlign w:val="bottom"/>
            <w:hideMark/>
          </w:tcPr>
          <w:p w14:paraId="058A5962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Académicos por estudiante</w:t>
            </w:r>
          </w:p>
        </w:tc>
        <w:tc>
          <w:tcPr>
            <w:tcW w:w="854" w:type="dxa"/>
            <w:shd w:val="clear" w:color="auto" w:fill="B4C6E7" w:themeFill="accent1" w:themeFillTint="66"/>
            <w:vAlign w:val="bottom"/>
            <w:hideMark/>
          </w:tcPr>
          <w:p w14:paraId="2793B741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Artículos por académico</w:t>
            </w:r>
          </w:p>
        </w:tc>
        <w:tc>
          <w:tcPr>
            <w:tcW w:w="709" w:type="dxa"/>
            <w:shd w:val="clear" w:color="auto" w:fill="B4C6E7" w:themeFill="accent1" w:themeFillTint="66"/>
            <w:vAlign w:val="bottom"/>
            <w:hideMark/>
          </w:tcPr>
          <w:p w14:paraId="68EA0A5C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Citas por artículo</w:t>
            </w:r>
          </w:p>
        </w:tc>
        <w:tc>
          <w:tcPr>
            <w:tcW w:w="992" w:type="dxa"/>
            <w:shd w:val="clear" w:color="auto" w:fill="B4C6E7" w:themeFill="accent1" w:themeFillTint="66"/>
            <w:vAlign w:val="bottom"/>
            <w:hideMark/>
          </w:tcPr>
          <w:p w14:paraId="759C4BC7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Académicos con doctorado</w:t>
            </w:r>
          </w:p>
        </w:tc>
        <w:tc>
          <w:tcPr>
            <w:tcW w:w="1020" w:type="dxa"/>
            <w:shd w:val="clear" w:color="auto" w:fill="B4C6E7" w:themeFill="accent1" w:themeFillTint="66"/>
            <w:vAlign w:val="bottom"/>
            <w:hideMark/>
          </w:tcPr>
          <w:p w14:paraId="081401C4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Red internacional de investigación</w:t>
            </w:r>
          </w:p>
        </w:tc>
        <w:tc>
          <w:tcPr>
            <w:tcW w:w="702" w:type="dxa"/>
            <w:shd w:val="clear" w:color="auto" w:fill="B4C6E7" w:themeFill="accent1" w:themeFillTint="66"/>
            <w:vAlign w:val="bottom"/>
            <w:hideMark/>
          </w:tcPr>
          <w:p w14:paraId="0294620C" w14:textId="77777777" w:rsidR="00D03CB3" w:rsidRPr="00837BFE" w:rsidRDefault="00D03CB3" w:rsidP="00837BF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37BFE">
              <w:rPr>
                <w:rFonts w:ascii="Calibri" w:hAnsi="Calibri" w:cs="Calibri"/>
                <w:b/>
                <w:bCs/>
                <w:sz w:val="16"/>
                <w:szCs w:val="16"/>
              </w:rPr>
              <w:t>Impacto en Web</w:t>
            </w:r>
          </w:p>
        </w:tc>
      </w:tr>
      <w:tr w:rsidR="00837BFE" w:rsidRPr="00D03CB3" w14:paraId="5F282203" w14:textId="77777777" w:rsidTr="00837BFE">
        <w:trPr>
          <w:trHeight w:val="513"/>
          <w:jc w:val="center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45966A6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67C6C1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14:paraId="5E4BD8E4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</w:t>
            </w:r>
            <w:r w:rsidR="00837BFE" w:rsidRPr="00734F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</w:t>
            </w: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CC8C8E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653" w:type="dxa"/>
            <w:vAlign w:val="bottom"/>
          </w:tcPr>
          <w:p w14:paraId="2838E26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9515EF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1B4ADE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813D8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28225B7B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C45D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B01FDF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C394E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933B15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</w:tr>
      <w:tr w:rsidR="00837BFE" w:rsidRPr="00D03CB3" w14:paraId="4E124366" w14:textId="77777777" w:rsidTr="00734FA7">
        <w:trPr>
          <w:trHeight w:val="340"/>
          <w:jc w:val="center"/>
        </w:trPr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21ADB624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20314FE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bottom"/>
            <w:hideMark/>
          </w:tcPr>
          <w:p w14:paraId="1ED24B8C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bottom"/>
            <w:hideMark/>
          </w:tcPr>
          <w:p w14:paraId="04A9076A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14:paraId="638E20E8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5E91555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088414D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4E20705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4D81C910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70B4B6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575840B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14:paraId="6FB6F92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bottom"/>
            <w:hideMark/>
          </w:tcPr>
          <w:p w14:paraId="59813D1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</w:tr>
      <w:tr w:rsidR="00837BFE" w:rsidRPr="00D03CB3" w14:paraId="06EED59C" w14:textId="77777777" w:rsidTr="00837BFE">
        <w:trPr>
          <w:trHeight w:val="330"/>
          <w:jc w:val="center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B06CEF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44FCE3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14:paraId="64A7C397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0751FF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MX</w:t>
            </w:r>
          </w:p>
        </w:tc>
        <w:tc>
          <w:tcPr>
            <w:tcW w:w="653" w:type="dxa"/>
            <w:vAlign w:val="bottom"/>
          </w:tcPr>
          <w:p w14:paraId="1AE16AD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4CBC33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0C24E4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EFFC7E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5B65A6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7A36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4427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75C058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160BAE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69.0</w:t>
            </w:r>
          </w:p>
        </w:tc>
      </w:tr>
      <w:tr w:rsidR="00837BFE" w:rsidRPr="00D03CB3" w14:paraId="697260C3" w14:textId="77777777" w:rsidTr="00734FA7">
        <w:trPr>
          <w:trHeight w:val="340"/>
          <w:jc w:val="center"/>
        </w:trPr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1385832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04058C4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bottom"/>
            <w:hideMark/>
          </w:tcPr>
          <w:p w14:paraId="63E3EF43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bottom"/>
            <w:hideMark/>
          </w:tcPr>
          <w:p w14:paraId="3A5ECB43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CL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14:paraId="61A88EB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1A7830B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0FF0B5D8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07CD42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6FE35D84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087752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67A56DA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14:paraId="506C3A0B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bottom"/>
            <w:hideMark/>
          </w:tcPr>
          <w:p w14:paraId="62FB9AE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99.5</w:t>
            </w:r>
          </w:p>
        </w:tc>
      </w:tr>
      <w:tr w:rsidR="00837BFE" w:rsidRPr="00D03CB3" w14:paraId="40BE2499" w14:textId="77777777" w:rsidTr="00837BFE">
        <w:trPr>
          <w:trHeight w:val="284"/>
          <w:jc w:val="center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3F718A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197A2D5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14:paraId="7F29440E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24BFCC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653" w:type="dxa"/>
            <w:vAlign w:val="bottom"/>
          </w:tcPr>
          <w:p w14:paraId="35DEF8E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5FFC99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0E5F350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B3F9C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38276E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93E7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D839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2D179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4EE9B0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</w:tr>
      <w:tr w:rsidR="00837BFE" w:rsidRPr="00D03CB3" w14:paraId="73377F5F" w14:textId="77777777" w:rsidTr="00734FA7">
        <w:trPr>
          <w:trHeight w:val="340"/>
          <w:jc w:val="center"/>
        </w:trPr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598EDF3E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5917294F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bottom"/>
            <w:hideMark/>
          </w:tcPr>
          <w:p w14:paraId="6898A918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bottom"/>
            <w:hideMark/>
          </w:tcPr>
          <w:p w14:paraId="439BDF0D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14:paraId="4DC8CDB0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2B87BC38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114C7DA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3E7DF458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0113AB0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6A9554A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7DDD897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14:paraId="36EECC9B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bottom"/>
            <w:hideMark/>
          </w:tcPr>
          <w:p w14:paraId="022C294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92.5</w:t>
            </w:r>
          </w:p>
        </w:tc>
      </w:tr>
      <w:tr w:rsidR="00837BFE" w:rsidRPr="00D03CB3" w14:paraId="50633F09" w14:textId="77777777" w:rsidTr="00837BFE">
        <w:trPr>
          <w:trHeight w:val="336"/>
          <w:jc w:val="center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31E5AC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E8D20B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14:paraId="772BFA11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256139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MX</w:t>
            </w:r>
          </w:p>
        </w:tc>
        <w:tc>
          <w:tcPr>
            <w:tcW w:w="653" w:type="dxa"/>
            <w:vAlign w:val="bottom"/>
          </w:tcPr>
          <w:p w14:paraId="4E0FBC1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CAEDBD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B340CF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E2150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A4CA6E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AB8FB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B5F264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20D10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5FFC632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</w:tr>
      <w:tr w:rsidR="00837BFE" w:rsidRPr="00D03CB3" w14:paraId="53EAC786" w14:textId="77777777" w:rsidTr="00734FA7">
        <w:trPr>
          <w:trHeight w:val="340"/>
          <w:jc w:val="center"/>
        </w:trPr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0A76121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6E9FC8D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bottom"/>
            <w:hideMark/>
          </w:tcPr>
          <w:p w14:paraId="02E83EC4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bottom"/>
            <w:hideMark/>
          </w:tcPr>
          <w:p w14:paraId="22BC9F46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AR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14:paraId="39371181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10A760E0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003C312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035FBA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5204441B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8B5B380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3DB3FA5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14:paraId="3C98727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bottom"/>
            <w:hideMark/>
          </w:tcPr>
          <w:p w14:paraId="3F6D01C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96.8</w:t>
            </w:r>
          </w:p>
        </w:tc>
      </w:tr>
      <w:tr w:rsidR="00837BFE" w:rsidRPr="00D03CB3" w14:paraId="7DC9323B" w14:textId="77777777" w:rsidTr="00837BFE">
        <w:trPr>
          <w:trHeight w:val="379"/>
          <w:jc w:val="center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0F5466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0C9ADEBF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14:paraId="2C600CA5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Rio de Janeiro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D1E5D0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653" w:type="dxa"/>
            <w:vAlign w:val="bottom"/>
          </w:tcPr>
          <w:p w14:paraId="3E6A4E87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F53758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D05F6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90ECB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2E95ECE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6F59A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8FCF3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BCAE3F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F759B08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</w:tr>
      <w:tr w:rsidR="00837BFE" w:rsidRPr="00D03CB3" w14:paraId="3440A748" w14:textId="77777777" w:rsidTr="00734FA7">
        <w:trPr>
          <w:trHeight w:val="283"/>
          <w:jc w:val="center"/>
        </w:trPr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2A9907B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dxa"/>
            <w:shd w:val="clear" w:color="auto" w:fill="D9D9D9" w:themeFill="background1" w:themeFillShade="D9"/>
            <w:noWrap/>
            <w:vAlign w:val="bottom"/>
            <w:hideMark/>
          </w:tcPr>
          <w:p w14:paraId="4BC9716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bottom"/>
            <w:hideMark/>
          </w:tcPr>
          <w:p w14:paraId="0A10AE00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bottom"/>
            <w:hideMark/>
          </w:tcPr>
          <w:p w14:paraId="3CEFFC35" w14:textId="77777777" w:rsidR="00D03CB3" w:rsidRPr="00734FA7" w:rsidRDefault="00D03CB3" w:rsidP="00D03C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bottom"/>
          </w:tcPr>
          <w:p w14:paraId="5DAB5EA9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125B5855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55586DAC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3C74538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55B6098F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43999BC6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76F9D930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bottom"/>
            <w:hideMark/>
          </w:tcPr>
          <w:p w14:paraId="6A0DF39B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702" w:type="dxa"/>
            <w:shd w:val="clear" w:color="auto" w:fill="D9D9D9" w:themeFill="background1" w:themeFillShade="D9"/>
            <w:noWrap/>
            <w:vAlign w:val="bottom"/>
            <w:hideMark/>
          </w:tcPr>
          <w:p w14:paraId="3447742D" w14:textId="77777777" w:rsidR="00D03CB3" w:rsidRPr="00734FA7" w:rsidRDefault="00D03CB3" w:rsidP="00D03CB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4FA7">
              <w:rPr>
                <w:rFonts w:ascii="Calibri" w:hAnsi="Calibri" w:cs="Calibri"/>
                <w:color w:val="000000"/>
                <w:sz w:val="18"/>
                <w:szCs w:val="18"/>
              </w:rPr>
              <w:t>94.3</w:t>
            </w:r>
          </w:p>
        </w:tc>
      </w:tr>
    </w:tbl>
    <w:p w14:paraId="2F5E5331" w14:textId="77777777" w:rsidR="00B43015" w:rsidRDefault="00B43015" w:rsidP="00264176">
      <w:pPr>
        <w:pStyle w:val="Prrafodelista"/>
      </w:pPr>
      <w:r w:rsidRPr="00624A3B">
        <w:t xml:space="preserve">En la comparación entre ambos rankings para 2021 </w:t>
      </w:r>
      <w:r>
        <w:t>las posiciones de las diez primeras universidades varían. D</w:t>
      </w:r>
      <w:r w:rsidRPr="00624A3B">
        <w:t xml:space="preserve">estaca el hecho de que las dos primeras </w:t>
      </w:r>
      <w:r w:rsidR="00CB3BF9">
        <w:t xml:space="preserve">iberoamericanas </w:t>
      </w:r>
      <w:r w:rsidRPr="00624A3B">
        <w:t xml:space="preserve">en el ranking mundial (UBA y UNAM) pasan a ocupar los lugares </w:t>
      </w:r>
      <w:r w:rsidR="002E4B03">
        <w:t>ocho</w:t>
      </w:r>
      <w:r w:rsidRPr="00624A3B">
        <w:t xml:space="preserve"> y </w:t>
      </w:r>
      <w:r w:rsidR="002E4B03">
        <w:t>siete</w:t>
      </w:r>
      <w:r w:rsidRPr="00624A3B">
        <w:t xml:space="preserve"> respectivamente</w:t>
      </w:r>
      <w:r>
        <w:t xml:space="preserve">, en el ranking de América Latina. La Pontificia Universidad Católica de Chile </w:t>
      </w:r>
      <w:r w:rsidR="00CB3BF9">
        <w:t>sube tres posiciones para encabezar</w:t>
      </w:r>
      <w:r>
        <w:t xml:space="preserve"> la lista y la Universidad de Sao Paulo sube una posición.</w:t>
      </w:r>
    </w:p>
    <w:p w14:paraId="50AA5711" w14:textId="77777777" w:rsidR="00B43015" w:rsidRPr="00624A3B" w:rsidRDefault="00B43015" w:rsidP="00264176">
      <w:pPr>
        <w:pStyle w:val="Prrafodelista"/>
      </w:pPr>
      <w:r>
        <w:t>La contradicción entre ambos rankings QS para el mismo año se explica por el uso de metodologías que difieren en la selección y ponderación de rubros:</w:t>
      </w:r>
    </w:p>
    <w:p w14:paraId="31DAFFF8" w14:textId="77777777" w:rsidR="00B43015" w:rsidRPr="00D03CB3" w:rsidRDefault="00B43015" w:rsidP="00B43015">
      <w:pPr>
        <w:tabs>
          <w:tab w:val="left" w:pos="535"/>
          <w:tab w:val="left" w:pos="1000"/>
          <w:tab w:val="left" w:pos="3420"/>
          <w:tab w:val="left" w:pos="3845"/>
          <w:tab w:val="left" w:pos="4498"/>
          <w:tab w:val="left" w:pos="5416"/>
          <w:tab w:val="left" w:pos="6425"/>
          <w:tab w:val="left" w:pos="7417"/>
          <w:tab w:val="left" w:pos="8271"/>
          <w:tab w:val="left" w:pos="8980"/>
          <w:tab w:val="left" w:pos="9972"/>
          <w:tab w:val="left" w:pos="10992"/>
        </w:tabs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1439"/>
        <w:gridCol w:w="2268"/>
      </w:tblGrid>
      <w:tr w:rsidR="00732460" w:rsidRPr="00B43015" w14:paraId="78AA828B" w14:textId="77777777" w:rsidTr="00624A3B">
        <w:trPr>
          <w:jc w:val="center"/>
        </w:trPr>
        <w:tc>
          <w:tcPr>
            <w:tcW w:w="7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A89F0" w14:textId="77777777" w:rsidR="00732460" w:rsidRPr="00B43015" w:rsidRDefault="00E4297B" w:rsidP="00732460">
            <w:pPr>
              <w:jc w:val="center"/>
              <w:rPr>
                <w:b/>
                <w:sz w:val="21"/>
                <w:szCs w:val="21"/>
              </w:rPr>
            </w:pPr>
            <w:r w:rsidRPr="00B43015">
              <w:rPr>
                <w:b/>
                <w:sz w:val="20"/>
                <w:szCs w:val="20"/>
              </w:rPr>
              <w:t xml:space="preserve">Tabla </w:t>
            </w:r>
            <w:r w:rsidR="00837BFE" w:rsidRPr="00B43015">
              <w:rPr>
                <w:b/>
                <w:sz w:val="20"/>
                <w:szCs w:val="20"/>
              </w:rPr>
              <w:t>3</w:t>
            </w:r>
            <w:r w:rsidRPr="00B43015">
              <w:rPr>
                <w:b/>
                <w:sz w:val="20"/>
                <w:szCs w:val="20"/>
              </w:rPr>
              <w:t>. Comparación de rubros y porcentajes en QS World y QS Latin America</w:t>
            </w:r>
          </w:p>
        </w:tc>
      </w:tr>
      <w:tr w:rsidR="00732460" w:rsidRPr="00B43015" w14:paraId="5387B341" w14:textId="77777777" w:rsidTr="00B43015">
        <w:trPr>
          <w:jc w:val="center"/>
        </w:trPr>
        <w:tc>
          <w:tcPr>
            <w:tcW w:w="422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05EFDD7" w14:textId="77777777" w:rsidR="00732460" w:rsidRPr="00B43015" w:rsidRDefault="00732460" w:rsidP="00732460">
            <w:pPr>
              <w:jc w:val="center"/>
              <w:rPr>
                <w:b/>
                <w:sz w:val="22"/>
                <w:szCs w:val="22"/>
              </w:rPr>
            </w:pPr>
            <w:r w:rsidRPr="00B43015">
              <w:rPr>
                <w:b/>
                <w:sz w:val="22"/>
                <w:szCs w:val="22"/>
              </w:rPr>
              <w:t>Rubro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73CF7F3" w14:textId="77777777" w:rsidR="00732460" w:rsidRPr="00B43015" w:rsidRDefault="00732460" w:rsidP="00732460">
            <w:pPr>
              <w:jc w:val="center"/>
              <w:rPr>
                <w:b/>
                <w:sz w:val="22"/>
                <w:szCs w:val="22"/>
              </w:rPr>
            </w:pPr>
            <w:r w:rsidRPr="00B43015">
              <w:rPr>
                <w:b/>
                <w:sz w:val="22"/>
                <w:szCs w:val="22"/>
              </w:rPr>
              <w:t>QS Mundial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900ECC3" w14:textId="77777777" w:rsidR="00732460" w:rsidRPr="00B43015" w:rsidRDefault="00732460" w:rsidP="00732460">
            <w:pPr>
              <w:jc w:val="center"/>
              <w:rPr>
                <w:b/>
                <w:sz w:val="22"/>
                <w:szCs w:val="22"/>
              </w:rPr>
            </w:pPr>
            <w:r w:rsidRPr="00B43015">
              <w:rPr>
                <w:b/>
                <w:sz w:val="22"/>
                <w:szCs w:val="22"/>
              </w:rPr>
              <w:t>QS America Latina</w:t>
            </w:r>
          </w:p>
        </w:tc>
      </w:tr>
      <w:tr w:rsidR="00D80BDA" w:rsidRPr="00264176" w14:paraId="792823B2" w14:textId="77777777" w:rsidTr="00624A3B">
        <w:trPr>
          <w:jc w:val="center"/>
        </w:trPr>
        <w:tc>
          <w:tcPr>
            <w:tcW w:w="4226" w:type="dxa"/>
          </w:tcPr>
          <w:p w14:paraId="17F4AA38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Reputación según académicos</w:t>
            </w:r>
          </w:p>
        </w:tc>
        <w:tc>
          <w:tcPr>
            <w:tcW w:w="1439" w:type="dxa"/>
          </w:tcPr>
          <w:p w14:paraId="2032E583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40%</w:t>
            </w:r>
          </w:p>
        </w:tc>
        <w:tc>
          <w:tcPr>
            <w:tcW w:w="2268" w:type="dxa"/>
          </w:tcPr>
          <w:p w14:paraId="5B9B8AC9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30%</w:t>
            </w:r>
          </w:p>
        </w:tc>
      </w:tr>
      <w:tr w:rsidR="00D80BDA" w:rsidRPr="00264176" w14:paraId="248405DA" w14:textId="77777777" w:rsidTr="00624A3B">
        <w:trPr>
          <w:jc w:val="center"/>
        </w:trPr>
        <w:tc>
          <w:tcPr>
            <w:tcW w:w="4226" w:type="dxa"/>
          </w:tcPr>
          <w:p w14:paraId="13EE6C56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Reputación según empleadores</w:t>
            </w:r>
          </w:p>
        </w:tc>
        <w:tc>
          <w:tcPr>
            <w:tcW w:w="1439" w:type="dxa"/>
          </w:tcPr>
          <w:p w14:paraId="3CBEDEB5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10%</w:t>
            </w:r>
          </w:p>
        </w:tc>
        <w:tc>
          <w:tcPr>
            <w:tcW w:w="2268" w:type="dxa"/>
          </w:tcPr>
          <w:p w14:paraId="017299D4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20%</w:t>
            </w:r>
          </w:p>
        </w:tc>
      </w:tr>
      <w:tr w:rsidR="00D80BDA" w:rsidRPr="00264176" w14:paraId="4B7802F3" w14:textId="77777777" w:rsidTr="00624A3B">
        <w:trPr>
          <w:jc w:val="center"/>
        </w:trPr>
        <w:tc>
          <w:tcPr>
            <w:tcW w:w="4226" w:type="dxa"/>
          </w:tcPr>
          <w:p w14:paraId="77E139A2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Relación entre estudiantes y profesores</w:t>
            </w:r>
          </w:p>
        </w:tc>
        <w:tc>
          <w:tcPr>
            <w:tcW w:w="1439" w:type="dxa"/>
          </w:tcPr>
          <w:p w14:paraId="166D0576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20%</w:t>
            </w:r>
          </w:p>
        </w:tc>
        <w:tc>
          <w:tcPr>
            <w:tcW w:w="2268" w:type="dxa"/>
          </w:tcPr>
          <w:p w14:paraId="6F7736A3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20%</w:t>
            </w:r>
          </w:p>
        </w:tc>
      </w:tr>
      <w:tr w:rsidR="00D80BDA" w:rsidRPr="00264176" w14:paraId="4E673DC3" w14:textId="77777777" w:rsidTr="00624A3B">
        <w:trPr>
          <w:jc w:val="center"/>
        </w:trPr>
        <w:tc>
          <w:tcPr>
            <w:tcW w:w="4226" w:type="dxa"/>
          </w:tcPr>
          <w:p w14:paraId="5616084E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Academicos con doctorado</w:t>
            </w:r>
          </w:p>
        </w:tc>
        <w:tc>
          <w:tcPr>
            <w:tcW w:w="1439" w:type="dxa"/>
          </w:tcPr>
          <w:p w14:paraId="264984FC" w14:textId="77777777" w:rsidR="00D80BDA" w:rsidRPr="00264176" w:rsidRDefault="00734FA7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  <w:tc>
          <w:tcPr>
            <w:tcW w:w="2268" w:type="dxa"/>
          </w:tcPr>
          <w:p w14:paraId="6D7F798E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10%</w:t>
            </w:r>
          </w:p>
        </w:tc>
      </w:tr>
      <w:tr w:rsidR="00D80BDA" w:rsidRPr="00264176" w14:paraId="707D2569" w14:textId="77777777" w:rsidTr="00624A3B">
        <w:trPr>
          <w:jc w:val="center"/>
        </w:trPr>
        <w:tc>
          <w:tcPr>
            <w:tcW w:w="4226" w:type="dxa"/>
          </w:tcPr>
          <w:p w14:paraId="69B9415F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Citas por académic</w:t>
            </w:r>
            <w:r w:rsidR="00732460" w:rsidRPr="00264176">
              <w:rPr>
                <w:bCs/>
                <w:sz w:val="21"/>
                <w:szCs w:val="21"/>
              </w:rPr>
              <w:t>o</w:t>
            </w:r>
            <w:r w:rsidR="00E4297B" w:rsidRPr="00264176">
              <w:rPr>
                <w:bCs/>
                <w:sz w:val="21"/>
                <w:szCs w:val="21"/>
              </w:rPr>
              <w:t xml:space="preserve"> (Scopus)</w:t>
            </w:r>
          </w:p>
        </w:tc>
        <w:tc>
          <w:tcPr>
            <w:tcW w:w="1439" w:type="dxa"/>
          </w:tcPr>
          <w:p w14:paraId="030DCA0F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20%</w:t>
            </w:r>
          </w:p>
        </w:tc>
        <w:tc>
          <w:tcPr>
            <w:tcW w:w="2268" w:type="dxa"/>
          </w:tcPr>
          <w:p w14:paraId="430D4E2E" w14:textId="77777777" w:rsidR="00D80BDA" w:rsidRPr="00264176" w:rsidRDefault="00732460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</w:tr>
      <w:tr w:rsidR="00732460" w:rsidRPr="00264176" w14:paraId="7E451CDD" w14:textId="77777777" w:rsidTr="00624A3B">
        <w:trPr>
          <w:jc w:val="center"/>
        </w:trPr>
        <w:tc>
          <w:tcPr>
            <w:tcW w:w="4226" w:type="dxa"/>
          </w:tcPr>
          <w:p w14:paraId="0C1110CD" w14:textId="77777777" w:rsidR="00732460" w:rsidRPr="00264176" w:rsidRDefault="00732460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Citas por artículo</w:t>
            </w:r>
            <w:r w:rsidR="00E4297B" w:rsidRPr="00264176">
              <w:rPr>
                <w:bCs/>
                <w:sz w:val="21"/>
                <w:szCs w:val="21"/>
              </w:rPr>
              <w:t xml:space="preserve"> (Scopus)</w:t>
            </w:r>
          </w:p>
        </w:tc>
        <w:tc>
          <w:tcPr>
            <w:tcW w:w="1439" w:type="dxa"/>
          </w:tcPr>
          <w:p w14:paraId="05BE526E" w14:textId="77777777" w:rsidR="00732460" w:rsidRPr="00264176" w:rsidRDefault="00734FA7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  <w:tc>
          <w:tcPr>
            <w:tcW w:w="2268" w:type="dxa"/>
          </w:tcPr>
          <w:p w14:paraId="716D0426" w14:textId="77777777" w:rsidR="00732460" w:rsidRPr="00264176" w:rsidRDefault="00732460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10%</w:t>
            </w:r>
          </w:p>
        </w:tc>
      </w:tr>
      <w:tr w:rsidR="00D80BDA" w:rsidRPr="00264176" w14:paraId="433F3B68" w14:textId="77777777" w:rsidTr="00624A3B">
        <w:trPr>
          <w:jc w:val="center"/>
        </w:trPr>
        <w:tc>
          <w:tcPr>
            <w:tcW w:w="4226" w:type="dxa"/>
          </w:tcPr>
          <w:p w14:paraId="3C713C40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Artículos por académico</w:t>
            </w:r>
            <w:r w:rsidR="00E4297B" w:rsidRPr="00264176">
              <w:rPr>
                <w:bCs/>
                <w:sz w:val="21"/>
                <w:szCs w:val="21"/>
              </w:rPr>
              <w:t xml:space="preserve"> (Scopus)</w:t>
            </w:r>
          </w:p>
        </w:tc>
        <w:tc>
          <w:tcPr>
            <w:tcW w:w="1439" w:type="dxa"/>
          </w:tcPr>
          <w:p w14:paraId="5F2147BA" w14:textId="77777777" w:rsidR="00D80BDA" w:rsidRPr="00264176" w:rsidRDefault="00732460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  <w:tc>
          <w:tcPr>
            <w:tcW w:w="2268" w:type="dxa"/>
          </w:tcPr>
          <w:p w14:paraId="1AC99AAA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5%</w:t>
            </w:r>
          </w:p>
        </w:tc>
      </w:tr>
      <w:tr w:rsidR="00D80BDA" w:rsidRPr="00264176" w14:paraId="4E2D254B" w14:textId="77777777" w:rsidTr="00624A3B">
        <w:trPr>
          <w:jc w:val="center"/>
        </w:trPr>
        <w:tc>
          <w:tcPr>
            <w:tcW w:w="4226" w:type="dxa"/>
          </w:tcPr>
          <w:p w14:paraId="6BD6E1D7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Proporción de estudiantes extranjeros</w:t>
            </w:r>
          </w:p>
        </w:tc>
        <w:tc>
          <w:tcPr>
            <w:tcW w:w="1439" w:type="dxa"/>
          </w:tcPr>
          <w:p w14:paraId="2DA2E5E0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5%</w:t>
            </w:r>
          </w:p>
        </w:tc>
        <w:tc>
          <w:tcPr>
            <w:tcW w:w="2268" w:type="dxa"/>
          </w:tcPr>
          <w:p w14:paraId="5D598416" w14:textId="77777777" w:rsidR="00D80BDA" w:rsidRPr="00264176" w:rsidRDefault="00732460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</w:tr>
      <w:tr w:rsidR="00D80BDA" w:rsidRPr="00264176" w14:paraId="2BCBD00D" w14:textId="77777777" w:rsidTr="00624A3B">
        <w:trPr>
          <w:jc w:val="center"/>
        </w:trPr>
        <w:tc>
          <w:tcPr>
            <w:tcW w:w="4226" w:type="dxa"/>
          </w:tcPr>
          <w:p w14:paraId="34FC9E44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Proporción de académicos extranjeros</w:t>
            </w:r>
          </w:p>
        </w:tc>
        <w:tc>
          <w:tcPr>
            <w:tcW w:w="1439" w:type="dxa"/>
          </w:tcPr>
          <w:p w14:paraId="5A505F62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5%</w:t>
            </w:r>
          </w:p>
        </w:tc>
        <w:tc>
          <w:tcPr>
            <w:tcW w:w="2268" w:type="dxa"/>
          </w:tcPr>
          <w:p w14:paraId="586813C8" w14:textId="77777777" w:rsidR="00D80BDA" w:rsidRPr="00264176" w:rsidRDefault="00732460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</w:tr>
      <w:tr w:rsidR="00D80BDA" w:rsidRPr="00264176" w14:paraId="7BC61272" w14:textId="77777777" w:rsidTr="00624A3B">
        <w:trPr>
          <w:jc w:val="center"/>
        </w:trPr>
        <w:tc>
          <w:tcPr>
            <w:tcW w:w="4226" w:type="dxa"/>
          </w:tcPr>
          <w:p w14:paraId="44F947E2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Red internacional de investigación</w:t>
            </w:r>
            <w:r w:rsidR="00525D63" w:rsidRPr="00264176">
              <w:rPr>
                <w:rStyle w:val="Refdenotaalpie"/>
                <w:bCs/>
                <w:sz w:val="21"/>
                <w:szCs w:val="21"/>
              </w:rPr>
              <w:footnoteReference w:id="1"/>
            </w:r>
          </w:p>
        </w:tc>
        <w:tc>
          <w:tcPr>
            <w:tcW w:w="1439" w:type="dxa"/>
          </w:tcPr>
          <w:p w14:paraId="2A4775AE" w14:textId="77777777" w:rsidR="00D80BDA" w:rsidRPr="00264176" w:rsidRDefault="00E4297B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  <w:tc>
          <w:tcPr>
            <w:tcW w:w="2268" w:type="dxa"/>
          </w:tcPr>
          <w:p w14:paraId="127A601E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10%</w:t>
            </w:r>
          </w:p>
        </w:tc>
      </w:tr>
      <w:tr w:rsidR="00D80BDA" w:rsidRPr="00264176" w14:paraId="4F581034" w14:textId="77777777" w:rsidTr="00624A3B">
        <w:trPr>
          <w:jc w:val="center"/>
        </w:trPr>
        <w:tc>
          <w:tcPr>
            <w:tcW w:w="4226" w:type="dxa"/>
          </w:tcPr>
          <w:p w14:paraId="78BE9E6A" w14:textId="77777777" w:rsidR="00D80BDA" w:rsidRPr="00264176" w:rsidRDefault="00D80BDA">
            <w:pPr>
              <w:rPr>
                <w:bCs/>
                <w:sz w:val="21"/>
                <w:szCs w:val="21"/>
              </w:rPr>
            </w:pPr>
            <w:r w:rsidRPr="00264176">
              <w:rPr>
                <w:bCs/>
                <w:sz w:val="21"/>
                <w:szCs w:val="21"/>
              </w:rPr>
              <w:t>Impacto Web</w:t>
            </w:r>
          </w:p>
        </w:tc>
        <w:tc>
          <w:tcPr>
            <w:tcW w:w="1439" w:type="dxa"/>
          </w:tcPr>
          <w:p w14:paraId="43D04437" w14:textId="77777777" w:rsidR="00D80BDA" w:rsidRPr="00264176" w:rsidRDefault="00E4297B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no existe</w:t>
            </w:r>
          </w:p>
        </w:tc>
        <w:tc>
          <w:tcPr>
            <w:tcW w:w="2268" w:type="dxa"/>
          </w:tcPr>
          <w:p w14:paraId="27D5C7A0" w14:textId="77777777" w:rsidR="00D80BDA" w:rsidRPr="00264176" w:rsidRDefault="00D80BDA" w:rsidP="00732460">
            <w:pPr>
              <w:jc w:val="right"/>
              <w:rPr>
                <w:sz w:val="21"/>
                <w:szCs w:val="21"/>
              </w:rPr>
            </w:pPr>
            <w:r w:rsidRPr="00264176">
              <w:rPr>
                <w:sz w:val="21"/>
                <w:szCs w:val="21"/>
              </w:rPr>
              <w:t>5%</w:t>
            </w:r>
          </w:p>
        </w:tc>
      </w:tr>
    </w:tbl>
    <w:p w14:paraId="007274E2" w14:textId="77777777" w:rsidR="00747B33" w:rsidRDefault="00747B33"/>
    <w:p w14:paraId="41FABB59" w14:textId="309603C9" w:rsidR="0077361A" w:rsidRDefault="008515A7" w:rsidP="00264176">
      <w:pPr>
        <w:pStyle w:val="Prrafodelista"/>
      </w:pPr>
      <w:r>
        <w:t>En l</w:t>
      </w:r>
      <w:r w:rsidR="00B43015">
        <w:t xml:space="preserve">os rubros y ponderaciones que se utilizan para el QS Latin America </w:t>
      </w:r>
      <w:r w:rsidR="00734FA7">
        <w:t xml:space="preserve">disminuye el peso de la reputación de las instituciones entre académicos y </w:t>
      </w:r>
      <w:r>
        <w:t xml:space="preserve">sube en </w:t>
      </w:r>
      <w:r w:rsidR="00734FA7">
        <w:t xml:space="preserve">empleadores. </w:t>
      </w:r>
      <w:r>
        <w:t xml:space="preserve">Cuando se da mayor peso a la opinión de empleadores </w:t>
      </w:r>
      <w:r w:rsidR="001F0801">
        <w:t xml:space="preserve">se </w:t>
      </w:r>
      <w:r>
        <w:t xml:space="preserve">suele favorecer a las universidades privadas. </w:t>
      </w:r>
      <w:r w:rsidR="00734FA7">
        <w:t>Los rubros basados en proporciones de académicos con doctorado y artículos por académico favorecen a las universidades medianas y pequeñas respecto a las de mayor tamaño</w:t>
      </w:r>
      <w:r w:rsidR="00A57E9D">
        <w:t xml:space="preserve"> (esta es una condición evidente para la UNAM)</w:t>
      </w:r>
      <w:r w:rsidR="00734FA7">
        <w:t>. La</w:t>
      </w:r>
      <w:r w:rsidR="00525D63">
        <w:t>s</w:t>
      </w:r>
      <w:r w:rsidR="00734FA7">
        <w:t xml:space="preserve"> proporci</w:t>
      </w:r>
      <w:r w:rsidR="00525D63">
        <w:t>ones</w:t>
      </w:r>
      <w:r w:rsidR="00734FA7">
        <w:t xml:space="preserve"> de citas por artículo </w:t>
      </w:r>
      <w:r w:rsidR="00525D63">
        <w:t xml:space="preserve">y de colaboraciones internacionales (rubro Red internacional de investigación) </w:t>
      </w:r>
      <w:r w:rsidR="00734FA7">
        <w:t>favorece</w:t>
      </w:r>
      <w:r w:rsidR="00525D63">
        <w:t>n</w:t>
      </w:r>
      <w:r w:rsidR="00734FA7">
        <w:t>, en casi todos los casos (con la excepción de la USP) a instituciones con menos artículos publicados.</w:t>
      </w:r>
    </w:p>
    <w:p w14:paraId="4AF2167B" w14:textId="77777777" w:rsidR="0077361A" w:rsidRDefault="00A938AC" w:rsidP="00264176">
      <w:pPr>
        <w:pStyle w:val="Prrafodelista"/>
      </w:pPr>
      <w:r>
        <w:t xml:space="preserve">El uso de dos metodologías diferentes </w:t>
      </w:r>
      <w:r w:rsidR="0077361A">
        <w:t>para los rankings QS World y QS Latin America es reconocido explícitamente en la sección de metodología del ranking QS Latin America:</w:t>
      </w:r>
    </w:p>
    <w:p w14:paraId="4455471F" w14:textId="77777777" w:rsidR="0077361A" w:rsidRPr="00277456" w:rsidRDefault="0077361A" w:rsidP="00264176">
      <w:pPr>
        <w:ind w:left="1276" w:right="474"/>
        <w:jc w:val="both"/>
        <w:rPr>
          <w:rFonts w:asciiTheme="minorHAnsi" w:hAnsiTheme="minorHAnsi" w:cstheme="minorHAnsi"/>
          <w:lang w:val="en-US"/>
        </w:rPr>
      </w:pPr>
      <w:r w:rsidRPr="00277456">
        <w:rPr>
          <w:rFonts w:asciiTheme="minorHAnsi" w:hAnsiTheme="minorHAnsi" w:cstheme="minorHAnsi"/>
          <w:lang w:val="en-US"/>
        </w:rPr>
        <w:t xml:space="preserve">The QS World University Rankings: Latin America have been published since 2011. The method retains key indicators of the global ranking, such as Academic Reputation, Employer Reputation, and Faculty to Student Ratio, but also considers a set of performance metrics carefully </w:t>
      </w:r>
      <w:r w:rsidRPr="00277456">
        <w:rPr>
          <w:rFonts w:asciiTheme="minorHAnsi" w:hAnsiTheme="minorHAnsi" w:cstheme="minorHAnsi"/>
          <w:b/>
          <w:bCs/>
          <w:lang w:val="en-US"/>
        </w:rPr>
        <w:t>tailored for the region</w:t>
      </w:r>
      <w:r w:rsidRPr="00277456">
        <w:rPr>
          <w:rFonts w:asciiTheme="minorHAnsi" w:hAnsiTheme="minorHAnsi" w:cstheme="minorHAnsi"/>
          <w:lang w:val="en-US"/>
        </w:rPr>
        <w:t xml:space="preserve"> (</w:t>
      </w:r>
      <w:r w:rsidRPr="001F0801">
        <w:rPr>
          <w:rFonts w:asciiTheme="minorHAnsi" w:hAnsiTheme="minorHAnsi" w:cstheme="minorHAnsi"/>
          <w:lang w:val="en-US"/>
        </w:rPr>
        <w:t xml:space="preserve">el </w:t>
      </w:r>
      <w:proofErr w:type="spellStart"/>
      <w:r w:rsidRPr="001F0801">
        <w:rPr>
          <w:rFonts w:asciiTheme="minorHAnsi" w:hAnsiTheme="minorHAnsi" w:cstheme="minorHAnsi"/>
          <w:lang w:val="en-US"/>
        </w:rPr>
        <w:t>énfasis</w:t>
      </w:r>
      <w:proofErr w:type="spellEnd"/>
      <w:r w:rsidRPr="001F0801">
        <w:rPr>
          <w:rFonts w:asciiTheme="minorHAnsi" w:hAnsiTheme="minorHAnsi" w:cstheme="minorHAnsi"/>
          <w:lang w:val="en-US"/>
        </w:rPr>
        <w:t xml:space="preserve"> es </w:t>
      </w:r>
      <w:proofErr w:type="spellStart"/>
      <w:r w:rsidRPr="001F0801">
        <w:rPr>
          <w:rFonts w:asciiTheme="minorHAnsi" w:hAnsiTheme="minorHAnsi" w:cstheme="minorHAnsi"/>
          <w:lang w:val="en-US"/>
        </w:rPr>
        <w:t>nuestro</w:t>
      </w:r>
      <w:proofErr w:type="spellEnd"/>
      <w:r w:rsidRPr="00277456">
        <w:rPr>
          <w:rFonts w:asciiTheme="minorHAnsi" w:hAnsiTheme="minorHAnsi" w:cstheme="minorHAnsi"/>
          <w:lang w:val="en-US"/>
        </w:rPr>
        <w:t>).</w:t>
      </w:r>
    </w:p>
    <w:p w14:paraId="16965352" w14:textId="061C1628" w:rsidR="00525D63" w:rsidRPr="008515A7" w:rsidRDefault="0077361A" w:rsidP="00264176">
      <w:pPr>
        <w:pStyle w:val="Prrafodelista"/>
        <w:rPr>
          <w:lang w:val="es-ES_tradnl"/>
        </w:rPr>
      </w:pPr>
      <w:r w:rsidRPr="008515A7">
        <w:rPr>
          <w:lang w:val="es-ES_tradnl"/>
        </w:rPr>
        <w:t xml:space="preserve">En discusiones públicas y conversaciones con </w:t>
      </w:r>
      <w:r w:rsidR="008515A7" w:rsidRPr="008515A7">
        <w:rPr>
          <w:lang w:val="es-ES_tradnl"/>
        </w:rPr>
        <w:t>representantes</w:t>
      </w:r>
      <w:r w:rsidRPr="008515A7">
        <w:rPr>
          <w:lang w:val="es-ES_tradnl"/>
        </w:rPr>
        <w:t xml:space="preserve"> de QS, la selección de “un conjunto de mediciones de desempeño” que han sido “especialmente diseñadas para la región” ha sido justificado </w:t>
      </w:r>
      <w:r w:rsidR="00264176" w:rsidRPr="008515A7">
        <w:rPr>
          <w:lang w:val="es-ES_tradnl"/>
        </w:rPr>
        <w:t>con el argumento</w:t>
      </w:r>
      <w:r w:rsidRPr="008515A7">
        <w:rPr>
          <w:lang w:val="es-ES_tradnl"/>
        </w:rPr>
        <w:t xml:space="preserve"> </w:t>
      </w:r>
      <w:r w:rsidR="00264176" w:rsidRPr="008515A7">
        <w:rPr>
          <w:lang w:val="es-ES_tradnl"/>
        </w:rPr>
        <w:t>de</w:t>
      </w:r>
      <w:r w:rsidRPr="008515A7">
        <w:rPr>
          <w:lang w:val="es-ES_tradnl"/>
        </w:rPr>
        <w:t xml:space="preserve"> que </w:t>
      </w:r>
      <w:r w:rsidR="00264176" w:rsidRPr="008515A7">
        <w:rPr>
          <w:lang w:val="es-ES_tradnl"/>
        </w:rPr>
        <w:t>así se da</w:t>
      </w:r>
      <w:r w:rsidRPr="008515A7">
        <w:rPr>
          <w:lang w:val="es-ES_tradnl"/>
        </w:rPr>
        <w:t xml:space="preserve"> mayor visibilidad a universidades de América Latina que, de otra manera, no ap</w:t>
      </w:r>
      <w:r w:rsidR="008515A7" w:rsidRPr="008515A7">
        <w:rPr>
          <w:lang w:val="es-ES_tradnl"/>
        </w:rPr>
        <w:t>a</w:t>
      </w:r>
      <w:r w:rsidRPr="008515A7">
        <w:rPr>
          <w:lang w:val="es-ES_tradnl"/>
        </w:rPr>
        <w:t>recerían en el ranking. La decisión parece entonces obedecer más a razones de índole mercantil</w:t>
      </w:r>
      <w:r w:rsidR="001F0801">
        <w:rPr>
          <w:lang w:val="es-ES_tradnl"/>
        </w:rPr>
        <w:t>,</w:t>
      </w:r>
      <w:r w:rsidRPr="008515A7">
        <w:rPr>
          <w:lang w:val="es-ES_tradnl"/>
        </w:rPr>
        <w:t xml:space="preserve"> que a argumentos de carácter técnico o académico.</w:t>
      </w:r>
    </w:p>
    <w:sectPr w:rsidR="00525D63" w:rsidRPr="008515A7" w:rsidSect="00126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2F557" w14:textId="77777777" w:rsidR="005704DA" w:rsidRDefault="005704DA" w:rsidP="00525D63">
      <w:r>
        <w:separator/>
      </w:r>
    </w:p>
  </w:endnote>
  <w:endnote w:type="continuationSeparator" w:id="0">
    <w:p w14:paraId="19B13F94" w14:textId="77777777" w:rsidR="005704DA" w:rsidRDefault="005704DA" w:rsidP="0052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7F383" w14:textId="77777777" w:rsidR="005704DA" w:rsidRDefault="005704DA" w:rsidP="00525D63">
      <w:r>
        <w:separator/>
      </w:r>
    </w:p>
  </w:footnote>
  <w:footnote w:type="continuationSeparator" w:id="0">
    <w:p w14:paraId="7E715EF7" w14:textId="77777777" w:rsidR="005704DA" w:rsidRDefault="005704DA" w:rsidP="00525D63">
      <w:r>
        <w:continuationSeparator/>
      </w:r>
    </w:p>
  </w:footnote>
  <w:footnote w:id="1">
    <w:p w14:paraId="3A5AF8C7" w14:textId="77777777" w:rsidR="00525D63" w:rsidRPr="00525D63" w:rsidRDefault="00525D63" w:rsidP="00264176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525D63">
        <w:rPr>
          <w:lang w:val="en-US"/>
        </w:rPr>
        <w:t xml:space="preserve"> </w:t>
      </w:r>
      <w:r w:rsidR="00CB3BF9" w:rsidRPr="001F0801">
        <w:rPr>
          <w:lang w:val="en-US"/>
        </w:rPr>
        <w:t>D</w:t>
      </w:r>
      <w:r w:rsidRPr="001F0801">
        <w:rPr>
          <w:lang w:val="en-US"/>
        </w:rPr>
        <w:t xml:space="preserve">efinición del rubro en el apartado de metodología del ranking QS </w:t>
      </w:r>
      <w:r w:rsidRPr="00227A54">
        <w:rPr>
          <w:lang w:val="en-US"/>
        </w:rPr>
        <w:t>Latin America</w:t>
      </w:r>
      <w:r w:rsidRPr="00525D63">
        <w:rPr>
          <w:lang w:val="en-US"/>
        </w:rPr>
        <w:t>: “Using data provided by Scopus, this indicator assesses the degree of international openness in terms of</w:t>
      </w:r>
      <w:r>
        <w:rPr>
          <w:lang w:val="en-US"/>
        </w:rPr>
        <w:t xml:space="preserve"> </w:t>
      </w:r>
      <w:r w:rsidRPr="00525D63">
        <w:rPr>
          <w:lang w:val="en-US"/>
        </w:rPr>
        <w:t xml:space="preserve">research collaboration for each evaluated institution. The </w:t>
      </w:r>
      <w:proofErr w:type="spellStart"/>
      <w:r w:rsidRPr="00525D63">
        <w:rPr>
          <w:lang w:val="en-US"/>
        </w:rPr>
        <w:t>Margalef</w:t>
      </w:r>
      <w:proofErr w:type="spellEnd"/>
      <w:r w:rsidRPr="00525D63">
        <w:rPr>
          <w:lang w:val="en-US"/>
        </w:rPr>
        <w:t xml:space="preserve"> Index, widely used in the environmental</w:t>
      </w:r>
      <w:r>
        <w:rPr>
          <w:lang w:val="en-US"/>
        </w:rPr>
        <w:t xml:space="preserve"> </w:t>
      </w:r>
      <w:r w:rsidRPr="00525D63">
        <w:rPr>
          <w:lang w:val="en-US"/>
        </w:rPr>
        <w:t>sciences, has been adapted to estimate the richness of the selected international research partners for a</w:t>
      </w:r>
      <w:r>
        <w:rPr>
          <w:lang w:val="en-US"/>
        </w:rPr>
        <w:t xml:space="preserve"> </w:t>
      </w:r>
      <w:r w:rsidRPr="00525D63">
        <w:rPr>
          <w:lang w:val="en-US"/>
        </w:rPr>
        <w:t>given institution”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3328"/>
    <w:multiLevelType w:val="hybridMultilevel"/>
    <w:tmpl w:val="15A6C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0EC5"/>
    <w:multiLevelType w:val="hybridMultilevel"/>
    <w:tmpl w:val="43BE5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3598"/>
    <w:multiLevelType w:val="hybridMultilevel"/>
    <w:tmpl w:val="1D6ABF0E"/>
    <w:lvl w:ilvl="0" w:tplc="EE1890AE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DA"/>
    <w:rsid w:val="00033589"/>
    <w:rsid w:val="00053F17"/>
    <w:rsid w:val="000E6431"/>
    <w:rsid w:val="00106787"/>
    <w:rsid w:val="0012012A"/>
    <w:rsid w:val="00126AD6"/>
    <w:rsid w:val="00167631"/>
    <w:rsid w:val="001F0801"/>
    <w:rsid w:val="00227A54"/>
    <w:rsid w:val="002367ED"/>
    <w:rsid w:val="00264176"/>
    <w:rsid w:val="00277274"/>
    <w:rsid w:val="00277456"/>
    <w:rsid w:val="002C3EE5"/>
    <w:rsid w:val="002C44D6"/>
    <w:rsid w:val="002E4B03"/>
    <w:rsid w:val="0032422E"/>
    <w:rsid w:val="00326859"/>
    <w:rsid w:val="003269D3"/>
    <w:rsid w:val="003469FC"/>
    <w:rsid w:val="00395D88"/>
    <w:rsid w:val="003B382D"/>
    <w:rsid w:val="003D1359"/>
    <w:rsid w:val="003E0E4E"/>
    <w:rsid w:val="004348C4"/>
    <w:rsid w:val="004518A2"/>
    <w:rsid w:val="00494477"/>
    <w:rsid w:val="004A0AA7"/>
    <w:rsid w:val="004B4FF4"/>
    <w:rsid w:val="00516844"/>
    <w:rsid w:val="00520277"/>
    <w:rsid w:val="00525D63"/>
    <w:rsid w:val="005704DA"/>
    <w:rsid w:val="005762F8"/>
    <w:rsid w:val="00577FDB"/>
    <w:rsid w:val="00587F24"/>
    <w:rsid w:val="005A1A72"/>
    <w:rsid w:val="005A4836"/>
    <w:rsid w:val="005B7342"/>
    <w:rsid w:val="005C5849"/>
    <w:rsid w:val="00604701"/>
    <w:rsid w:val="00624A3B"/>
    <w:rsid w:val="00632908"/>
    <w:rsid w:val="006526F9"/>
    <w:rsid w:val="00674756"/>
    <w:rsid w:val="006769A5"/>
    <w:rsid w:val="00692FA5"/>
    <w:rsid w:val="00704C06"/>
    <w:rsid w:val="00732460"/>
    <w:rsid w:val="00734FA7"/>
    <w:rsid w:val="00742F69"/>
    <w:rsid w:val="00747B33"/>
    <w:rsid w:val="0077361A"/>
    <w:rsid w:val="00775DBC"/>
    <w:rsid w:val="007E129D"/>
    <w:rsid w:val="00837BFE"/>
    <w:rsid w:val="008515A7"/>
    <w:rsid w:val="008C2B84"/>
    <w:rsid w:val="008F22B9"/>
    <w:rsid w:val="0091487A"/>
    <w:rsid w:val="00914ABC"/>
    <w:rsid w:val="009534F2"/>
    <w:rsid w:val="009B2B08"/>
    <w:rsid w:val="009C554E"/>
    <w:rsid w:val="009C6D5B"/>
    <w:rsid w:val="009E6009"/>
    <w:rsid w:val="00A57E9D"/>
    <w:rsid w:val="00A60C1A"/>
    <w:rsid w:val="00A65BA4"/>
    <w:rsid w:val="00A85D4E"/>
    <w:rsid w:val="00A938AC"/>
    <w:rsid w:val="00B0367E"/>
    <w:rsid w:val="00B372C8"/>
    <w:rsid w:val="00B43015"/>
    <w:rsid w:val="00BA6158"/>
    <w:rsid w:val="00BC3757"/>
    <w:rsid w:val="00BF6269"/>
    <w:rsid w:val="00C6797B"/>
    <w:rsid w:val="00CB3BF9"/>
    <w:rsid w:val="00CB4FED"/>
    <w:rsid w:val="00D03CB3"/>
    <w:rsid w:val="00D10E7D"/>
    <w:rsid w:val="00D56A31"/>
    <w:rsid w:val="00D667DE"/>
    <w:rsid w:val="00D73393"/>
    <w:rsid w:val="00D80BDA"/>
    <w:rsid w:val="00D87E31"/>
    <w:rsid w:val="00DB17C6"/>
    <w:rsid w:val="00DD28A7"/>
    <w:rsid w:val="00E01B6B"/>
    <w:rsid w:val="00E02922"/>
    <w:rsid w:val="00E4297B"/>
    <w:rsid w:val="00E55F24"/>
    <w:rsid w:val="00EA66C4"/>
    <w:rsid w:val="00F30DF9"/>
    <w:rsid w:val="00F6272A"/>
    <w:rsid w:val="00F65E2A"/>
    <w:rsid w:val="00FA0E1F"/>
    <w:rsid w:val="00FF039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B371A"/>
  <w15:chartTrackingRefBased/>
  <w15:docId w15:val="{D2A4B4AA-8BA3-574C-AA69-B185E40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B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176"/>
    <w:pPr>
      <w:numPr>
        <w:numId w:val="2"/>
      </w:numPr>
      <w:spacing w:before="200"/>
      <w:ind w:left="714" w:hanging="357"/>
      <w:jc w:val="both"/>
    </w:pPr>
    <w:rPr>
      <w:rFonts w:asciiTheme="minorHAnsi" w:eastAsiaTheme="minorHAnsi" w:hAnsiTheme="minorHAnsi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63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25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ordorika</dc:creator>
  <cp:keywords/>
  <dc:description/>
  <cp:lastModifiedBy>Maria del Pilar López Martínez</cp:lastModifiedBy>
  <cp:revision>13</cp:revision>
  <dcterms:created xsi:type="dcterms:W3CDTF">2020-11-11T17:42:00Z</dcterms:created>
  <dcterms:modified xsi:type="dcterms:W3CDTF">2021-04-15T17:33:00Z</dcterms:modified>
</cp:coreProperties>
</file>