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338" w14:textId="20B60FE8" w:rsidR="008B0E66" w:rsidRPr="00FE0175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74607340"/>
      <w:r w:rsidRPr="00FE0175">
        <w:rPr>
          <w:rFonts w:cstheme="minorHAnsi"/>
          <w:b/>
          <w:sz w:val="24"/>
        </w:rPr>
        <w:t>Dirección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General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de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Evaluación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Institucional</w:t>
      </w:r>
    </w:p>
    <w:p w14:paraId="062C6F20" w14:textId="37B92EF4" w:rsidR="008B0E66" w:rsidRPr="00FE0175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r w:rsidRPr="00FE0175">
        <w:rPr>
          <w:rFonts w:cstheme="minorHAnsi"/>
          <w:b/>
          <w:sz w:val="24"/>
        </w:rPr>
        <w:t>Ciudad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Universitaria,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CDMX,</w:t>
      </w:r>
      <w:r w:rsidR="00670182" w:rsidRPr="00FE0175">
        <w:rPr>
          <w:rFonts w:cstheme="minorHAnsi"/>
          <w:b/>
          <w:sz w:val="24"/>
        </w:rPr>
        <w:t xml:space="preserve"> </w:t>
      </w:r>
      <w:r w:rsidR="00372E98" w:rsidRPr="00FE0175">
        <w:rPr>
          <w:rFonts w:cstheme="minorHAnsi"/>
          <w:b/>
          <w:sz w:val="24"/>
        </w:rPr>
        <w:t>2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de</w:t>
      </w:r>
      <w:r w:rsidR="00670182" w:rsidRPr="00FE0175">
        <w:rPr>
          <w:rFonts w:cstheme="minorHAnsi"/>
          <w:b/>
          <w:sz w:val="24"/>
        </w:rPr>
        <w:t xml:space="preserve"> </w:t>
      </w:r>
      <w:r w:rsidR="00372E98" w:rsidRPr="00FE0175">
        <w:rPr>
          <w:rFonts w:cstheme="minorHAnsi"/>
          <w:b/>
          <w:sz w:val="24"/>
        </w:rPr>
        <w:t>agosto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de</w:t>
      </w:r>
      <w:r w:rsidR="00670182" w:rsidRPr="00FE0175">
        <w:rPr>
          <w:rFonts w:cstheme="minorHAnsi"/>
          <w:b/>
          <w:sz w:val="24"/>
        </w:rPr>
        <w:t xml:space="preserve"> </w:t>
      </w:r>
      <w:r w:rsidRPr="00FE0175">
        <w:rPr>
          <w:rFonts w:cstheme="minorHAnsi"/>
          <w:b/>
          <w:sz w:val="24"/>
        </w:rPr>
        <w:t>2021</w:t>
      </w:r>
    </w:p>
    <w:p w14:paraId="581F9C83" w14:textId="77777777" w:rsidR="000F375D" w:rsidRPr="00FE0175" w:rsidRDefault="000F375D" w:rsidP="008908CD">
      <w:pPr>
        <w:spacing w:after="0" w:line="240" w:lineRule="auto"/>
        <w:rPr>
          <w:sz w:val="24"/>
        </w:rPr>
      </w:pPr>
    </w:p>
    <w:p w14:paraId="6911A68F" w14:textId="66A588F4" w:rsidR="004D58FA" w:rsidRPr="00FE0175" w:rsidRDefault="00B75C1E" w:rsidP="008908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9B2F1D" w:rsidRPr="00FE0175">
        <w:rPr>
          <w:b/>
          <w:sz w:val="28"/>
          <w:szCs w:val="28"/>
        </w:rPr>
        <w:t>UNAM</w:t>
      </w:r>
      <w:r w:rsidR="00670182" w:rsidRPr="00FE0175">
        <w:rPr>
          <w:b/>
          <w:sz w:val="28"/>
          <w:szCs w:val="28"/>
        </w:rPr>
        <w:t xml:space="preserve"> </w:t>
      </w:r>
      <w:r w:rsidR="009B2F1D" w:rsidRPr="00FE0175">
        <w:rPr>
          <w:b/>
          <w:sz w:val="28"/>
          <w:szCs w:val="28"/>
        </w:rPr>
        <w:t>EN</w:t>
      </w:r>
      <w:r w:rsidR="00670182" w:rsidRPr="00FE01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 RANKING </w:t>
      </w:r>
      <w:r w:rsidR="009B2F1D" w:rsidRPr="00FE0175">
        <w:rPr>
          <w:b/>
          <w:sz w:val="28"/>
          <w:szCs w:val="28"/>
        </w:rPr>
        <w:t>TIMES</w:t>
      </w:r>
      <w:r w:rsidR="00670182" w:rsidRPr="00FE0175">
        <w:rPr>
          <w:b/>
          <w:sz w:val="28"/>
          <w:szCs w:val="28"/>
        </w:rPr>
        <w:t xml:space="preserve"> </w:t>
      </w:r>
      <w:r w:rsidR="009B2F1D" w:rsidRPr="00FE0175">
        <w:rPr>
          <w:b/>
          <w:sz w:val="28"/>
          <w:szCs w:val="28"/>
        </w:rPr>
        <w:t>HIGHER</w:t>
      </w:r>
      <w:r w:rsidR="00670182" w:rsidRPr="00FE0175">
        <w:rPr>
          <w:b/>
          <w:sz w:val="28"/>
          <w:szCs w:val="28"/>
        </w:rPr>
        <w:t xml:space="preserve"> </w:t>
      </w:r>
      <w:r w:rsidR="009B2F1D" w:rsidRPr="00FE0175">
        <w:rPr>
          <w:b/>
          <w:sz w:val="28"/>
          <w:szCs w:val="28"/>
        </w:rPr>
        <w:t>EDUCATION</w:t>
      </w:r>
      <w:r w:rsidR="00670182" w:rsidRPr="00FE0175">
        <w:rPr>
          <w:b/>
          <w:sz w:val="28"/>
          <w:szCs w:val="28"/>
        </w:rPr>
        <w:t xml:space="preserve"> </w:t>
      </w:r>
      <w:r w:rsidR="009B2F1D" w:rsidRPr="00FE0175">
        <w:rPr>
          <w:b/>
          <w:sz w:val="28"/>
          <w:szCs w:val="28"/>
        </w:rPr>
        <w:t>LATINOAMÉRICA</w:t>
      </w:r>
    </w:p>
    <w:p w14:paraId="5BC68814" w14:textId="77777777" w:rsidR="000F375D" w:rsidRPr="00FE0175" w:rsidRDefault="000F375D" w:rsidP="008908CD">
      <w:pPr>
        <w:spacing w:after="0" w:line="240" w:lineRule="auto"/>
        <w:rPr>
          <w:sz w:val="24"/>
        </w:rPr>
      </w:pPr>
    </w:p>
    <w:p w14:paraId="096EDDD2" w14:textId="77777777" w:rsidR="008B0E66" w:rsidRPr="00FE0175" w:rsidRDefault="008B0E66" w:rsidP="008908CD">
      <w:pPr>
        <w:spacing w:after="0" w:line="240" w:lineRule="auto"/>
        <w:jc w:val="both"/>
        <w:rPr>
          <w:b/>
          <w:bCs/>
          <w:sz w:val="24"/>
        </w:rPr>
      </w:pPr>
      <w:r w:rsidRPr="00FE0175">
        <w:rPr>
          <w:b/>
          <w:bCs/>
          <w:sz w:val="24"/>
        </w:rPr>
        <w:t>Resumen</w:t>
      </w:r>
    </w:p>
    <w:p w14:paraId="4B04A97B" w14:textId="69795472" w:rsidR="000B16D8" w:rsidRPr="00191C7B" w:rsidRDefault="00400839" w:rsidP="000B16D8">
      <w:pPr>
        <w:spacing w:after="0" w:line="240" w:lineRule="auto"/>
        <w:jc w:val="both"/>
        <w:rPr>
          <w:sz w:val="24"/>
          <w:szCs w:val="24"/>
        </w:rPr>
      </w:pPr>
      <w:r w:rsidRPr="001B4439">
        <w:rPr>
          <w:sz w:val="24"/>
        </w:rPr>
        <w:t>Times</w:t>
      </w:r>
      <w:r w:rsidR="00670182" w:rsidRPr="001B4439">
        <w:rPr>
          <w:sz w:val="24"/>
        </w:rPr>
        <w:t xml:space="preserve"> </w:t>
      </w:r>
      <w:r w:rsidRPr="001B4439">
        <w:rPr>
          <w:sz w:val="24"/>
        </w:rPr>
        <w:t>Higher</w:t>
      </w:r>
      <w:r w:rsidR="00670182" w:rsidRPr="001B4439">
        <w:rPr>
          <w:sz w:val="24"/>
        </w:rPr>
        <w:t xml:space="preserve"> </w:t>
      </w:r>
      <w:r w:rsidRPr="001B4439">
        <w:rPr>
          <w:sz w:val="24"/>
        </w:rPr>
        <w:t>Education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(THE)</w:t>
      </w:r>
      <w:r w:rsidR="00670182" w:rsidRPr="00FE0175">
        <w:rPr>
          <w:sz w:val="24"/>
        </w:rPr>
        <w:t xml:space="preserve"> </w:t>
      </w:r>
      <w:r w:rsidR="00D04599" w:rsidRPr="00FE0175">
        <w:rPr>
          <w:sz w:val="24"/>
        </w:rPr>
        <w:t>publicó</w:t>
      </w:r>
      <w:r w:rsidR="00670182" w:rsidRPr="00FE0175">
        <w:rPr>
          <w:sz w:val="24"/>
        </w:rPr>
        <w:t xml:space="preserve"> </w:t>
      </w:r>
      <w:r w:rsidR="00D04599"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="00D04599" w:rsidRPr="00FE0175">
        <w:rPr>
          <w:sz w:val="24"/>
        </w:rPr>
        <w:t>resultados</w:t>
      </w:r>
      <w:r w:rsidR="00670182" w:rsidRPr="00FE0175">
        <w:rPr>
          <w:sz w:val="24"/>
        </w:rPr>
        <w:t xml:space="preserve"> </w:t>
      </w:r>
      <w:r w:rsidR="00D04599" w:rsidRPr="00FE0175">
        <w:rPr>
          <w:sz w:val="24"/>
        </w:rPr>
        <w:t>del</w:t>
      </w:r>
      <w:r w:rsidR="00670182" w:rsidRPr="00FE0175">
        <w:rPr>
          <w:sz w:val="24"/>
        </w:rPr>
        <w:t xml:space="preserve"> </w:t>
      </w:r>
      <w:r w:rsidR="00E96968" w:rsidRPr="00FE0175">
        <w:rPr>
          <w:b/>
          <w:bCs/>
          <w:sz w:val="24"/>
        </w:rPr>
        <w:t>THE</w:t>
      </w:r>
      <w:r w:rsidR="00670182" w:rsidRPr="00FE0175">
        <w:rPr>
          <w:sz w:val="24"/>
        </w:rPr>
        <w:t xml:space="preserve"> </w:t>
      </w:r>
      <w:r w:rsidR="00D04599" w:rsidRPr="00FE0175">
        <w:rPr>
          <w:b/>
          <w:bCs/>
          <w:sz w:val="24"/>
        </w:rPr>
        <w:t>Ranking</w:t>
      </w:r>
      <w:r w:rsidR="00670182" w:rsidRPr="00FE0175">
        <w:rPr>
          <w:b/>
          <w:bCs/>
          <w:sz w:val="24"/>
        </w:rPr>
        <w:t xml:space="preserve"> </w:t>
      </w:r>
      <w:r w:rsidRPr="00FE0175">
        <w:rPr>
          <w:b/>
          <w:bCs/>
          <w:sz w:val="24"/>
        </w:rPr>
        <w:t>Latinoamérica</w:t>
      </w:r>
      <w:r w:rsidR="00670182" w:rsidRPr="00FE0175">
        <w:rPr>
          <w:b/>
          <w:bCs/>
          <w:sz w:val="24"/>
        </w:rPr>
        <w:t xml:space="preserve"> </w:t>
      </w:r>
      <w:r w:rsidR="00D04599" w:rsidRPr="00FE0175">
        <w:rPr>
          <w:b/>
          <w:bCs/>
          <w:sz w:val="24"/>
        </w:rPr>
        <w:t>202</w:t>
      </w:r>
      <w:r w:rsidRPr="00FE0175">
        <w:rPr>
          <w:b/>
          <w:bCs/>
          <w:sz w:val="24"/>
        </w:rPr>
        <w:t>1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donde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la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UNAM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fue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clasificada</w:t>
      </w:r>
      <w:r w:rsidR="00670182" w:rsidRPr="00FE0175">
        <w:rPr>
          <w:sz w:val="24"/>
        </w:rPr>
        <w:t xml:space="preserve"> </w:t>
      </w:r>
      <w:r w:rsidR="00D04599"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="00D04599" w:rsidRPr="001B4439">
        <w:rPr>
          <w:b/>
          <w:bCs/>
          <w:sz w:val="24"/>
        </w:rPr>
        <w:t>la</w:t>
      </w:r>
      <w:r w:rsidR="00670182" w:rsidRPr="001B4439">
        <w:rPr>
          <w:b/>
          <w:bCs/>
          <w:sz w:val="24"/>
        </w:rPr>
        <w:t xml:space="preserve"> </w:t>
      </w:r>
      <w:r w:rsidR="00D04599" w:rsidRPr="001B4439">
        <w:rPr>
          <w:b/>
          <w:bCs/>
          <w:sz w:val="24"/>
        </w:rPr>
        <w:t>posición</w:t>
      </w:r>
      <w:r w:rsidR="00670182" w:rsidRPr="001B4439">
        <w:rPr>
          <w:b/>
          <w:bCs/>
          <w:sz w:val="24"/>
        </w:rPr>
        <w:t xml:space="preserve"> </w:t>
      </w:r>
      <w:r w:rsidR="00FB4FE1" w:rsidRPr="001B4439">
        <w:rPr>
          <w:b/>
          <w:bCs/>
          <w:sz w:val="24"/>
        </w:rPr>
        <w:t>18</w:t>
      </w:r>
      <w:r w:rsidR="00D04599" w:rsidRPr="001B4439">
        <w:rPr>
          <w:b/>
          <w:bCs/>
          <w:sz w:val="24"/>
        </w:rPr>
        <w:t>º</w:t>
      </w:r>
      <w:r w:rsidR="00670182" w:rsidRPr="00FE0175">
        <w:rPr>
          <w:sz w:val="24"/>
        </w:rPr>
        <w:t xml:space="preserve"> </w:t>
      </w:r>
      <w:r w:rsidR="00FB4FE1"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="00FB4FE1" w:rsidRPr="00FE0175">
        <w:rPr>
          <w:sz w:val="24"/>
        </w:rPr>
        <w:t>Latinoamérica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D04599" w:rsidRPr="00FE0175">
        <w:rPr>
          <w:rFonts w:cstheme="minorHAnsi"/>
          <w:sz w:val="24"/>
          <w:szCs w:val="24"/>
        </w:rPr>
        <w:t>(2º</w:t>
      </w:r>
      <w:r w:rsidR="00B75C1E">
        <w:rPr>
          <w:rFonts w:cstheme="minorHAnsi"/>
          <w:sz w:val="24"/>
          <w:szCs w:val="24"/>
        </w:rPr>
        <w:t xml:space="preserve"> lugar 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México</w:t>
      </w:r>
      <w:r w:rsidR="00FC11D6" w:rsidRPr="00FE0175">
        <w:rPr>
          <w:rFonts w:cstheme="minorHAnsi"/>
          <w:sz w:val="24"/>
          <w:szCs w:val="24"/>
        </w:rPr>
        <w:t>,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C11D6" w:rsidRPr="00FE0175">
        <w:rPr>
          <w:rFonts w:cstheme="minorHAnsi"/>
          <w:sz w:val="24"/>
          <w:szCs w:val="24"/>
        </w:rPr>
        <w:t>detrás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C11D6" w:rsidRPr="00FE0175">
        <w:rPr>
          <w:rFonts w:cstheme="minorHAnsi"/>
          <w:sz w:val="24"/>
          <w:szCs w:val="24"/>
        </w:rPr>
        <w:t>de</w:t>
      </w:r>
      <w:r w:rsidR="00FB4FE1" w:rsidRPr="00FE0175">
        <w:rPr>
          <w:rFonts w:cstheme="minorHAnsi"/>
          <w:sz w:val="24"/>
          <w:szCs w:val="24"/>
        </w:rPr>
        <w:t>l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Instituto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Tecnológico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y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Estudios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Superiores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FB4FE1" w:rsidRPr="00FE0175">
        <w:rPr>
          <w:rFonts w:cstheme="minorHAnsi"/>
          <w:sz w:val="24"/>
          <w:szCs w:val="24"/>
        </w:rPr>
        <w:t>Monterrey</w:t>
      </w:r>
      <w:r w:rsidR="00660B30">
        <w:rPr>
          <w:rFonts w:cstheme="minorHAnsi"/>
          <w:sz w:val="24"/>
          <w:szCs w:val="24"/>
        </w:rPr>
        <w:t xml:space="preserve"> (ITESM)</w:t>
      </w:r>
      <w:r w:rsidR="00D04599" w:rsidRPr="00FE0175">
        <w:rPr>
          <w:rFonts w:cstheme="minorHAnsi"/>
          <w:sz w:val="24"/>
          <w:szCs w:val="24"/>
        </w:rPr>
        <w:t>)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con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un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puntaje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9450F2" w:rsidRPr="00FE0175">
        <w:rPr>
          <w:rFonts w:cstheme="minorHAnsi"/>
          <w:sz w:val="24"/>
          <w:szCs w:val="24"/>
        </w:rPr>
        <w:t>72.8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sobre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100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posibles</w:t>
      </w:r>
      <w:r w:rsidR="00EF6661" w:rsidRPr="00FE0175">
        <w:rPr>
          <w:sz w:val="24"/>
        </w:rPr>
        <w:t>.</w:t>
      </w:r>
      <w:r w:rsidR="00670182" w:rsidRPr="00FE0175">
        <w:rPr>
          <w:sz w:val="24"/>
        </w:rPr>
        <w:t xml:space="preserve"> </w:t>
      </w:r>
      <w:r w:rsidR="00605CAB"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="00605CAB" w:rsidRPr="00FE0175">
        <w:rPr>
          <w:sz w:val="24"/>
        </w:rPr>
        <w:t>desempeño</w:t>
      </w:r>
      <w:r w:rsidR="00670182" w:rsidRPr="00FE0175">
        <w:rPr>
          <w:sz w:val="24"/>
        </w:rPr>
        <w:t xml:space="preserve"> </w:t>
      </w:r>
      <w:r w:rsidR="00605CAB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605CAB" w:rsidRPr="00FE0175">
        <w:rPr>
          <w:sz w:val="24"/>
        </w:rPr>
        <w:t>la</w:t>
      </w:r>
      <w:r w:rsidR="00670182" w:rsidRPr="00FE0175">
        <w:rPr>
          <w:sz w:val="24"/>
        </w:rPr>
        <w:t xml:space="preserve"> </w:t>
      </w:r>
      <w:r w:rsidR="00EF6661" w:rsidRPr="00FE0175">
        <w:rPr>
          <w:sz w:val="24"/>
        </w:rPr>
        <w:t>UNAM</w:t>
      </w:r>
      <w:r w:rsidR="00670182" w:rsidRPr="00FE0175">
        <w:rPr>
          <w:sz w:val="24"/>
        </w:rPr>
        <w:t xml:space="preserve"> </w:t>
      </w:r>
      <w:r w:rsidR="00605CAB" w:rsidRPr="00FE0175">
        <w:rPr>
          <w:sz w:val="24"/>
        </w:rPr>
        <w:t>mejoró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indicadores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667012" w:rsidRPr="00FE0175">
        <w:rPr>
          <w:b/>
          <w:bCs/>
          <w:sz w:val="24"/>
        </w:rPr>
        <w:t xml:space="preserve">Citas </w:t>
      </w:r>
      <w:r w:rsidR="00667012" w:rsidRPr="00FE0175">
        <w:rPr>
          <w:sz w:val="24"/>
        </w:rPr>
        <w:t xml:space="preserve">con 44.9 puntos, </w:t>
      </w:r>
      <w:r w:rsidR="00667012" w:rsidRPr="00FE0175">
        <w:rPr>
          <w:b/>
          <w:bCs/>
          <w:sz w:val="24"/>
        </w:rPr>
        <w:t xml:space="preserve">Docencia </w:t>
      </w:r>
      <w:r w:rsidR="00667012" w:rsidRPr="00FE0175">
        <w:rPr>
          <w:sz w:val="24"/>
        </w:rPr>
        <w:t xml:space="preserve">con 72.7 puntos, y en </w:t>
      </w:r>
      <w:r w:rsidR="00667012" w:rsidRPr="00FE0175">
        <w:rPr>
          <w:b/>
          <w:bCs/>
          <w:sz w:val="24"/>
        </w:rPr>
        <w:t xml:space="preserve">Perspectiva Internacional </w:t>
      </w:r>
      <w:r w:rsidR="00667012" w:rsidRPr="00FE0175">
        <w:rPr>
          <w:sz w:val="24"/>
        </w:rPr>
        <w:t>con 81.1 puntos</w:t>
      </w:r>
      <w:r w:rsidR="000B16D8" w:rsidRPr="00FE0175">
        <w:rPr>
          <w:sz w:val="24"/>
        </w:rPr>
        <w:t>.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Sin</w:t>
      </w:r>
      <w:r w:rsidR="00670182" w:rsidRPr="00FE0175">
        <w:rPr>
          <w:sz w:val="24"/>
        </w:rPr>
        <w:t xml:space="preserve"> </w:t>
      </w:r>
      <w:r w:rsidR="000B16D8" w:rsidRPr="00FE0175">
        <w:rPr>
          <w:sz w:val="24"/>
        </w:rPr>
        <w:t>embargo,</w:t>
      </w:r>
      <w:r w:rsidR="00670182" w:rsidRPr="00FE0175">
        <w:rPr>
          <w:sz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en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el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resto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los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indicadores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se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presentó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un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rFonts w:cstheme="minorHAnsi"/>
          <w:sz w:val="24"/>
          <w:szCs w:val="24"/>
        </w:rPr>
        <w:t>decremento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que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oscila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entre</w:t>
      </w:r>
      <w:r w:rsidR="0066701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1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y</w:t>
      </w:r>
      <w:r w:rsidR="00670182" w:rsidRPr="00FE0175">
        <w:rPr>
          <w:sz w:val="24"/>
          <w:szCs w:val="24"/>
        </w:rPr>
        <w:t xml:space="preserve"> </w:t>
      </w:r>
      <w:r w:rsidR="00667012" w:rsidRPr="00FE0175">
        <w:rPr>
          <w:sz w:val="24"/>
          <w:szCs w:val="24"/>
        </w:rPr>
        <w:t>4.8</w:t>
      </w:r>
      <w:r w:rsidR="00670182" w:rsidRPr="00FE0175">
        <w:rPr>
          <w:sz w:val="24"/>
          <w:szCs w:val="24"/>
        </w:rPr>
        <w:t xml:space="preserve"> </w:t>
      </w:r>
      <w:r w:rsidR="000B16D8" w:rsidRPr="00FE0175">
        <w:rPr>
          <w:sz w:val="24"/>
          <w:szCs w:val="24"/>
        </w:rPr>
        <w:t>puntos</w:t>
      </w:r>
      <w:r w:rsidR="000B16D8" w:rsidRPr="00FE0175">
        <w:rPr>
          <w:b/>
          <w:bCs/>
          <w:sz w:val="24"/>
          <w:szCs w:val="24"/>
        </w:rPr>
        <w:t>.</w:t>
      </w:r>
      <w:r w:rsidR="00660B30">
        <w:rPr>
          <w:b/>
          <w:bCs/>
          <w:sz w:val="24"/>
          <w:szCs w:val="24"/>
        </w:rPr>
        <w:t xml:space="preserve"> </w:t>
      </w:r>
      <w:r w:rsidR="00660B30" w:rsidRPr="00191C7B">
        <w:rPr>
          <w:sz w:val="24"/>
          <w:szCs w:val="24"/>
        </w:rPr>
        <w:t xml:space="preserve">Las instituciones mejor posicionadas en América Latina fueron: La Pontificia Universidad Católica de Chile (1º), la Universidad de São Paolo (2º), la Universidad de Campinas (3º), el ITESM (4º), y la Universidad Federal de Minas Gerais (5º). </w:t>
      </w:r>
    </w:p>
    <w:p w14:paraId="48CB644D" w14:textId="77777777" w:rsidR="00667012" w:rsidRPr="00FE0175" w:rsidRDefault="00667012" w:rsidP="008908CD">
      <w:pPr>
        <w:spacing w:after="0" w:line="240" w:lineRule="auto"/>
        <w:jc w:val="both"/>
        <w:rPr>
          <w:sz w:val="24"/>
          <w:szCs w:val="24"/>
        </w:rPr>
      </w:pPr>
    </w:p>
    <w:p w14:paraId="7C544E1E" w14:textId="2A457B45" w:rsidR="00967BA9" w:rsidRDefault="00967BA9" w:rsidP="008908CD">
      <w:pPr>
        <w:pStyle w:val="Prrafodelista"/>
        <w:spacing w:after="0" w:line="240" w:lineRule="auto"/>
        <w:ind w:left="0"/>
        <w:jc w:val="both"/>
        <w:rPr>
          <w:b/>
          <w:sz w:val="24"/>
        </w:rPr>
      </w:pPr>
      <w:r w:rsidRPr="00FE0175">
        <w:rPr>
          <w:b/>
          <w:sz w:val="24"/>
        </w:rPr>
        <w:t>Metodología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e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Indicadores</w:t>
      </w:r>
    </w:p>
    <w:p w14:paraId="4696BF63" w14:textId="13CE5590" w:rsidR="00B75C1E" w:rsidRPr="00191C7B" w:rsidRDefault="00B75C1E" w:rsidP="008908CD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  <w:r w:rsidRPr="00191C7B">
        <w:rPr>
          <w:bCs/>
          <w:sz w:val="24"/>
        </w:rPr>
        <w:t xml:space="preserve">La siguiente sección </w:t>
      </w:r>
      <w:r w:rsidR="00E019A2">
        <w:rPr>
          <w:bCs/>
          <w:sz w:val="24"/>
        </w:rPr>
        <w:t>describe</w:t>
      </w:r>
      <w:r w:rsidRPr="00191C7B">
        <w:rPr>
          <w:bCs/>
          <w:sz w:val="24"/>
        </w:rPr>
        <w:t xml:space="preserve"> la metodología y los indicadores utilizados por el THE Ranking Latinoamérica 2021:</w:t>
      </w:r>
    </w:p>
    <w:p w14:paraId="5E4ECB99" w14:textId="2D2AD6C3" w:rsidR="00532C7D" w:rsidRPr="00191C7B" w:rsidRDefault="00532C7D" w:rsidP="00532C7D">
      <w:pPr>
        <w:spacing w:after="0" w:line="240" w:lineRule="auto"/>
        <w:ind w:firstLine="708"/>
        <w:jc w:val="both"/>
        <w:rPr>
          <w:bCs/>
          <w:sz w:val="24"/>
        </w:rPr>
      </w:pPr>
    </w:p>
    <w:tbl>
      <w:tblPr>
        <w:tblW w:w="10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7371"/>
        <w:gridCol w:w="1006"/>
        <w:gridCol w:w="910"/>
      </w:tblGrid>
      <w:tr w:rsidR="001B4439" w:rsidRPr="001B4439" w14:paraId="77A25CF1" w14:textId="77777777" w:rsidTr="001B4439">
        <w:trPr>
          <w:trHeight w:val="380"/>
          <w:jc w:val="center"/>
        </w:trPr>
        <w:tc>
          <w:tcPr>
            <w:tcW w:w="108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D6F44" w14:textId="5B8C8328" w:rsidR="001B4439" w:rsidRPr="001B4439" w:rsidRDefault="001B4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1B4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Tabla 1. Metodología e indicadores</w:t>
            </w:r>
          </w:p>
        </w:tc>
      </w:tr>
      <w:tr w:rsidR="00532C7D" w:rsidRPr="00FE0175" w14:paraId="0997567F" w14:textId="77777777" w:rsidTr="001B4439">
        <w:trPr>
          <w:trHeight w:val="38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center"/>
            <w:hideMark/>
          </w:tcPr>
          <w:p w14:paraId="0FE5963C" w14:textId="5E7739C0" w:rsidR="00532C7D" w:rsidRPr="00FE0175" w:rsidRDefault="00532C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E0175">
              <w:rPr>
                <w:b/>
                <w:sz w:val="20"/>
              </w:rPr>
              <w:t>Indicador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center"/>
            <w:hideMark/>
          </w:tcPr>
          <w:p w14:paraId="75C1339E" w14:textId="77777777" w:rsidR="00532C7D" w:rsidRPr="00FE0175" w:rsidRDefault="00532C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E0175">
              <w:rPr>
                <w:b/>
                <w:sz w:val="20"/>
              </w:rPr>
              <w:t>Descripción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14:paraId="0FE61A9B" w14:textId="77777777" w:rsidR="00532C7D" w:rsidRPr="00FE0175" w:rsidRDefault="00532C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E0175">
              <w:rPr>
                <w:b/>
                <w:sz w:val="20"/>
              </w:rPr>
              <w:t>Ponderador</w:t>
            </w:r>
          </w:p>
        </w:tc>
      </w:tr>
      <w:tr w:rsidR="00532C7D" w:rsidRPr="00FE0175" w14:paraId="7AECD5AF" w14:textId="77777777" w:rsidTr="00713C97">
        <w:trPr>
          <w:trHeight w:val="380"/>
          <w:jc w:val="center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03BB" w14:textId="289548DC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b/>
                <w:sz w:val="19"/>
                <w:szCs w:val="19"/>
              </w:rPr>
              <w:t>Citas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DC40" w14:textId="5F66C237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Promedio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citas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los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artículos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revistas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indexadas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Elsevier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Scopus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la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planta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académica,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un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periodo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5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años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4963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0F0A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20%</w:t>
            </w:r>
          </w:p>
        </w:tc>
      </w:tr>
      <w:tr w:rsidR="00D02D14" w:rsidRPr="00FE0175" w14:paraId="7EB0FC9B" w14:textId="77777777" w:rsidTr="00713C97">
        <w:trPr>
          <w:trHeight w:val="225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ACE9FB8" w14:textId="18E55768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b/>
                <w:sz w:val="19"/>
                <w:szCs w:val="19"/>
              </w:rPr>
              <w:t>Docencia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D24D82" w14:textId="2BBD0F5E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Encuesta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reputación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sobre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docencia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aplicada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42ADA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36%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1CB0A3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15%</w:t>
            </w:r>
          </w:p>
        </w:tc>
      </w:tr>
      <w:tr w:rsidR="00A718D5" w:rsidRPr="00FE0175" w14:paraId="259AD865" w14:textId="77777777" w:rsidTr="00713C97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D7CAA2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9139" w14:textId="07C9F2C9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Proporción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estudiantes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2138E2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15A3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5%</w:t>
            </w:r>
          </w:p>
        </w:tc>
      </w:tr>
      <w:tr w:rsidR="00D02D14" w:rsidRPr="00FE0175" w14:paraId="1C367286" w14:textId="77777777" w:rsidTr="00713C97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6C6DCA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CA2B8" w14:textId="174ECD14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Doctorados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otorgados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licenciaturas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otorgadas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BB397F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999003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5%</w:t>
            </w:r>
          </w:p>
        </w:tc>
      </w:tr>
      <w:tr w:rsidR="00A718D5" w:rsidRPr="00FE0175" w14:paraId="0B1C8230" w14:textId="77777777" w:rsidTr="00713C97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FD43154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5BA0" w14:textId="2A5FF29C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Doctorados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otorgados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48E98F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405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5%</w:t>
            </w:r>
          </w:p>
        </w:tc>
      </w:tr>
      <w:tr w:rsidR="00D02D14" w:rsidRPr="00FE0175" w14:paraId="34D875E7" w14:textId="77777777" w:rsidTr="00713C9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FBB3444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103D3" w14:textId="4FCAFAD1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Presupuesto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para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docencia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8C7771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EEFF6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6%</w:t>
            </w:r>
          </w:p>
        </w:tc>
      </w:tr>
      <w:tr w:rsidR="00532C7D" w:rsidRPr="00FE0175" w14:paraId="6CA4D45B" w14:textId="77777777" w:rsidTr="00713C97">
        <w:trPr>
          <w:trHeight w:val="255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E7F8" w14:textId="11C70003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b/>
                <w:sz w:val="19"/>
                <w:szCs w:val="19"/>
              </w:rPr>
              <w:t>Investigación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191F" w14:textId="0A7C0CB3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Encuesta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reputación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sobre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investigación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aplicada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6FD5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34%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9B6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18%</w:t>
            </w:r>
          </w:p>
        </w:tc>
      </w:tr>
      <w:tr w:rsidR="00A718D5" w:rsidRPr="00FE0175" w14:paraId="354590FA" w14:textId="77777777" w:rsidTr="00713C97">
        <w:trPr>
          <w:trHeight w:val="3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8DB7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105344" w14:textId="3C50D326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Financiamiento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para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investigación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0A82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3AD68C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6%</w:t>
            </w:r>
          </w:p>
        </w:tc>
      </w:tr>
      <w:tr w:rsidR="00532C7D" w:rsidRPr="00FE0175" w14:paraId="6DFA35DE" w14:textId="77777777" w:rsidTr="00713C97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91AC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5EEF" w14:textId="11B9438C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Promedio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artículos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publicados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revistas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indexadas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Elsevier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Scopus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el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BC6F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BE58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10%</w:t>
            </w:r>
          </w:p>
        </w:tc>
      </w:tr>
      <w:tr w:rsidR="00D02D14" w:rsidRPr="00FE0175" w14:paraId="540A476D" w14:textId="77777777" w:rsidTr="00713C97">
        <w:trPr>
          <w:trHeight w:val="380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2F18840" w14:textId="21608B2F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b/>
                <w:sz w:val="19"/>
                <w:szCs w:val="19"/>
              </w:rPr>
              <w:t>Perspectiva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  <w:r w:rsidRPr="00FE0175">
              <w:rPr>
                <w:b/>
                <w:sz w:val="19"/>
                <w:szCs w:val="19"/>
              </w:rPr>
              <w:t>internacional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4C9CD" w14:textId="462892C0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Proporción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internacionales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nacionales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BEB36A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7.5%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59963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2.5%</w:t>
            </w:r>
          </w:p>
        </w:tc>
      </w:tr>
      <w:tr w:rsidR="00A718D5" w:rsidRPr="00FE0175" w14:paraId="2D641571" w14:textId="77777777" w:rsidTr="00713C97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62FFFC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22CA" w14:textId="267E2755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Proporción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estudiantes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internacionales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estudiantes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nacionales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5A7AB8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CECC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2.5%</w:t>
            </w:r>
          </w:p>
        </w:tc>
      </w:tr>
      <w:tr w:rsidR="00D02D14" w:rsidRPr="00FE0175" w14:paraId="7AC4A26E" w14:textId="77777777" w:rsidTr="00713C97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39765C4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28089E" w14:textId="317E4AA7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Proporción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artículos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publicados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con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coautores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internacionales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DF44FB" w14:textId="77777777" w:rsidR="00532C7D" w:rsidRPr="00FE0175" w:rsidRDefault="00532C7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611C6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2.5%</w:t>
            </w:r>
          </w:p>
        </w:tc>
      </w:tr>
      <w:tr w:rsidR="00532C7D" w:rsidRPr="00FE0175" w14:paraId="588F27C7" w14:textId="77777777" w:rsidTr="00713C97">
        <w:trPr>
          <w:trHeight w:val="380"/>
          <w:jc w:val="center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5D6E" w14:textId="7866F302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b/>
                <w:sz w:val="19"/>
                <w:szCs w:val="19"/>
              </w:rPr>
              <w:t>Financiamiento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  <w:r w:rsidRPr="00FE0175">
              <w:rPr>
                <w:b/>
                <w:sz w:val="19"/>
                <w:szCs w:val="19"/>
              </w:rPr>
              <w:t>de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  <w:r w:rsidRPr="00FE0175">
              <w:rPr>
                <w:b/>
                <w:sz w:val="19"/>
                <w:szCs w:val="19"/>
              </w:rPr>
              <w:t>la</w:t>
            </w:r>
            <w:r w:rsidR="00670182" w:rsidRPr="00FE0175">
              <w:rPr>
                <w:b/>
                <w:sz w:val="19"/>
                <w:szCs w:val="19"/>
              </w:rPr>
              <w:t xml:space="preserve"> </w:t>
            </w:r>
            <w:r w:rsidRPr="00FE0175">
              <w:rPr>
                <w:b/>
                <w:sz w:val="19"/>
                <w:szCs w:val="19"/>
              </w:rPr>
              <w:t>industria</w:t>
            </w:r>
            <w:r w:rsidR="00670182" w:rsidRPr="00FE017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2E63" w14:textId="47F02D5F" w:rsidR="00532C7D" w:rsidRPr="00FE0175" w:rsidRDefault="00532C7D">
            <w:pPr>
              <w:spacing w:after="0" w:line="240" w:lineRule="auto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Financiamiento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proveniente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la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industria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dedicado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la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investigación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entre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el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número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de</w:t>
            </w:r>
            <w:r w:rsidR="00670182" w:rsidRPr="00FE0175">
              <w:rPr>
                <w:sz w:val="19"/>
                <w:szCs w:val="19"/>
              </w:rPr>
              <w:t xml:space="preserve"> </w:t>
            </w:r>
            <w:r w:rsidRPr="00FE0175">
              <w:rPr>
                <w:sz w:val="19"/>
                <w:szCs w:val="19"/>
              </w:rPr>
              <w:t>académicos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553F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2.5%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E18" w14:textId="77777777" w:rsidR="00532C7D" w:rsidRPr="00FE0175" w:rsidRDefault="00532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0175">
              <w:rPr>
                <w:sz w:val="19"/>
                <w:szCs w:val="19"/>
              </w:rPr>
              <w:t>2.5%</w:t>
            </w:r>
          </w:p>
        </w:tc>
      </w:tr>
    </w:tbl>
    <w:p w14:paraId="06F5EBD1" w14:textId="3F5470EF" w:rsidR="00532C7D" w:rsidRPr="00FE0175" w:rsidRDefault="00532C7D" w:rsidP="00532C7D">
      <w:pPr>
        <w:spacing w:after="0" w:line="240" w:lineRule="auto"/>
        <w:jc w:val="both"/>
        <w:rPr>
          <w:sz w:val="24"/>
        </w:rPr>
      </w:pPr>
    </w:p>
    <w:p w14:paraId="57074077" w14:textId="68687FA1" w:rsidR="006E76F0" w:rsidRPr="00FE0175" w:rsidRDefault="00C267B7" w:rsidP="00532C7D">
      <w:pPr>
        <w:spacing w:after="0" w:line="240" w:lineRule="auto"/>
        <w:jc w:val="both"/>
        <w:rPr>
          <w:sz w:val="24"/>
        </w:rPr>
      </w:pPr>
      <w:r w:rsidRPr="00FE0175">
        <w:rPr>
          <w:sz w:val="24"/>
        </w:rPr>
        <w:t>La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clasificación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asigna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medio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números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naturales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para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primeros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100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lugares,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mientras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que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resto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lugares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asigna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medio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rangos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(101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–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125,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126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–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150,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y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151+).</w:t>
      </w:r>
    </w:p>
    <w:p w14:paraId="6223908F" w14:textId="77777777" w:rsidR="00C267B7" w:rsidRPr="00FE0175" w:rsidRDefault="00C267B7" w:rsidP="00532C7D">
      <w:pPr>
        <w:spacing w:after="0" w:line="240" w:lineRule="auto"/>
        <w:jc w:val="both"/>
        <w:rPr>
          <w:sz w:val="24"/>
        </w:rPr>
      </w:pPr>
    </w:p>
    <w:p w14:paraId="3BE9095B" w14:textId="1720AEC1" w:rsidR="00E96968" w:rsidRPr="00FE0175" w:rsidRDefault="00E96968" w:rsidP="00E96968">
      <w:pPr>
        <w:spacing w:after="0" w:line="240" w:lineRule="auto"/>
        <w:jc w:val="both"/>
        <w:rPr>
          <w:sz w:val="24"/>
        </w:rPr>
      </w:pPr>
      <w:r w:rsidRPr="00FE0175">
        <w:rPr>
          <w:sz w:val="24"/>
        </w:rPr>
        <w:lastRenderedPageBreak/>
        <w:t>Todos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puntajes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ranking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encuentran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normalizados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100%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con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referencia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valor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100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puntos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asignados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universidad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con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mejor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desempeño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cada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indicador.</w:t>
      </w:r>
    </w:p>
    <w:p w14:paraId="5CF6BA64" w14:textId="012FF3A0" w:rsidR="00532C7D" w:rsidRPr="00FE0175" w:rsidRDefault="00532C7D" w:rsidP="00532C7D">
      <w:pPr>
        <w:spacing w:after="0" w:line="240" w:lineRule="auto"/>
        <w:jc w:val="both"/>
        <w:rPr>
          <w:sz w:val="24"/>
        </w:rPr>
      </w:pPr>
    </w:p>
    <w:p w14:paraId="270B966C" w14:textId="4008DD4E" w:rsidR="006255F9" w:rsidRPr="00FE0175" w:rsidRDefault="006255F9" w:rsidP="008908CD">
      <w:pPr>
        <w:spacing w:after="0" w:line="240" w:lineRule="auto"/>
        <w:jc w:val="both"/>
        <w:rPr>
          <w:b/>
          <w:sz w:val="24"/>
        </w:rPr>
      </w:pPr>
      <w:r w:rsidRPr="00FE0175">
        <w:rPr>
          <w:b/>
          <w:sz w:val="24"/>
        </w:rPr>
        <w:t>Resultados</w:t>
      </w:r>
    </w:p>
    <w:p w14:paraId="7188662A" w14:textId="6DB5245D" w:rsidR="00AB1CF1" w:rsidRPr="00FE0175" w:rsidRDefault="00AB1CF1" w:rsidP="006B5933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b/>
          <w:bCs/>
          <w:sz w:val="24"/>
        </w:rPr>
        <w:t>THE</w:t>
      </w:r>
      <w:r w:rsidR="00670182" w:rsidRPr="00FE0175">
        <w:rPr>
          <w:b/>
          <w:bCs/>
          <w:sz w:val="24"/>
        </w:rPr>
        <w:t xml:space="preserve"> </w:t>
      </w:r>
      <w:r w:rsidR="00994DE8" w:rsidRPr="00FE0175">
        <w:rPr>
          <w:b/>
          <w:bCs/>
          <w:sz w:val="24"/>
        </w:rPr>
        <w:t xml:space="preserve">Ranking </w:t>
      </w:r>
      <w:r w:rsidRPr="00FE0175">
        <w:rPr>
          <w:b/>
          <w:bCs/>
          <w:sz w:val="24"/>
        </w:rPr>
        <w:t>Latinoamérica</w:t>
      </w:r>
      <w:r w:rsidR="00670182" w:rsidRPr="00FE0175">
        <w:rPr>
          <w:b/>
          <w:bCs/>
          <w:sz w:val="24"/>
        </w:rPr>
        <w:t xml:space="preserve"> </w:t>
      </w:r>
      <w:r w:rsidRPr="00FE0175">
        <w:rPr>
          <w:b/>
          <w:bCs/>
          <w:sz w:val="24"/>
        </w:rPr>
        <w:t>2021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clasificó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175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universidades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11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países.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continuación,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presentan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datos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número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universidades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país,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así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como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puntaje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obtenido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diferentes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indicadores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por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las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universidades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primeros</w:t>
      </w:r>
      <w:r w:rsidR="00670182" w:rsidRPr="00FE0175">
        <w:rPr>
          <w:sz w:val="24"/>
        </w:rPr>
        <w:t xml:space="preserve"> </w:t>
      </w:r>
      <w:r w:rsidR="006E76F0" w:rsidRPr="00FE0175">
        <w:rPr>
          <w:sz w:val="24"/>
        </w:rPr>
        <w:t>100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lugares</w:t>
      </w:r>
      <w:r w:rsidR="00E019A2">
        <w:rPr>
          <w:sz w:val="24"/>
        </w:rPr>
        <w:t>.</w:t>
      </w:r>
    </w:p>
    <w:p w14:paraId="647EF21B" w14:textId="77777777" w:rsidR="004B6042" w:rsidRPr="00FE0175" w:rsidRDefault="004B6042" w:rsidP="008908CD">
      <w:pPr>
        <w:spacing w:after="0" w:line="240" w:lineRule="auto"/>
        <w:rPr>
          <w:sz w:val="20"/>
          <w:szCs w:val="20"/>
        </w:rPr>
      </w:pPr>
    </w:p>
    <w:tbl>
      <w:tblPr>
        <w:tblW w:w="9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0"/>
      </w:tblGrid>
      <w:tr w:rsidR="004B6042" w:rsidRPr="00FE0175" w14:paraId="262BC4F6" w14:textId="77777777" w:rsidTr="00F06783">
        <w:trPr>
          <w:trHeight w:val="372"/>
          <w:jc w:val="center"/>
        </w:trPr>
        <w:tc>
          <w:tcPr>
            <w:tcW w:w="9331" w:type="dxa"/>
            <w:shd w:val="clear" w:color="auto" w:fill="auto"/>
            <w:noWrap/>
            <w:vAlign w:val="center"/>
          </w:tcPr>
          <w:p w14:paraId="751AF4BC" w14:textId="31C28461" w:rsidR="00AB1CF1" w:rsidRPr="00FE0175" w:rsidRDefault="00E60412" w:rsidP="00AB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Gráfico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B75C1E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Total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por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país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994DE8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Ranking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THE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Latinoamérica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B1CF1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2021.</w:t>
            </w:r>
          </w:p>
        </w:tc>
      </w:tr>
      <w:tr w:rsidR="004B6042" w:rsidRPr="00FE0175" w14:paraId="6050EE15" w14:textId="77777777" w:rsidTr="00AB1CF1">
        <w:trPr>
          <w:trHeight w:val="2341"/>
          <w:jc w:val="center"/>
        </w:trPr>
        <w:tc>
          <w:tcPr>
            <w:tcW w:w="9331" w:type="dxa"/>
            <w:shd w:val="clear" w:color="auto" w:fill="auto"/>
            <w:noWrap/>
            <w:vAlign w:val="center"/>
          </w:tcPr>
          <w:p w14:paraId="782FE429" w14:textId="223EDD6B" w:rsidR="004B6042" w:rsidRPr="00FE0175" w:rsidRDefault="00AB1CF1" w:rsidP="0089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FE0175">
              <w:rPr>
                <w:noProof/>
              </w:rPr>
              <w:drawing>
                <wp:inline distT="0" distB="0" distL="0" distR="0" wp14:anchorId="60C10E56" wp14:editId="25E1D6C8">
                  <wp:extent cx="6700058" cy="2185670"/>
                  <wp:effectExtent l="0" t="0" r="5715" b="508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75C0CC-1919-46C8-ABAB-343C4685B8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1269349" w14:textId="5E73BDCB" w:rsidR="004B6042" w:rsidRPr="00FE0175" w:rsidRDefault="004B6042" w:rsidP="006E76F0">
      <w:pPr>
        <w:spacing w:after="0" w:line="240" w:lineRule="auto"/>
        <w:jc w:val="both"/>
        <w:rPr>
          <w:sz w:val="24"/>
        </w:rPr>
      </w:pPr>
    </w:p>
    <w:tbl>
      <w:tblPr>
        <w:tblW w:w="118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3452"/>
        <w:gridCol w:w="992"/>
        <w:gridCol w:w="1005"/>
        <w:gridCol w:w="870"/>
        <w:gridCol w:w="1222"/>
        <w:gridCol w:w="872"/>
        <w:gridCol w:w="1253"/>
        <w:gridCol w:w="1340"/>
        <w:gridCol w:w="59"/>
      </w:tblGrid>
      <w:tr w:rsidR="006E76F0" w:rsidRPr="00FE0175" w14:paraId="3091F056" w14:textId="77777777" w:rsidTr="007C772B">
        <w:trPr>
          <w:trHeight w:val="282"/>
          <w:jc w:val="center"/>
        </w:trPr>
        <w:tc>
          <w:tcPr>
            <w:tcW w:w="118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53AE9" w14:textId="588F1AAB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B75C1E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Posición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los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primeros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100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lugares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994DE8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Ranking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THE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Latinoamérica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2021.</w:t>
            </w:r>
          </w:p>
        </w:tc>
      </w:tr>
      <w:tr w:rsidR="006E76F0" w:rsidRPr="00FE0175" w14:paraId="08DEEAE5" w14:textId="77777777" w:rsidTr="007C772B">
        <w:trPr>
          <w:gridAfter w:val="1"/>
          <w:wAfter w:w="59" w:type="dxa"/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BDD819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Posición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183483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A361FA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F28C3D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Puntaje</w:t>
            </w:r>
            <w:r w:rsidRPr="00FE0175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FAC086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B8AFA6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37140D" w14:textId="77777777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08F8A8" w14:textId="321CDA19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Perspectiva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internacional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383F3E" w14:textId="41989006" w:rsidR="006E76F0" w:rsidRPr="00FE0175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Financiamiento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de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la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industria</w:t>
            </w:r>
          </w:p>
        </w:tc>
      </w:tr>
      <w:tr w:rsidR="00665B81" w:rsidRPr="00FE0175" w14:paraId="663DA19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FD9A" w14:textId="645B604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DD2" w14:textId="60ADF6F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699" w14:textId="7D0EC4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619" w14:textId="3A9026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0BD" w14:textId="47260E3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3B0" w14:textId="19FBD1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B8B0" w14:textId="6C9E626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EF" w14:textId="13328D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7ED" w14:textId="156DE6B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99.4</w:t>
            </w:r>
          </w:p>
        </w:tc>
      </w:tr>
      <w:tr w:rsidR="00665B81" w:rsidRPr="00FE0175" w14:paraId="7AFA7FA9" w14:textId="77777777" w:rsidTr="00665B81">
        <w:trPr>
          <w:gridAfter w:val="1"/>
          <w:wAfter w:w="59" w:type="dxa"/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6CE64F" w14:textId="3437E72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C5758" w14:textId="3F5F5B1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São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F7AFF" w14:textId="71D6A34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5E7308" w14:textId="5243DF7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FF769" w14:textId="10DFF8D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735A93" w14:textId="7B5A6D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6694AB" w14:textId="5737254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6220BE" w14:textId="799E50C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ECA7A" w14:textId="498E25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59.1</w:t>
            </w:r>
          </w:p>
        </w:tc>
      </w:tr>
      <w:tr w:rsidR="00665B81" w:rsidRPr="00FE0175" w14:paraId="2BEF06CE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7253" w14:textId="6D3260D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4C6" w14:textId="65FBEA3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C0E" w14:textId="3595647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CB0" w14:textId="3F3CF8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6DF" w14:textId="2109143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5EC" w14:textId="745840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190" w14:textId="78AA22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8F" w14:textId="31EEE6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22D" w14:textId="350BC7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73.1</w:t>
            </w:r>
          </w:p>
        </w:tc>
      </w:tr>
      <w:tr w:rsidR="00665B81" w:rsidRPr="00FE0175" w14:paraId="61C021F7" w14:textId="77777777" w:rsidTr="00665B81">
        <w:trPr>
          <w:gridAfter w:val="1"/>
          <w:wAfter w:w="59" w:type="dxa"/>
          <w:trHeight w:val="30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E4D7FE" w14:textId="1FF477F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1" w:name="_Hlk78389019"/>
            <w:r w:rsidRPr="00FE017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EE5DE" w14:textId="0D15AE2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Instituto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Tecnológico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Estudios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Superiores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Monterrey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055123" w14:textId="698B3F0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67D3D" w14:textId="1DFD45D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F589D" w14:textId="186BF4D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75581" w14:textId="009C790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800DE" w14:textId="0DDBDFB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6617AC" w14:textId="4722C8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6DEDB" w14:textId="1C7D2FF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97.7</w:t>
            </w:r>
          </w:p>
        </w:tc>
        <w:bookmarkEnd w:id="1"/>
      </w:tr>
      <w:tr w:rsidR="00665B81" w:rsidRPr="00FE0175" w14:paraId="52616AC9" w14:textId="77777777" w:rsidTr="00665B81">
        <w:trPr>
          <w:gridAfter w:val="1"/>
          <w:wAfter w:w="59" w:type="dxa"/>
          <w:trHeight w:val="34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3F998" w14:textId="09A67C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F2C" w14:textId="0C8BF11E" w:rsidR="00665B81" w:rsidRPr="00191C7B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Universidad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Federal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de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Minas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23E" w14:textId="7E2E7B5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4465" w14:textId="583FE90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C8A8" w14:textId="26DB21E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970" w14:textId="3FAFB6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073" w14:textId="52F3F0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F8D" w14:textId="7368670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0A8C" w14:textId="0745002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50.4</w:t>
            </w:r>
          </w:p>
        </w:tc>
      </w:tr>
      <w:tr w:rsidR="00665B81" w:rsidRPr="00FE0175" w14:paraId="5D6CCC7E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A7742" w14:textId="7D23FA8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CE21CE" w14:textId="5D145D9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39502" w14:textId="450530C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837E7" w14:textId="732C49A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59261" w14:textId="0512A14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D57A6" w14:textId="36C2D6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984EED" w14:textId="6BB62E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8A8D9" w14:textId="472532D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262FF" w14:textId="791C24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53.3</w:t>
            </w:r>
          </w:p>
        </w:tc>
      </w:tr>
      <w:tr w:rsidR="00665B81" w:rsidRPr="00FE0175" w14:paraId="59ABF3E6" w14:textId="77777777" w:rsidTr="00665B81">
        <w:trPr>
          <w:gridAfter w:val="1"/>
          <w:wAfter w:w="59" w:type="dxa"/>
          <w:trHeight w:val="28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E15B" w14:textId="47B3AC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2E6" w14:textId="2CF4D19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5EF" w14:textId="7E0977C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D406" w14:textId="4C45F5E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ED7" w14:textId="32F841B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730" w14:textId="78FDE14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AA8" w14:textId="3EB8F5F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05C" w14:textId="58C0674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7D3" w14:textId="6847269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100.0</w:t>
            </w:r>
          </w:p>
        </w:tc>
      </w:tr>
      <w:tr w:rsidR="00665B81" w:rsidRPr="00FE0175" w14:paraId="6917C1C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B8AE20" w14:textId="0CA0959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CC6DC" w14:textId="10A65DD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Grande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65B978" w14:textId="425B6E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8F860" w14:textId="48A9271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AD552A" w14:textId="1C4E6E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A90160" w14:textId="07F61FC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6A6E6" w14:textId="082EE0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DBC78" w14:textId="09581D1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40530" w14:textId="1461A8F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70.7</w:t>
            </w:r>
          </w:p>
        </w:tc>
      </w:tr>
      <w:tr w:rsidR="00665B81" w:rsidRPr="00FE0175" w14:paraId="73AAF4C8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0CF3F" w14:textId="019B03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E53" w14:textId="52286C5F" w:rsidR="00665B81" w:rsidRPr="00191C7B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Universidad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Federal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de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São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935" w14:textId="5B43D29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50A" w14:textId="53F2FEC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1DB" w14:textId="2C25DE1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481" w14:textId="43C59CC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974" w14:textId="0F1C4D4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70A6" w14:textId="4BCD14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B0D" w14:textId="15A2DF6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38.3</w:t>
            </w:r>
          </w:p>
        </w:tc>
      </w:tr>
      <w:tr w:rsidR="00665B81" w:rsidRPr="00FE0175" w14:paraId="25806A9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D8C4E" w14:textId="246216D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C3252" w14:textId="63B849D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37784" w14:textId="32829F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CCE69" w14:textId="581C6D2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74241" w14:textId="5594F45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55C40" w14:textId="4E6EB91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0FCA2" w14:textId="08C0BC5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8B694" w14:textId="65064CE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5142E8" w14:textId="3DC0A74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96.6</w:t>
            </w:r>
          </w:p>
        </w:tc>
      </w:tr>
      <w:tr w:rsidR="00665B81" w:rsidRPr="00FE0175" w14:paraId="3177593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FD91" w14:textId="22DD866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E31" w14:textId="5F4547F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D1D" w14:textId="1BA288C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6CF" w14:textId="45664F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2A8" w14:textId="010F471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9A" w14:textId="4226B68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186" w14:textId="623591A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C01" w14:textId="3C2221A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28A" w14:textId="0471663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51.3</w:t>
            </w:r>
          </w:p>
        </w:tc>
      </w:tr>
      <w:tr w:rsidR="00665B81" w:rsidRPr="00FE0175" w14:paraId="72DDEBD8" w14:textId="77777777" w:rsidTr="00665B81">
        <w:trPr>
          <w:gridAfter w:val="1"/>
          <w:wAfter w:w="59" w:type="dxa"/>
          <w:trHeight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A799CE" w14:textId="0D6B63C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45E76" w14:textId="3CF2F91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89A8C" w14:textId="09075C5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DEA38" w14:textId="7A6E206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F1579" w14:textId="6DDD6B4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7A677" w14:textId="626A543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79DF19" w14:textId="242CD94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0A0F1" w14:textId="679968B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DB15BD" w14:textId="0352229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64.9</w:t>
            </w:r>
          </w:p>
        </w:tc>
      </w:tr>
      <w:tr w:rsidR="00665B81" w:rsidRPr="00FE0175" w14:paraId="734FC3C4" w14:textId="77777777" w:rsidTr="00665B81">
        <w:trPr>
          <w:gridAfter w:val="1"/>
          <w:wAfter w:w="59" w:type="dxa"/>
          <w:trHeight w:val="22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A4CB" w14:textId="0106085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C2C" w14:textId="602FDF4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117" w14:textId="67C10C4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687" w14:textId="74018D9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DE4" w14:textId="7AA276E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F9E" w14:textId="45B794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76E" w14:textId="2EC692E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84B" w14:textId="12FDCE2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D49" w14:textId="2DDA972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50.4</w:t>
            </w:r>
          </w:p>
        </w:tc>
      </w:tr>
      <w:tr w:rsidR="00665B81" w:rsidRPr="00FE0175" w14:paraId="7B35D2A9" w14:textId="77777777" w:rsidTr="00665B81">
        <w:trPr>
          <w:gridAfter w:val="1"/>
          <w:wAfter w:w="59" w:type="dxa"/>
          <w:trHeight w:val="22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1625EC" w14:textId="35E52C4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9A1FB" w14:textId="5A264B13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Grande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7EC75" w14:textId="4190BC9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708EA" w14:textId="68A016D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6DCCA0" w14:textId="609A21F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00B3E" w14:textId="14158FA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BF954" w14:textId="1A3466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8E103" w14:textId="673B50D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CED3C" w14:textId="699945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94.5</w:t>
            </w:r>
          </w:p>
        </w:tc>
      </w:tr>
      <w:tr w:rsidR="00665B81" w:rsidRPr="00FE0175" w14:paraId="6F746FD4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A29E" w14:textId="381334E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FBD" w14:textId="06D01AC6" w:rsidR="00665B81" w:rsidRPr="00191C7B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Universidad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Federal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de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São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Carlos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6B" w14:textId="005766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8F5" w14:textId="33F2AE4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5BC" w14:textId="0014C46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91F" w14:textId="37C010F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C59" w14:textId="5E56BFB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41D" w14:textId="4106F3D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77F4" w14:textId="42C4E60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56.9</w:t>
            </w:r>
          </w:p>
        </w:tc>
      </w:tr>
      <w:tr w:rsidR="00665B81" w:rsidRPr="00FE0175" w14:paraId="0B0016B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F30DF3" w14:textId="16B893F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B1FE2" w14:textId="23C163B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Brasilia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B2FD91" w14:textId="35B2714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B65CB2" w14:textId="19B0C23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0EFB44" w14:textId="2D181A9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A6168" w14:textId="10BFEAF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79672" w14:textId="2DA4F73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347B7" w14:textId="2CACE6C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30914" w14:textId="001D31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57.3</w:t>
            </w:r>
          </w:p>
        </w:tc>
      </w:tr>
      <w:tr w:rsidR="00665B81" w:rsidRPr="00FE0175" w14:paraId="0A5D00E1" w14:textId="77777777" w:rsidTr="00665B81">
        <w:trPr>
          <w:gridAfter w:val="1"/>
          <w:wAfter w:w="59" w:type="dxa"/>
          <w:trHeight w:val="28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3049" w14:textId="7B0324A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BE5" w14:textId="13BC9F8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60D" w14:textId="789EC0A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635" w14:textId="7D52C5B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843" w14:textId="6B7752D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9AA" w14:textId="5BB21B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B2E" w14:textId="5AC9B78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72F" w14:textId="0791E37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B6E4" w14:textId="02D06C5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</w:tr>
      <w:tr w:rsidR="00665B81" w:rsidRPr="00FE0175" w14:paraId="47D10634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F7661F" w14:textId="10D998E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157773" w14:textId="74E2D24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4357F" w14:textId="506FFF2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4FDE4" w14:textId="739C39C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CC282" w14:textId="4B628E5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ED549" w14:textId="1EFB9F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9261C" w14:textId="36179AE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80325" w14:textId="429E8A4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D8FC2" w14:textId="572B91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95.9</w:t>
            </w:r>
          </w:p>
        </w:tc>
      </w:tr>
      <w:tr w:rsidR="00665B81" w:rsidRPr="00FE0175" w14:paraId="5F24B882" w14:textId="77777777" w:rsidTr="00665B81">
        <w:trPr>
          <w:gridAfter w:val="1"/>
          <w:wAfter w:w="59" w:type="dxa"/>
          <w:trHeight w:val="3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D521" w14:textId="3D6754B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D78" w14:textId="25A4CAD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Viçosa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D33" w14:textId="4622D23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7BD" w14:textId="40E7C30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22C" w14:textId="1630BF3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D36" w14:textId="6724E0F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164" w14:textId="0CD68BB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130C" w14:textId="1DB9CEB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87CE" w14:textId="7C3CB61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69.8</w:t>
            </w:r>
          </w:p>
        </w:tc>
      </w:tr>
      <w:tr w:rsidR="00665B81" w:rsidRPr="00FE0175" w14:paraId="5149F5E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748CB" w14:textId="4021BE1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046FF" w14:textId="42C67D4D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Lavras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087C4" w14:textId="58C879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954FF5" w14:textId="1DD7909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29371B" w14:textId="71D3515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33DD20" w14:textId="52E457F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B6F80E" w14:textId="1D0E6A3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70C5A" w14:textId="4D0E1D5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19550" w14:textId="31879BF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85.7</w:t>
            </w:r>
          </w:p>
        </w:tc>
      </w:tr>
      <w:tr w:rsidR="00665B81" w:rsidRPr="00FE0175" w14:paraId="20A07AD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A8E16" w14:textId="3A784AD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133" w14:textId="5D9854A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5A4" w14:textId="4536D5B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C54" w14:textId="63B2413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B62" w14:textId="487CFCD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9A3" w14:textId="7DFC11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F94" w14:textId="4A3F10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7E8" w14:textId="706FE6B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CB6A" w14:textId="0FF2A57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38.5</w:t>
            </w:r>
          </w:p>
        </w:tc>
      </w:tr>
      <w:tr w:rsidR="00665B81" w:rsidRPr="00FE0175" w14:paraId="5CFBEE4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94B7E9" w14:textId="6AC390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03585" w14:textId="437BEB5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Javeriana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1FAEC" w14:textId="029E764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3EDC7" w14:textId="142B768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5AE0D" w14:textId="626DF30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322DB" w14:textId="2F104A6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D083E" w14:textId="1F04020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226D0" w14:textId="77CDA1F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7CFCF" w14:textId="26CCB85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37.8</w:t>
            </w:r>
          </w:p>
        </w:tc>
      </w:tr>
      <w:tr w:rsidR="00665B81" w:rsidRPr="00FE0175" w14:paraId="1669570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1B8FE" w14:textId="16C8891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AE2" w14:textId="3690144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513" w14:textId="070AECD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3DA" w14:textId="492D6C9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55E3" w14:textId="6EAADCC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8D" w14:textId="2BE5946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9E9" w14:textId="217B8EB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F27" w14:textId="1C1F8F2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4C9" w14:textId="01C472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63.6</w:t>
            </w:r>
          </w:p>
        </w:tc>
      </w:tr>
      <w:tr w:rsidR="00665B81" w:rsidRPr="00FE0175" w14:paraId="50D34395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BC875" w14:textId="68736C4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61D74" w14:textId="48B038F1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Costa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4A2A9" w14:textId="3443810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Costa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11E15" w14:textId="366A76E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6C1306" w14:textId="2D5FD96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2AFB7" w14:textId="51231BD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BAD7D" w14:textId="4AEF79B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B5C1E" w14:textId="601C67C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9BE38" w14:textId="3CC6D78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7594A5A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91C8" w14:textId="3347F8E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9A7" w14:textId="33A5F68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Bahía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6E5" w14:textId="06A8C7F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71D" w14:textId="140C4B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143" w14:textId="36A77F3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FC0" w14:textId="52C877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E9D" w14:textId="6F9233B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363" w14:textId="56D729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C44E" w14:textId="1764F5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</w:tr>
      <w:tr w:rsidR="00665B81" w:rsidRPr="00FE0175" w14:paraId="7C1F7C04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A4A04F" w14:textId="171FC56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A6D508" w14:textId="604A446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7880B" w14:textId="5EE6B37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AFCAB" w14:textId="537F160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BEA8A" w14:textId="4D7CB6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16F5F" w14:textId="4470448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A8C0C" w14:textId="2202A8D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B57A3" w14:textId="5B14353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DF9A7" w14:textId="314A7B8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</w:tr>
      <w:tr w:rsidR="00665B81" w:rsidRPr="00FE0175" w14:paraId="356AD95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AB80" w14:textId="1171261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5B1" w14:textId="59E7ED0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91F" w14:textId="662015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9196" w14:textId="77E8D3F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3D6" w14:textId="3A19691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BC2" w14:textId="7BE1DC5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459" w14:textId="22CEE3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01F" w14:textId="7609D6C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4A5" w14:textId="7281838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51.2</w:t>
            </w:r>
          </w:p>
        </w:tc>
      </w:tr>
      <w:tr w:rsidR="00665B81" w:rsidRPr="00FE0175" w14:paraId="0450C41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202582" w14:textId="6D9FE05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BDCB1" w14:textId="31FB13F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María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E64CA" w14:textId="7A42C6B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D8833" w14:textId="6ECEBEB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EFF2B" w14:textId="0C7730C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FEB04" w14:textId="5395E7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7BC7C" w14:textId="38D0AB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6DE8D" w14:textId="384AE87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4AA94" w14:textId="2CC5540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</w:tr>
      <w:tr w:rsidR="00665B81" w:rsidRPr="00FE0175" w14:paraId="737DE24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E5A8D" w14:textId="29367EB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AA9" w14:textId="6AEDD16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Santiago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4A0" w14:textId="0FD2EA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216" w14:textId="297E4B5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62B" w14:textId="6D1C3F8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0BC" w14:textId="6FBF48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3038" w14:textId="1854459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89B" w14:textId="73FF11A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7FE" w14:textId="1B5596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44.0</w:t>
            </w:r>
          </w:p>
        </w:tc>
      </w:tr>
      <w:tr w:rsidR="00665B81" w:rsidRPr="00FE0175" w14:paraId="2E59948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5E201F" w14:textId="3D6C3A4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321CD" w14:textId="70AE6F4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Fluminense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47577" w14:textId="648604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B0E59" w14:textId="0469EDF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26E69" w14:textId="6EDBEF6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27236" w14:textId="067C433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440B5" w14:textId="682B9E7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33758" w14:textId="6C6B6DB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FF11C6" w14:textId="705CAC3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38.8</w:t>
            </w:r>
          </w:p>
        </w:tc>
      </w:tr>
      <w:tr w:rsidR="00665B81" w:rsidRPr="00FE0175" w14:paraId="225A765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2B57D" w14:textId="2E47B6B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EB9" w14:textId="7C31F4B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F88" w14:textId="240747A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375" w14:textId="4655971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8B2E" w14:textId="5C91D54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F16" w14:textId="61B0A83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B5" w14:textId="513122A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A3DE" w14:textId="650AA1F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0B2" w14:textId="63F3E63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39.4</w:t>
            </w:r>
          </w:p>
        </w:tc>
      </w:tr>
      <w:tr w:rsidR="00665B81" w:rsidRPr="00FE0175" w14:paraId="5333511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7B7C05" w14:textId="1ED34D8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518211" w14:textId="4F9791C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Martín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78D22" w14:textId="2D18858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E2BB7" w14:textId="20C879D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0FE791" w14:textId="45F724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338894" w14:textId="353ED0A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B8CFA" w14:textId="45D6A3C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C2C4A" w14:textId="5656DE3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ABC1B7" w14:textId="5D97CFA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39.0</w:t>
            </w:r>
          </w:p>
        </w:tc>
      </w:tr>
      <w:tr w:rsidR="00665B81" w:rsidRPr="00FE0175" w14:paraId="3B0FBAD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91E2" w14:textId="240614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ED4" w14:textId="4301AEE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Pernambuco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B15" w14:textId="137890F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B3B8" w14:textId="135DFEF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170" w14:textId="180B1C2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621" w14:textId="7D43D68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B8F" w14:textId="2E89515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FF0" w14:textId="6501F98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C80" w14:textId="17CE8D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41.4</w:t>
            </w:r>
          </w:p>
        </w:tc>
      </w:tr>
      <w:tr w:rsidR="00665B81" w:rsidRPr="00FE0175" w14:paraId="603E75B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7F16B4" w14:textId="6A080F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6E05D" w14:textId="2D83EF6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Río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Grande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A3BFB" w14:textId="7405F5B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BF11D" w14:textId="23B0FB1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6DB2B6" w14:textId="579CD05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DCD67" w14:textId="35F225B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DC7BB" w14:textId="259D1A6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40636" w14:textId="170B654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EFEB6" w14:textId="2B38DF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45.8</w:t>
            </w:r>
          </w:p>
        </w:tc>
      </w:tr>
      <w:tr w:rsidR="00665B81" w:rsidRPr="00FE0175" w14:paraId="42268265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5DE84" w14:textId="3FD7D7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5847" w14:textId="06803601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BF8" w14:textId="3A439DD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A34" w14:textId="4F0ACBD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72D" w14:textId="6C3A102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D9B" w14:textId="0A8A925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F5B" w14:textId="011CFC4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D34" w14:textId="5007267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0E3" w14:textId="3D5C0BB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40.0</w:t>
            </w:r>
          </w:p>
        </w:tc>
      </w:tr>
      <w:tr w:rsidR="00665B81" w:rsidRPr="00FE0175" w14:paraId="30E495B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543CB" w14:textId="0F3B02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69A2F" w14:textId="5FC6F3DA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Austral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5FC4E" w14:textId="602C884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9D004C" w14:textId="277565F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133C9" w14:textId="5DD64BF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C6721" w14:textId="012E01C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D5746" w14:textId="5D06F31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9DCB0" w14:textId="6EA9150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0437FD" w14:textId="6799422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68.6</w:t>
            </w:r>
          </w:p>
        </w:tc>
      </w:tr>
      <w:tr w:rsidR="00665B81" w:rsidRPr="00FE0175" w14:paraId="239B4039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F644B" w14:textId="7D8CA9D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58B" w14:textId="5B554A2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Antioquia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63C" w14:textId="51DB7A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33E" w14:textId="6BEA565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407" w14:textId="17FFA44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5A" w14:textId="454DC25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94B" w14:textId="53260E5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1F8" w14:textId="76015EB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3E7" w14:textId="2D9CAD3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99.8</w:t>
            </w:r>
          </w:p>
        </w:tc>
      </w:tr>
      <w:tr w:rsidR="00665B81" w:rsidRPr="00FE0175" w14:paraId="1588CB87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FB933E" w14:textId="6EAECDB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5E67" w14:textId="08430E2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Pelotas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CE8E0D" w14:textId="50BB11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C73A6" w14:textId="339E55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D627F" w14:textId="5C3757B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88F01" w14:textId="522D380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316A5" w14:textId="2BCAA2D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88664" w14:textId="17D593C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88AFC" w14:textId="77922CC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35AB167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B5B0" w14:textId="3DCD9E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AE5" w14:textId="6E687E41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Ceará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163" w14:textId="55AA1B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D4C" w14:textId="79FF7F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E80" w14:textId="59BE3D1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1F0" w14:textId="723A2BC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B11" w14:textId="3CADCF9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4EF" w14:textId="73011E6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508" w14:textId="0CF94E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40.9</w:t>
            </w:r>
          </w:p>
        </w:tc>
      </w:tr>
      <w:tr w:rsidR="00665B81" w:rsidRPr="00FE0175" w14:paraId="7E943CC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889B0E" w14:textId="534978D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15628" w14:textId="254C572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30FED" w14:textId="4C1A054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6D74E" w14:textId="1D49661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EADDE" w14:textId="23DE26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0F206" w14:textId="1C665BD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717187" w14:textId="1DDE643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1CF500" w14:textId="77B801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FDA3E" w14:textId="691C86B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48.2</w:t>
            </w:r>
          </w:p>
        </w:tc>
      </w:tr>
      <w:tr w:rsidR="00665B81" w:rsidRPr="00FE0175" w14:paraId="45E6036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DCB8F" w14:textId="0668467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841" w14:textId="18FE915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Francisco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E25" w14:textId="5FAB48E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4AF" w14:textId="49193AC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635" w14:textId="67F0FB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A2E" w14:textId="22F005F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A1E7" w14:textId="6D221DE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07CA" w14:textId="50E2688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74D" w14:textId="18D1110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38.1</w:t>
            </w:r>
          </w:p>
        </w:tc>
      </w:tr>
      <w:tr w:rsidR="00665B81" w:rsidRPr="00FE0175" w14:paraId="6C10D88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1E26E5" w14:textId="278741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6DECE" w14:textId="7E23EF8A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Córdoba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5E66D7" w14:textId="1C92292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C366D" w14:textId="2E411A0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0B1DC" w14:textId="1290511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442F3" w14:textId="4584A5D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95233" w14:textId="0CDA2C6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333E9" w14:textId="28E721D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DB5321" w14:textId="460A49E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39.3</w:t>
            </w:r>
          </w:p>
        </w:tc>
      </w:tr>
      <w:tr w:rsidR="00665B81" w:rsidRPr="00FE0175" w14:paraId="5C384CA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F8E14" w14:textId="13C265C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9C7" w14:textId="48A5200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Goiás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8271" w14:textId="5D1D25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927" w14:textId="4243F7A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74F" w14:textId="4481326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01A" w14:textId="2B77D7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FC5" w14:textId="2F90AFB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8BD" w14:textId="5CB2CD8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23" w14:textId="5282EAF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50.1</w:t>
            </w:r>
          </w:p>
        </w:tc>
      </w:tr>
      <w:tr w:rsidR="00665B81" w:rsidRPr="00FE0175" w14:paraId="3051AAC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E0CD79" w14:textId="037DC1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378701" w14:textId="05ABF0E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Pontificia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430881" w14:textId="40CC78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A2037" w14:textId="7F2C1E0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2D8A3" w14:textId="5A8818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5DCC65" w14:textId="3225B38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6F6BD" w14:textId="6B65101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48567" w14:textId="1F28331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DEAAF8" w14:textId="643C5A8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46.4</w:t>
            </w:r>
          </w:p>
        </w:tc>
      </w:tr>
      <w:tr w:rsidR="00665B81" w:rsidRPr="00FE0175" w14:paraId="40A7CAD8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A250" w14:textId="7A6B07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C1C" w14:textId="1C283F13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Valle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Rio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Sinos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7DE" w14:textId="7CA2053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43E" w14:textId="6EAE406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B22" w14:textId="2DE8B4C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4AD" w14:textId="536B697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4ED" w14:textId="5ABAD9A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4CB" w14:textId="4D3C64B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82B" w14:textId="20F1595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81.0</w:t>
            </w:r>
          </w:p>
        </w:tc>
      </w:tr>
      <w:tr w:rsidR="00665B81" w:rsidRPr="00FE0175" w14:paraId="246B5A9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1D966A" w14:textId="65FC23C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20211A" w14:textId="08801F4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Londrina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28597" w14:textId="53E0E4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BBAFA" w14:textId="7599B9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0DE34" w14:textId="25633B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936C4" w14:textId="6AEC04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6AC13" w14:textId="7B63D0F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40CD5" w14:textId="3F5586B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D4B37" w14:textId="4F1D668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84.2</w:t>
            </w:r>
          </w:p>
        </w:tc>
      </w:tr>
      <w:tr w:rsidR="00665B81" w:rsidRPr="00FE0175" w14:paraId="39774C1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417F" w14:textId="35F4342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04B" w14:textId="3CE0645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Maringá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7D6" w14:textId="203851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E98" w14:textId="2B9E0D8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ED0" w14:textId="6978E1E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A58" w14:textId="5D8060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AAE" w14:textId="20F083A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0AA" w14:textId="45F6428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039" w14:textId="13621D3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37.9</w:t>
            </w:r>
          </w:p>
        </w:tc>
      </w:tr>
      <w:tr w:rsidR="00665B81" w:rsidRPr="00FE0175" w14:paraId="2218404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AE47ED" w14:textId="360886D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0A0C77" w14:textId="0A54FD4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Técnica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María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8D0202" w14:textId="6AA4B8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2B2DD" w14:textId="4C373E3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47B3D" w14:textId="7E59E55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8A5EA" w14:textId="59C0515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206E5" w14:textId="41FE21F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F4B3E" w14:textId="4D690D7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67161" w14:textId="523766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56.1</w:t>
            </w:r>
          </w:p>
        </w:tc>
      </w:tr>
      <w:tr w:rsidR="00665B81" w:rsidRPr="00FE0175" w14:paraId="30F46D1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9373" w14:textId="326AD4C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A55" w14:textId="090DACE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AA1" w14:textId="5851E4F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D9C" w14:textId="58C9333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936" w14:textId="39BF99C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7A8" w14:textId="067A5ED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961B" w14:textId="1F958D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6DFD" w14:textId="47659C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721" w14:textId="203BECE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41.2</w:t>
            </w:r>
          </w:p>
        </w:tc>
      </w:tr>
      <w:tr w:rsidR="00665B81" w:rsidRPr="00FE0175" w14:paraId="5B569FC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0B19D3" w14:textId="35FC7B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EA8C25" w14:textId="2762A4C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Peruana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Cayetano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Heredia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0F2EC7" w14:textId="68A7321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238C6" w14:textId="713A0F6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8CB6A" w14:textId="5B6E85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306B63" w14:textId="39FF269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4928D" w14:textId="0C79291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7000B" w14:textId="1F2AC30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97127" w14:textId="4687E12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39.7</w:t>
            </w:r>
          </w:p>
        </w:tc>
      </w:tr>
      <w:tr w:rsidR="00665B81" w:rsidRPr="00FE0175" w14:paraId="27128D19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D754" w14:textId="65D6065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30B" w14:textId="35C985F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Instituto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Politécnico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217" w14:textId="5D76BA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3C75" w14:textId="2EE0D03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5E0" w14:textId="01A122B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F08" w14:textId="1DBD20D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9A3" w14:textId="7BA2B7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2FE" w14:textId="2C646AB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668" w14:textId="235FC07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54.4</w:t>
            </w:r>
          </w:p>
        </w:tc>
      </w:tr>
      <w:tr w:rsidR="00665B81" w:rsidRPr="00FE0175" w14:paraId="27C29F2A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BBBF58" w14:textId="2B68172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83C7A" w14:textId="66D39F9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5064A" w14:textId="326AD4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F0300" w14:textId="47712DC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2E0BB" w14:textId="5BF53B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43595" w14:textId="69E737D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87232" w14:textId="66551B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18C35" w14:textId="6A0AF26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C8EE4" w14:textId="41023B4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1998E0D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0E77F" w14:textId="0DA8CED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9CA" w14:textId="103C740A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Habana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E87" w14:textId="0B8F51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A36" w14:textId="1439BA1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2EF" w14:textId="05A3D81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94D" w14:textId="79A5FA3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031" w14:textId="6F7D06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CF6" w14:textId="2A72BD6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5F2" w14:textId="0ED7E2B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52.8</w:t>
            </w:r>
          </w:p>
        </w:tc>
      </w:tr>
      <w:tr w:rsidR="00665B81" w:rsidRPr="00FE0175" w14:paraId="4547BFDB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58BD8" w14:textId="0B21745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28FBF" w14:textId="7246D6C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5167A8" w14:textId="31C4281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0266A2" w14:textId="4D41D35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281D16" w14:textId="71558F2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F08C5D" w14:textId="7A6220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5AE8A" w14:textId="219679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5CD68" w14:textId="24C29C8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5F07D" w14:textId="58FC7D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88.8</w:t>
            </w:r>
          </w:p>
        </w:tc>
      </w:tr>
      <w:tr w:rsidR="00665B81" w:rsidRPr="00FE0175" w14:paraId="10914DC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033B" w14:textId="697209B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400" w14:textId="53495F2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Diego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Portales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753" w14:textId="4E905F3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53F" w14:textId="13A0967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9E2" w14:textId="12B85D5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0A8" w14:textId="45E2C3B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06E" w14:textId="277AA1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D07" w14:textId="2682BAE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321" w14:textId="00484D8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114D346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62C95A" w14:textId="70D36E0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362A7" w14:textId="2D3A886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Uberlandia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C7C29" w14:textId="2D4D0D8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3DC0F" w14:textId="000BCC4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DD08B" w14:textId="5FA8A56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6149A" w14:textId="63DDF93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122F3" w14:textId="55AEC58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6974D" w14:textId="2CDD241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72258" w14:textId="3ABD46F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57.3</w:t>
            </w:r>
          </w:p>
        </w:tc>
      </w:tr>
      <w:tr w:rsidR="00665B81" w:rsidRPr="00FE0175" w14:paraId="49DC28AA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3FBC" w14:textId="0A5935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89C" w14:textId="239491A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Frontera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964A" w14:textId="7E7E63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B1F" w14:textId="51BF9D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004" w14:textId="3F10DF9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56E" w14:textId="055DC93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DD7" w14:textId="79FC3EE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BFD" w14:textId="5D05350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E8E" w14:textId="2BD0079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37.0</w:t>
            </w:r>
          </w:p>
        </w:tc>
      </w:tr>
      <w:tr w:rsidR="00665B81" w:rsidRPr="00FE0175" w14:paraId="59C6FF55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10DBC0" w14:textId="66C0E3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B0E00" w14:textId="62BC5B8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Ouro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Preto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4C0C9" w14:textId="6763BA8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C4ADFE" w14:textId="77F82F4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3D459" w14:textId="0739926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62376" w14:textId="46B23F7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8B4A7F" w14:textId="3F39FEC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B5C1CD" w14:textId="2EF0728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8C33F" w14:textId="5967B65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51.1</w:t>
            </w:r>
          </w:p>
        </w:tc>
      </w:tr>
      <w:tr w:rsidR="00665B81" w:rsidRPr="00FE0175" w14:paraId="67B3186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499A" w14:textId="7ACBBC2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E19" w14:textId="3FEC0DB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Torcuato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Di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Tella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72A" w14:textId="62C6A11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72F" w14:textId="791DCB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026" w14:textId="072589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C83" w14:textId="462A58D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BF6" w14:textId="619F0BF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532" w14:textId="2D9AF71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9E49" w14:textId="2D0630E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6048B52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BB347A" w14:textId="618FF2C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91419" w14:textId="73AFACE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4CC82" w14:textId="602AF08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697BA" w14:textId="6A59E5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77A81E" w14:textId="15B4E9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94FF3" w14:textId="586272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D214D" w14:textId="53C270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F362E9" w14:textId="6569784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6599D" w14:textId="1A376CE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37.5</w:t>
            </w:r>
          </w:p>
        </w:tc>
      </w:tr>
      <w:tr w:rsidR="00665B81" w:rsidRPr="00FE0175" w14:paraId="741809A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6557" w14:textId="5B595C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6D7" w14:textId="5BB5C86F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A6F2" w14:textId="1360AF2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0E1" w14:textId="7F2B92F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852" w14:textId="45B262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993" w14:textId="6780696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78E" w14:textId="445782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C52" w14:textId="6C3A626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4D" w14:textId="16DCF6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47.0</w:t>
            </w:r>
          </w:p>
        </w:tc>
      </w:tr>
      <w:tr w:rsidR="00665B81" w:rsidRPr="00FE0175" w14:paraId="52927953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370F8D" w14:textId="35EBA53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5C83F1" w14:textId="279A705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E87B8" w14:textId="56C28B5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98F83" w14:textId="0068C6E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35D1F" w14:textId="4EA433A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884182" w14:textId="0C5EB1C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5EA7F" w14:textId="27D666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1F4E9" w14:textId="67189CC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D6258" w14:textId="3642B5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37.4</w:t>
            </w:r>
          </w:p>
        </w:tc>
      </w:tr>
      <w:tr w:rsidR="00665B81" w:rsidRPr="00FE0175" w14:paraId="18EED85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53733" w14:textId="3829FB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564" w14:textId="496710E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ICESI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(Colombia)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3AC" w14:textId="35B4CB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18D" w14:textId="73DE4D8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FA3" w14:textId="3250D01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E9A5" w14:textId="614AF39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15" w14:textId="1370CD4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1D0" w14:textId="697F6D8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177" w14:textId="5899233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37.2</w:t>
            </w:r>
          </w:p>
        </w:tc>
      </w:tr>
      <w:tr w:rsidR="00665B81" w:rsidRPr="00FE0175" w14:paraId="7661979B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ED7F75" w14:textId="05E7D8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3F71CA" w14:textId="4945A46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Adolfo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Ibáñez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D1466" w14:textId="318449B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44182" w14:textId="3B0BFA3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51D166" w14:textId="558A236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B003B" w14:textId="2F7D456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A4D0E5" w14:textId="73DCDE4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EA586" w14:textId="7B4843C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0F8B3" w14:textId="1E5CF8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42.3</w:t>
            </w:r>
          </w:p>
        </w:tc>
      </w:tr>
      <w:tr w:rsidR="00665B81" w:rsidRPr="00FE0175" w14:paraId="57EA124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1870" w14:textId="6FA4943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F5F" w14:textId="40643E1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Norte,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934" w14:textId="4B9EE74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ADA" w14:textId="2A1C18C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F0F" w14:textId="12EFD07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F54" w14:textId="151DC3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7AED" w14:textId="31CF637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5E4" w14:textId="7C27C57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5F8" w14:textId="1CCF3C0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47.5</w:t>
            </w:r>
          </w:p>
        </w:tc>
      </w:tr>
      <w:tr w:rsidR="00665B81" w:rsidRPr="00FE0175" w14:paraId="40F8253A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CBF6B3" w14:textId="553E8B4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400C1" w14:textId="5BA11FF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Desarrollo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DA9C7" w14:textId="334B0AE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723F1" w14:textId="60EDBDA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3A9691" w14:textId="1B92381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EED20" w14:textId="537EA49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BC429" w14:textId="3C7C433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312326" w14:textId="062A739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E42DE" w14:textId="25A1119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46.4</w:t>
            </w:r>
          </w:p>
        </w:tc>
      </w:tr>
      <w:tr w:rsidR="00665B81" w:rsidRPr="00FE0175" w14:paraId="651E9875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8EF1A" w14:textId="2F2CAE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16E" w14:textId="4F52B17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083" w14:textId="45FB71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CA0" w14:textId="5A4D741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A91" w14:textId="686CB4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A7F" w14:textId="2D632F7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7FE" w14:textId="5120D66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B69" w14:textId="73CCFB2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058" w14:textId="19CC4F6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40.4</w:t>
            </w:r>
          </w:p>
        </w:tc>
      </w:tr>
      <w:tr w:rsidR="00665B81" w:rsidRPr="00FE0175" w14:paraId="54A1472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CBBC95" w14:textId="4E0DFC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E9889" w14:textId="2153B7C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Espíritu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EBC01" w14:textId="25B1AB5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F2BFD" w14:textId="2C0605D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7302C" w14:textId="7E1BB5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FE8B7" w14:textId="07FD44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DFA181" w14:textId="1A4B3C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3905A" w14:textId="535AF2A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5B943" w14:textId="631ABEB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</w:tr>
      <w:tr w:rsidR="00665B81" w:rsidRPr="00FE0175" w14:paraId="05DDB687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BC0D" w14:textId="14133D1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0BA" w14:textId="0279E5D3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Presbiteriana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Mackenzie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FE4" w14:textId="71AC0B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C04" w14:textId="704030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C83" w14:textId="697FD3C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F8F" w14:textId="67EDA6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F10" w14:textId="232706A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8E9" w14:textId="2B3758D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BEE" w14:textId="0557E2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63.7</w:t>
            </w:r>
          </w:p>
        </w:tc>
      </w:tr>
      <w:tr w:rsidR="00665B81" w:rsidRPr="00FE0175" w14:paraId="29FB382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AFFD16" w14:textId="179D3E7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8CF6A1" w14:textId="0184D105" w:rsidR="00665B81" w:rsidRPr="00191C7B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Universidad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Federal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de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Juiz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de</w:t>
            </w:r>
            <w:r w:rsidR="00670182"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191C7B">
              <w:rPr>
                <w:rFonts w:cstheme="minorHAnsi"/>
                <w:color w:val="000000"/>
                <w:sz w:val="18"/>
                <w:szCs w:val="18"/>
                <w:lang w:val="pt-BR"/>
              </w:rPr>
              <w:t>Fora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E5CD3" w14:textId="7FA002D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BD882" w14:textId="389B1E8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D9C24" w14:textId="31EFAC5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EBCB4C" w14:textId="52B24F8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E3189F" w14:textId="1DA1DF6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468E5" w14:textId="6604922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910EE" w14:textId="586838F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38.8</w:t>
            </w:r>
          </w:p>
        </w:tc>
      </w:tr>
      <w:tr w:rsidR="00665B81" w:rsidRPr="00FE0175" w14:paraId="2B0B3B1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1046" w14:textId="315F12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F71" w14:textId="2A5A6AC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Escuela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Superior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Politécnica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Litoral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CDD" w14:textId="25F609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9D2" w14:textId="6AE4DDD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778" w14:textId="691E6AC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99B0" w14:textId="4EF4063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FA3" w14:textId="029FAB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3CDE" w14:textId="4271CC3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385" w14:textId="22B53B0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38.1</w:t>
            </w:r>
          </w:p>
        </w:tc>
      </w:tr>
      <w:tr w:rsidR="00665B81" w:rsidRPr="00FE0175" w14:paraId="041E6F6B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E77A2F" w14:textId="1DA701A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475530" w14:textId="395D849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Oeste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BCC6F" w14:textId="5AEDE3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FE886E" w14:textId="733BB8A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C4B016" w14:textId="55288F0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A42AD0" w14:textId="1003D2C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0B39D8" w14:textId="7DBA61A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6C380" w14:textId="72412E7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6C989" w14:textId="499F78B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60.4</w:t>
            </w:r>
          </w:p>
        </w:tc>
      </w:tr>
      <w:tr w:rsidR="00665B81" w:rsidRPr="00FE0175" w14:paraId="2920B548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50130" w14:textId="05E80D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372" w14:textId="45B6DD8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Instituto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Tecnológico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Buenos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216C" w14:textId="072D8F5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DA04" w14:textId="79DFF6C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A49F" w14:textId="200B47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116" w14:textId="6BB462D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ABE" w14:textId="02402E7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C3D" w14:textId="73426D3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DB9C" w14:textId="5664610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37.6</w:t>
            </w:r>
          </w:p>
        </w:tc>
      </w:tr>
      <w:tr w:rsidR="00665B81" w:rsidRPr="00FE0175" w14:paraId="24527B5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D75B2D" w14:textId="63EAFAC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1CD3F" w14:textId="16BDBAA7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Sergipe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BEC6A" w14:textId="399C7E1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69622C" w14:textId="439DAE9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7E649" w14:textId="1340A5B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A671E" w14:textId="322207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D2D99D" w14:textId="5E84491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355A4" w14:textId="13F536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296D49" w14:textId="412A2EA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235F03EE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68B7" w14:textId="0A4BE1D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91E" w14:textId="0B56000F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Agraria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D48" w14:textId="3AEB6C8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6E2" w14:textId="74B0634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33C" w14:textId="2DDD26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ADCE" w14:textId="180EA3E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F15" w14:textId="04B3A68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485" w14:textId="7B090E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0F3" w14:textId="257CE19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7B27DA7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267970" w14:textId="42E843F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D6519" w14:textId="73FBE88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C5EC0" w14:textId="39FC823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FBD075" w14:textId="271BF7F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8D0C7" w14:textId="770532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EE2595" w14:textId="1D5CE1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47CF3" w14:textId="0F5141B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A5C7A" w14:textId="3B53A57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AAB3B" w14:textId="12FF636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37.4</w:t>
            </w:r>
          </w:p>
        </w:tc>
      </w:tr>
      <w:tr w:rsidR="00665B81" w:rsidRPr="00FE0175" w14:paraId="53CDF81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4CD83" w14:textId="6A944C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31D" w14:textId="5331B4AE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Cuyo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84A" w14:textId="4199A7B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FCF" w14:textId="3EC3CA8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97D" w14:textId="783CAB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2D3" w14:textId="4A8A4CE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095" w14:textId="36B4B93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535" w14:textId="4E33676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B1E" w14:textId="25119E4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37.2</w:t>
            </w:r>
          </w:p>
        </w:tc>
      </w:tr>
      <w:tr w:rsidR="00665B81" w:rsidRPr="00FE0175" w14:paraId="252A39DF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B2B324" w14:textId="2FF1B9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8F356F" w14:textId="4A9DBBE2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Sur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01B680" w14:textId="0AD200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C2F171" w14:textId="356EDB9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54495" w14:textId="78EBAF3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4F260" w14:textId="04AD85A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33C71" w14:textId="0FED4C2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2A6B9" w14:textId="1D906BD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D2E1B9" w14:textId="4886A7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37.1</w:t>
            </w:r>
          </w:p>
        </w:tc>
      </w:tr>
      <w:tr w:rsidR="00665B81" w:rsidRPr="00FE0175" w14:paraId="19FC48AE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D44F" w14:textId="70C24B5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2A9" w14:textId="06D9951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Mayor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Marcos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6FD1" w14:textId="22DF4D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745" w14:textId="6B9E94C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3CF" w14:textId="3DBF3D9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6BDA" w14:textId="6CAA777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0E5" w14:textId="62B6C1A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B98" w14:textId="182F722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E39" w14:textId="6F3AA6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09D46869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7D08FC" w14:textId="3810355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E9A38" w14:textId="7FF419D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Guadalajara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F14C3" w14:textId="2727A95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CC3C14" w14:textId="37996A4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9B0CB" w14:textId="138E9A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03A4E" w14:textId="60D789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9A505" w14:textId="47C1862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C6CC3" w14:textId="6643690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A5344F" w14:textId="4321A8A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5881F2F9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46FB" w14:textId="7D5010D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E5EC" w14:textId="2CF8287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Santísima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74D" w14:textId="7B329E1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346" w14:textId="5FE8E33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726" w14:textId="04620B8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B07" w14:textId="406008C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8684" w14:textId="3F3D03D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78E" w14:textId="22C8671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5DD" w14:textId="7D284C2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37.6</w:t>
            </w:r>
          </w:p>
        </w:tc>
      </w:tr>
      <w:tr w:rsidR="00665B81" w:rsidRPr="00FE0175" w14:paraId="76D92653" w14:textId="77777777" w:rsidTr="00665B81">
        <w:trPr>
          <w:gridAfter w:val="1"/>
          <w:wAfter w:w="59" w:type="dxa"/>
          <w:trHeight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5325AF" w14:textId="0DFE49B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D95B46" w14:textId="4DB0160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Tecnológica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F8F2D" w14:textId="41ED726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4B034" w14:textId="4D4B4A0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88238" w14:textId="5C6338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89B8C" w14:textId="657941B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0437C8" w14:textId="77DAA3D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DCB91D" w14:textId="19CCE00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B675FC" w14:textId="63BA38F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42.5</w:t>
            </w:r>
          </w:p>
        </w:tc>
      </w:tr>
      <w:tr w:rsidR="00665B81" w:rsidRPr="00FE0175" w14:paraId="3E939519" w14:textId="77777777" w:rsidTr="00665B81">
        <w:trPr>
          <w:gridAfter w:val="1"/>
          <w:wAfter w:w="59" w:type="dxa"/>
          <w:trHeight w:val="22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3FEF" w14:textId="7A27405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804" w14:textId="1D912D1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Ciencias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Salud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Porto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Alegre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107" w14:textId="5EA1927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FA4" w14:textId="777BCFA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7EBE" w14:textId="63DAAC0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049" w14:textId="5707ACA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260" w14:textId="5C77E13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F43" w14:textId="7E0773D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D69" w14:textId="7EF4B54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691B6F3A" w14:textId="77777777" w:rsidTr="00665B81">
        <w:trPr>
          <w:gridAfter w:val="1"/>
          <w:wAfter w:w="59" w:type="dxa"/>
          <w:trHeight w:val="22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CBA34B" w14:textId="0CDC713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444B77" w14:textId="4A3E41E6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Grossa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FD831" w14:textId="5D9BCC8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E59FFA" w14:textId="3D026C8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6FAEE" w14:textId="210A38D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576BE" w14:textId="2033094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941A5" w14:textId="60F8216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884311" w14:textId="2A26CEE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19AC6" w14:textId="2DDD37C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06B4A6D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6E0FB" w14:textId="1AB0E94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004" w14:textId="169E6BB3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Benemérita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355" w14:textId="4316B9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177" w14:textId="59DC2D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B70E" w14:textId="6EC89E6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8E1" w14:textId="2172629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A54" w14:textId="3C3BF32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A5D" w14:textId="62ECB6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9BF" w14:textId="2E10ED1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58C9232C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70258B" w14:textId="5A65239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5D373C" w14:textId="47DFE6E8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Estatal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CEEA9" w14:textId="7894F74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C9899" w14:textId="05E058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76D8D5" w14:textId="0AC17EF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694683" w14:textId="3C30293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2CEFC" w14:textId="1EA9DCE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B4049" w14:textId="758C4D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E06D6" w14:textId="2274E25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38.1</w:t>
            </w:r>
          </w:p>
        </w:tc>
      </w:tr>
      <w:tr w:rsidR="00665B81" w:rsidRPr="00FE0175" w14:paraId="778BB8BC" w14:textId="77777777" w:rsidTr="00665B81">
        <w:trPr>
          <w:gridAfter w:val="1"/>
          <w:wAfter w:w="59" w:type="dxa"/>
          <w:trHeight w:val="28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2A3F" w14:textId="791BC56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95DE" w14:textId="4DF7CD0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Litoral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D76" w14:textId="333C4F5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393" w14:textId="2BBBA6E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3F9" w14:textId="58FEA28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B91" w14:textId="3BAE71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7C9" w14:textId="2E55A3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942" w14:textId="267169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748" w14:textId="67D968A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42.7</w:t>
            </w:r>
          </w:p>
        </w:tc>
      </w:tr>
      <w:tr w:rsidR="00665B81" w:rsidRPr="00FE0175" w14:paraId="7112250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3AED7F" w14:textId="1A90AB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5FBE0" w14:textId="220A838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C98F1" w14:textId="6A15CA7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D423DB" w14:textId="6104EE7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7034EB" w14:textId="153CACF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AAE339" w14:textId="53C4248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DC0954" w14:textId="26B9E34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5EACAB" w14:textId="4450CFE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2C4BC" w14:textId="6B453BE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37.1</w:t>
            </w:r>
          </w:p>
        </w:tc>
      </w:tr>
      <w:tr w:rsidR="00665B81" w:rsidRPr="00FE0175" w14:paraId="65845075" w14:textId="77777777" w:rsidTr="00665B81">
        <w:trPr>
          <w:gridAfter w:val="1"/>
          <w:wAfter w:w="59" w:type="dxa"/>
          <w:trHeight w:val="15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86DB" w14:textId="5A178BA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430" w14:textId="73037F2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5D1B" w14:textId="5E3FDA0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C38" w14:textId="529BC0B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C7CB" w14:textId="3C3D109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A1C" w14:textId="0DB217B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2F6" w14:textId="0445B84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B974" w14:textId="01BB56F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1B4" w14:textId="0B04B7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67.8</w:t>
            </w:r>
          </w:p>
        </w:tc>
      </w:tr>
      <w:tr w:rsidR="00665B81" w:rsidRPr="00FE0175" w14:paraId="2A07E860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0F8FF1" w14:textId="4EF4D51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1D88F" w14:textId="77C9CE9A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Baja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DAEC8" w14:textId="19BAA6E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6F769" w14:textId="28A1038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E5F4B" w14:textId="4411C45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3AACAB" w14:textId="78A6E79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FEEFAA" w14:textId="360F9AD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3D3AE7" w14:textId="0FB333A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98A36" w14:textId="68D1141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</w:tr>
      <w:tr w:rsidR="00665B81" w:rsidRPr="00FE0175" w14:paraId="6F2F41A9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6B8B" w14:textId="37FD67D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D9B" w14:textId="0AC9125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Panamericana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04C" w14:textId="0C7F1F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870B" w14:textId="03E6C42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D1F" w14:textId="46FF5D7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5EF" w14:textId="4DB2580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A17" w14:textId="4DE7F9A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D25" w14:textId="5761783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A5" w14:textId="514D120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37.9</w:t>
            </w:r>
          </w:p>
        </w:tc>
      </w:tr>
      <w:tr w:rsidR="00665B81" w:rsidRPr="00FE0175" w14:paraId="6BCC121B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F6DFD1" w14:textId="14B92D5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50C4C" w14:textId="5A98B83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Pará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5A25D" w14:textId="3E57EFA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2CA10" w14:textId="4E92980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EA074" w14:textId="68DF89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3E5769" w14:textId="62A90E7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C25BF" w14:textId="0A9CD79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0D89E" w14:textId="3E071545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F30323" w14:textId="30C7BD0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48.2</w:t>
            </w:r>
          </w:p>
        </w:tc>
      </w:tr>
      <w:tr w:rsidR="00665B81" w:rsidRPr="00FE0175" w14:paraId="0D5FD877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7F16" w14:textId="79AA870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A69" w14:textId="578B83FB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98F" w14:textId="301E2CB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D82" w14:textId="10A60CE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D70" w14:textId="4D4991A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7C9" w14:textId="1A663D3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22E" w14:textId="5F4736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656" w14:textId="4A079B8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31A" w14:textId="20E73AA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38.2</w:t>
            </w:r>
          </w:p>
        </w:tc>
      </w:tr>
      <w:tr w:rsidR="00665B81" w:rsidRPr="00FE0175" w14:paraId="5E73B9CA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0013AA" w14:textId="61C0F42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FF30B4" w14:textId="48DE6655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Católica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C6253" w14:textId="5055A42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4EA96" w14:textId="0086E7C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84D91" w14:textId="52756F1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847BAF" w14:textId="7E33A3F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9B168" w14:textId="1E27160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7AB89" w14:textId="5C84BA6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2C8EEC" w14:textId="6AF09DB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37.4</w:t>
            </w:r>
          </w:p>
        </w:tc>
      </w:tr>
      <w:tr w:rsidR="00665B81" w:rsidRPr="00FE0175" w14:paraId="3FC142AE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B7438" w14:textId="2BDE950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929" w14:textId="0EAE1B8C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1F2" w14:textId="0E21F1F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F4B" w14:textId="474B6A0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ACB" w14:textId="332EEF8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2D4" w14:textId="2AA7B9E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3C4" w14:textId="7F92AA2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B40" w14:textId="38977E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E55" w14:textId="26DAF69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5A2D8067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7D1D8" w14:textId="3932DF8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A33FF" w14:textId="4C9F8E1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Espíritu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98019" w14:textId="2291BE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D41D58" w14:textId="4C4D098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67FC7" w14:textId="4273649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10C1B9" w14:textId="5FE7124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4942C" w14:textId="3EB51FA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53E25" w14:textId="458D5A0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DC2F9" w14:textId="5AC2EBF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80.5</w:t>
            </w:r>
          </w:p>
        </w:tc>
      </w:tr>
      <w:tr w:rsidR="00665B81" w:rsidRPr="00FE0175" w14:paraId="345C4811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E73B" w14:textId="02E382DB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6EC" w14:textId="7E73CB30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Serena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FF6" w14:textId="76E4E2F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B00" w14:textId="45E36FA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F2D" w14:textId="413F186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9AF" w14:textId="2C9742B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D7A" w14:textId="41E73B8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F0F" w14:textId="5EE363BC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610" w14:textId="54761E41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665B81" w:rsidRPr="00FE0175" w14:paraId="71BF0622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458F83" w14:textId="5273803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9F7E8A" w14:textId="0D62E019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Nuevo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León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647D4" w14:textId="23D9FEE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65BC" w14:textId="7D14E65D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1AF58" w14:textId="25D6870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C098D6" w14:textId="3207F4EF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429B9" w14:textId="764C4E4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19233" w14:textId="6864421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268E6" w14:textId="6947C0F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39.9</w:t>
            </w:r>
          </w:p>
        </w:tc>
      </w:tr>
      <w:tr w:rsidR="00665B81" w:rsidRPr="00FE0175" w14:paraId="7B2CAE16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4A9A" w14:textId="00C2E3C8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C059" w14:textId="1001609A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Pernambuco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E55" w14:textId="269EA21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136" w14:textId="2EBBF8E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8C2" w14:textId="7C48C5DA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82EF" w14:textId="0EDB39C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719" w14:textId="0B444B42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D6D7" w14:textId="5607CCC9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BA38" w14:textId="04482280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37.5</w:t>
            </w:r>
          </w:p>
        </w:tc>
      </w:tr>
      <w:tr w:rsidR="00665B81" w:rsidRPr="00FE0175" w14:paraId="737A21E5" w14:textId="77777777" w:rsidTr="00665B81">
        <w:trPr>
          <w:gridAfter w:val="1"/>
          <w:wAfter w:w="59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1F8796" w14:textId="5E60360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A18099" w14:textId="14855F04" w:rsidR="00665B81" w:rsidRPr="00FE0175" w:rsidRDefault="00665B81" w:rsidP="00665B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Federal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Itajubá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F5835" w14:textId="157688C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77AEEF" w14:textId="7F6AF77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F042F" w14:textId="45A465A6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02E22" w14:textId="4EDC6DD7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68487" w14:textId="796EB774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96FA88" w14:textId="2780E1FE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60994" w14:textId="166A82B3" w:rsidR="00665B81" w:rsidRPr="00FE0175" w:rsidRDefault="00665B81" w:rsidP="0066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47.3</w:t>
            </w:r>
          </w:p>
        </w:tc>
      </w:tr>
      <w:tr w:rsidR="006E76F0" w:rsidRPr="00FE0175" w14:paraId="6804F65F" w14:textId="77777777" w:rsidTr="007C772B">
        <w:trPr>
          <w:trHeight w:val="55"/>
          <w:jc w:val="center"/>
        </w:trPr>
        <w:tc>
          <w:tcPr>
            <w:tcW w:w="118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BD2DA" w14:textId="26872470" w:rsidR="006E76F0" w:rsidRPr="00FE0175" w:rsidRDefault="006E76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FE017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>*Ordenando</w:t>
            </w:r>
            <w:r w:rsidR="00670182" w:rsidRPr="00FE017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a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posición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obtenida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en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202</w:t>
            </w:r>
            <w:r w:rsidR="00C61341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1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,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y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el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nombre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de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</w:t>
            </w:r>
            <w:r w:rsidR="00670182"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universidad.</w:t>
            </w:r>
          </w:p>
        </w:tc>
      </w:tr>
    </w:tbl>
    <w:p w14:paraId="669AAE9D" w14:textId="3A5A8500" w:rsidR="009E4833" w:rsidRPr="00FE0175" w:rsidRDefault="009E4833" w:rsidP="008908CD">
      <w:pPr>
        <w:spacing w:after="0" w:line="240" w:lineRule="auto"/>
        <w:jc w:val="both"/>
        <w:rPr>
          <w:sz w:val="24"/>
        </w:rPr>
      </w:pPr>
    </w:p>
    <w:p w14:paraId="3DAD267E" w14:textId="3A6CC410" w:rsidR="00777F1D" w:rsidRPr="00FE0175" w:rsidRDefault="00777F1D" w:rsidP="008908CD">
      <w:pPr>
        <w:spacing w:after="0" w:line="240" w:lineRule="auto"/>
        <w:jc w:val="both"/>
        <w:rPr>
          <w:b/>
          <w:sz w:val="24"/>
        </w:rPr>
      </w:pPr>
      <w:r w:rsidRPr="00FE0175">
        <w:rPr>
          <w:b/>
          <w:sz w:val="24"/>
        </w:rPr>
        <w:t>Universidades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Mexicanas</w:t>
      </w:r>
    </w:p>
    <w:p w14:paraId="3AB8F455" w14:textId="72D412F1" w:rsidR="009E4833" w:rsidRPr="00FE0175" w:rsidRDefault="009E4833" w:rsidP="002F3F20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>Para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propósito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FC11D6" w:rsidRPr="00FE0175">
        <w:rPr>
          <w:sz w:val="24"/>
        </w:rPr>
        <w:t>l</w:t>
      </w:r>
      <w:r w:rsidR="00670182" w:rsidRPr="00FE0175">
        <w:rPr>
          <w:sz w:val="24"/>
        </w:rPr>
        <w:t xml:space="preserve"> </w:t>
      </w:r>
      <w:r w:rsidR="00FC11D6" w:rsidRPr="00FE0175">
        <w:rPr>
          <w:sz w:val="24"/>
        </w:rPr>
        <w:t>siguiente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análisis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solo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se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incluirá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información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las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universidades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mexicanas.</w:t>
      </w:r>
      <w:r w:rsidR="00670182" w:rsidRPr="00FE0175">
        <w:rPr>
          <w:sz w:val="24"/>
        </w:rPr>
        <w:t xml:space="preserve"> </w:t>
      </w:r>
    </w:p>
    <w:p w14:paraId="1F595B0B" w14:textId="77777777" w:rsidR="00C267B7" w:rsidRPr="00FE0175" w:rsidRDefault="00C267B7" w:rsidP="008908CD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12A427E7" w14:textId="5DA61ED5" w:rsidR="00F11825" w:rsidRPr="00FE0175" w:rsidRDefault="00116071" w:rsidP="002F3F20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>E</w:t>
      </w:r>
      <w:r w:rsidR="004B6042" w:rsidRPr="00FE0175">
        <w:rPr>
          <w:sz w:val="24"/>
        </w:rPr>
        <w:t>l</w:t>
      </w:r>
      <w:r w:rsidR="00670182" w:rsidRPr="00FE0175">
        <w:rPr>
          <w:sz w:val="24"/>
        </w:rPr>
        <w:t xml:space="preserve"> </w:t>
      </w:r>
      <w:r w:rsidR="00B23503" w:rsidRPr="00FE0175">
        <w:rPr>
          <w:sz w:val="24"/>
        </w:rPr>
        <w:t>ranking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clasificó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a</w:t>
      </w:r>
      <w:r w:rsidR="00670182" w:rsidRPr="00FE0175">
        <w:rPr>
          <w:sz w:val="24"/>
        </w:rPr>
        <w:t xml:space="preserve"> </w:t>
      </w:r>
      <w:r w:rsidR="00C267B7" w:rsidRPr="00FE0175">
        <w:rPr>
          <w:sz w:val="24"/>
        </w:rPr>
        <w:t>23</w:t>
      </w:r>
      <w:r w:rsidR="00670182" w:rsidRPr="00FE0175">
        <w:rPr>
          <w:sz w:val="24"/>
        </w:rPr>
        <w:t xml:space="preserve"> </w:t>
      </w:r>
      <w:r w:rsidR="004B6042" w:rsidRPr="00FE0175">
        <w:rPr>
          <w:sz w:val="24"/>
        </w:rPr>
        <w:t>universidades</w:t>
      </w:r>
      <w:r w:rsidR="00670182" w:rsidRPr="00FE0175">
        <w:rPr>
          <w:sz w:val="24"/>
        </w:rPr>
        <w:t xml:space="preserve"> </w:t>
      </w:r>
      <w:r w:rsidR="004B6042" w:rsidRPr="00FE0175">
        <w:rPr>
          <w:sz w:val="24"/>
        </w:rPr>
        <w:t>mexicanas</w:t>
      </w:r>
      <w:r w:rsidR="0025731B" w:rsidRPr="00FE0175">
        <w:rPr>
          <w:sz w:val="24"/>
        </w:rPr>
        <w:t>:</w:t>
      </w:r>
    </w:p>
    <w:p w14:paraId="205CCCFC" w14:textId="006E4BAD" w:rsidR="00F719D8" w:rsidRPr="00FE0175" w:rsidRDefault="005C7307" w:rsidP="00B1704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sz w:val="24"/>
        </w:rPr>
      </w:pPr>
      <w:r w:rsidRPr="001B4439">
        <w:rPr>
          <w:b/>
          <w:iCs/>
          <w:sz w:val="24"/>
        </w:rPr>
        <w:t>Posición General</w:t>
      </w:r>
      <w:r w:rsidRPr="00C60020">
        <w:rPr>
          <w:bCs/>
          <w:iCs/>
          <w:sz w:val="24"/>
        </w:rPr>
        <w:t>:</w:t>
      </w:r>
      <w:r w:rsidRPr="00FE0175">
        <w:rPr>
          <w:bCs/>
          <w:iCs/>
          <w:sz w:val="24"/>
        </w:rPr>
        <w:t xml:space="preserve"> </w:t>
      </w:r>
      <w:r w:rsidR="00B17046" w:rsidRPr="00FE0175">
        <w:rPr>
          <w:sz w:val="24"/>
        </w:rPr>
        <w:t>Se ubicaron</w:t>
      </w:r>
      <w:r w:rsidR="00B17046" w:rsidRPr="00FE0175">
        <w:rPr>
          <w:b/>
          <w:bCs/>
          <w:sz w:val="24"/>
        </w:rPr>
        <w:t xml:space="preserve"> </w:t>
      </w:r>
      <w:r w:rsidR="00B17046" w:rsidRPr="00FE0175">
        <w:rPr>
          <w:sz w:val="24"/>
        </w:rPr>
        <w:t xml:space="preserve">en los primeros 100 lugares del ranking </w:t>
      </w:r>
      <w:r w:rsidR="00F719D8" w:rsidRPr="00FE0175">
        <w:rPr>
          <w:sz w:val="24"/>
        </w:rPr>
        <w:t>11 universidades, 2 en el rango 101 – 125, 4 en el rango 126 – 150, y 6 en un rango superior a 151.</w:t>
      </w:r>
    </w:p>
    <w:p w14:paraId="4D4067FD" w14:textId="339D8337" w:rsidR="005C7307" w:rsidRPr="00FE0175" w:rsidRDefault="005C7307" w:rsidP="005C730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sz w:val="24"/>
        </w:rPr>
      </w:pPr>
      <w:r w:rsidRPr="00FE0175">
        <w:rPr>
          <w:sz w:val="24"/>
        </w:rPr>
        <w:t>Se destaca el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Instituto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Tecnológico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y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Estudios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Superiores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Monterrey</w:t>
      </w:r>
      <w:r w:rsidR="00670182" w:rsidRPr="00FE0175">
        <w:rPr>
          <w:sz w:val="24"/>
        </w:rPr>
        <w:t xml:space="preserve"> </w:t>
      </w:r>
      <w:r w:rsidR="00D878BF" w:rsidRPr="00FE0175">
        <w:rPr>
          <w:sz w:val="24"/>
        </w:rPr>
        <w:t>(ITESM)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 xml:space="preserve">que </w:t>
      </w:r>
      <w:r w:rsidR="00994DE8" w:rsidRPr="00FE0175">
        <w:rPr>
          <w:sz w:val="24"/>
        </w:rPr>
        <w:t xml:space="preserve">fue clasificada en </w:t>
      </w:r>
      <w:r w:rsidRPr="00FE0175">
        <w:rPr>
          <w:sz w:val="24"/>
        </w:rPr>
        <w:t xml:space="preserve">el lugar 4º, la UNAM </w:t>
      </w:r>
      <w:r w:rsidR="00994DE8" w:rsidRPr="00FE0175">
        <w:rPr>
          <w:sz w:val="24"/>
        </w:rPr>
        <w:t xml:space="preserve">en </w:t>
      </w:r>
      <w:r w:rsidR="00165A69"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="00165A69" w:rsidRPr="00FE0175">
        <w:rPr>
          <w:sz w:val="24"/>
        </w:rPr>
        <w:t>lugar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18</w:t>
      </w:r>
      <w:r w:rsidR="00165A69" w:rsidRPr="00FE0175">
        <w:rPr>
          <w:sz w:val="24"/>
        </w:rPr>
        <w:t>º</w:t>
      </w:r>
      <w:r w:rsidRPr="00FE0175">
        <w:rPr>
          <w:sz w:val="24"/>
        </w:rPr>
        <w:t xml:space="preserve">, y la Universidad Autónoma Metropolitana </w:t>
      </w:r>
      <w:r w:rsidR="00C5530A" w:rsidRPr="00FE0175">
        <w:rPr>
          <w:sz w:val="24"/>
        </w:rPr>
        <w:t xml:space="preserve">(UAM) </w:t>
      </w:r>
      <w:r w:rsidR="00994DE8" w:rsidRPr="00FE0175">
        <w:rPr>
          <w:sz w:val="24"/>
        </w:rPr>
        <w:t xml:space="preserve">en </w:t>
      </w:r>
      <w:r w:rsidRPr="00FE0175">
        <w:rPr>
          <w:sz w:val="24"/>
        </w:rPr>
        <w:t>el lugar 27º.</w:t>
      </w:r>
    </w:p>
    <w:p w14:paraId="2B6AF9AC" w14:textId="04FEF362" w:rsidR="00C5530A" w:rsidRPr="00FE0175" w:rsidRDefault="00733C78" w:rsidP="00C553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t>Puntaje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General</w:t>
      </w:r>
      <w:r w:rsidR="00987730" w:rsidRPr="00FE0175">
        <w:rPr>
          <w:bCs/>
          <w:sz w:val="24"/>
        </w:rPr>
        <w:t>:</w:t>
      </w:r>
      <w:r w:rsidR="00670182" w:rsidRPr="00FE0175">
        <w:rPr>
          <w:bCs/>
          <w:sz w:val="24"/>
        </w:rPr>
        <w:t xml:space="preserve"> </w:t>
      </w:r>
      <w:r w:rsidR="00C5530A" w:rsidRPr="00FE0175">
        <w:rPr>
          <w:bCs/>
          <w:sz w:val="24"/>
        </w:rPr>
        <w:t xml:space="preserve">EL ITESM fue clasificada con un puntaje de 83.3, la UNAM </w:t>
      </w:r>
      <w:r w:rsidR="00E019A2">
        <w:rPr>
          <w:bCs/>
          <w:sz w:val="24"/>
        </w:rPr>
        <w:t>con</w:t>
      </w:r>
      <w:r w:rsidR="00C5530A" w:rsidRPr="00FE0175">
        <w:rPr>
          <w:bCs/>
          <w:sz w:val="24"/>
        </w:rPr>
        <w:t xml:space="preserve"> 72.8, y la UAM con 64.7 puntos.</w:t>
      </w:r>
    </w:p>
    <w:p w14:paraId="34D8FAF2" w14:textId="27D7BDF5" w:rsidR="00C5530A" w:rsidRPr="00FE0175" w:rsidRDefault="00C5530A" w:rsidP="00777AC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t>Docencia</w:t>
      </w:r>
      <w:r w:rsidRPr="00FE0175">
        <w:rPr>
          <w:bCs/>
          <w:sz w:val="24"/>
        </w:rPr>
        <w:t xml:space="preserve">: </w:t>
      </w:r>
      <w:r w:rsidR="00777AC2" w:rsidRPr="00FE0175">
        <w:rPr>
          <w:bCs/>
          <w:sz w:val="24"/>
        </w:rPr>
        <w:t>El ITESM obtuvo un puntaje de 75.0, la UNAM de 72.7 puntos, y la UAM de 61.9 puntos.</w:t>
      </w:r>
    </w:p>
    <w:p w14:paraId="341745C9" w14:textId="03FD6376" w:rsidR="00BE2DB6" w:rsidRPr="00FE0175" w:rsidRDefault="00C5530A" w:rsidP="00BE2DB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t>Investigación</w:t>
      </w:r>
      <w:r w:rsidRPr="00FE0175">
        <w:rPr>
          <w:bCs/>
          <w:sz w:val="24"/>
        </w:rPr>
        <w:t xml:space="preserve">: </w:t>
      </w:r>
      <w:r w:rsidR="00BE2DB6" w:rsidRPr="00FE0175">
        <w:rPr>
          <w:bCs/>
          <w:sz w:val="24"/>
        </w:rPr>
        <w:t>El ITESM fue clasificado con 92.6 puntos, la UNAM con 85.8 puntos, y la UAM con 65.6 puntos.</w:t>
      </w:r>
    </w:p>
    <w:p w14:paraId="0BD47F78" w14:textId="75F56232" w:rsidR="00BE2DB6" w:rsidRPr="00FE0175" w:rsidRDefault="00C5530A" w:rsidP="00BE2DB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t>Citas</w:t>
      </w:r>
      <w:r w:rsidRPr="00FE0175">
        <w:rPr>
          <w:bCs/>
          <w:sz w:val="24"/>
        </w:rPr>
        <w:t>:</w:t>
      </w:r>
      <w:r w:rsidR="00BE2DB6" w:rsidRPr="00FE0175">
        <w:rPr>
          <w:bCs/>
          <w:sz w:val="24"/>
        </w:rPr>
        <w:t xml:space="preserve"> La UAM recibió un puntaje de 80.6, el ITESM de 78.1 puntos, la Universidad de Sinaloa </w:t>
      </w:r>
      <w:r w:rsidR="00E019A2">
        <w:rPr>
          <w:bCs/>
          <w:sz w:val="24"/>
        </w:rPr>
        <w:t>de</w:t>
      </w:r>
      <w:r w:rsidR="00BE2DB6" w:rsidRPr="00FE0175">
        <w:rPr>
          <w:bCs/>
          <w:sz w:val="24"/>
        </w:rPr>
        <w:t xml:space="preserve"> 54.6 puntos, y la UNAM </w:t>
      </w:r>
      <w:r w:rsidR="00E019A2">
        <w:rPr>
          <w:bCs/>
          <w:sz w:val="24"/>
        </w:rPr>
        <w:t>de</w:t>
      </w:r>
      <w:r w:rsidR="00BE2DB6" w:rsidRPr="00FE0175">
        <w:rPr>
          <w:bCs/>
          <w:sz w:val="24"/>
        </w:rPr>
        <w:t xml:space="preserve"> 44.9 puntos.</w:t>
      </w:r>
    </w:p>
    <w:p w14:paraId="1FF2B893" w14:textId="5F563623" w:rsidR="00C5530A" w:rsidRPr="00FE0175" w:rsidRDefault="00C5530A" w:rsidP="003C30E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t>Perspectiva internacional</w:t>
      </w:r>
      <w:r w:rsidRPr="00FE0175">
        <w:rPr>
          <w:bCs/>
          <w:sz w:val="24"/>
        </w:rPr>
        <w:t xml:space="preserve">: </w:t>
      </w:r>
      <w:r w:rsidR="00BE2DB6" w:rsidRPr="00FE0175">
        <w:rPr>
          <w:bCs/>
          <w:sz w:val="24"/>
        </w:rPr>
        <w:t xml:space="preserve">El ITESM obtuvo un puntaje de 89.8, la UNAM de 81.1 puntos, y la Universidad de Monterrey </w:t>
      </w:r>
      <w:r w:rsidR="00E019A2">
        <w:rPr>
          <w:bCs/>
          <w:sz w:val="24"/>
        </w:rPr>
        <w:t>de</w:t>
      </w:r>
      <w:r w:rsidR="00BE2DB6" w:rsidRPr="00FE0175">
        <w:rPr>
          <w:bCs/>
          <w:sz w:val="24"/>
        </w:rPr>
        <w:t xml:space="preserve"> 60.0 puntos.</w:t>
      </w:r>
    </w:p>
    <w:p w14:paraId="604AEA73" w14:textId="7717AA74" w:rsidR="00987730" w:rsidRPr="00FE0175" w:rsidRDefault="00C5530A" w:rsidP="00E92CC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/>
          <w:sz w:val="24"/>
        </w:rPr>
        <w:lastRenderedPageBreak/>
        <w:t>Financiamiento de la industria</w:t>
      </w:r>
      <w:r w:rsidRPr="00FE0175">
        <w:rPr>
          <w:bCs/>
          <w:sz w:val="24"/>
        </w:rPr>
        <w:t>:</w:t>
      </w:r>
      <w:r w:rsidR="00BE2DB6" w:rsidRPr="00FE0175">
        <w:rPr>
          <w:bCs/>
          <w:sz w:val="24"/>
        </w:rPr>
        <w:t xml:space="preserve"> El ITESM recibió un puntaje de 97.7, la UNAM de 95.9 y la Universidad Autónoma de Sinaloa de 82.2 puntos.</w:t>
      </w:r>
    </w:p>
    <w:p w14:paraId="3DCBF4D7" w14:textId="6CC5E5CA" w:rsidR="00015D20" w:rsidRPr="00FE0175" w:rsidRDefault="00BE2DB6" w:rsidP="00D7452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FE0175">
        <w:rPr>
          <w:bCs/>
          <w:sz w:val="24"/>
        </w:rPr>
        <w:t xml:space="preserve">Llama la atención </w:t>
      </w:r>
      <w:r w:rsidR="00D7452D" w:rsidRPr="00FE0175">
        <w:rPr>
          <w:bCs/>
          <w:sz w:val="24"/>
        </w:rPr>
        <w:t xml:space="preserve">la </w:t>
      </w:r>
      <w:r w:rsidR="00015D20" w:rsidRPr="00FE0175">
        <w:rPr>
          <w:bCs/>
          <w:sz w:val="24"/>
        </w:rPr>
        <w:t xml:space="preserve">discrepancia </w:t>
      </w:r>
      <w:r w:rsidR="00D7452D" w:rsidRPr="00FE0175">
        <w:rPr>
          <w:bCs/>
          <w:sz w:val="24"/>
        </w:rPr>
        <w:t xml:space="preserve">que existe sobre la matricula del ITESM, ya que </w:t>
      </w:r>
      <w:r w:rsidR="00015D20" w:rsidRPr="00FE0175">
        <w:rPr>
          <w:sz w:val="24"/>
        </w:rPr>
        <w:t xml:space="preserve">el </w:t>
      </w:r>
      <w:r w:rsidR="00015D20" w:rsidRPr="00FE0175">
        <w:rPr>
          <w:b/>
          <w:bCs/>
          <w:sz w:val="24"/>
        </w:rPr>
        <w:t>Ranking THE</w:t>
      </w:r>
      <w:r w:rsidR="00015D20" w:rsidRPr="00FE0175">
        <w:rPr>
          <w:sz w:val="24"/>
        </w:rPr>
        <w:t xml:space="preserve"> </w:t>
      </w:r>
      <w:r w:rsidR="00D7452D" w:rsidRPr="00FE0175">
        <w:rPr>
          <w:sz w:val="24"/>
        </w:rPr>
        <w:t>reportó para el ITESM un total de 14,681 estudiantes de tiempo completo en 2020, mientras que la propia institución en su página “Datos y cifras</w:t>
      </w:r>
      <w:r w:rsidR="00D7452D" w:rsidRPr="00FE0175">
        <w:rPr>
          <w:rStyle w:val="Refdenotaalpie"/>
          <w:sz w:val="24"/>
        </w:rPr>
        <w:footnoteReference w:id="1"/>
      </w:r>
      <w:r w:rsidR="00D7452D" w:rsidRPr="00FE0175">
        <w:rPr>
          <w:sz w:val="24"/>
        </w:rPr>
        <w:t xml:space="preserve">” </w:t>
      </w:r>
      <w:r w:rsidR="00FD0700" w:rsidRPr="00FE0175">
        <w:rPr>
          <w:sz w:val="24"/>
        </w:rPr>
        <w:t xml:space="preserve">reportó </w:t>
      </w:r>
      <w:r w:rsidR="00D7452D" w:rsidRPr="00FE0175">
        <w:rPr>
          <w:sz w:val="24"/>
        </w:rPr>
        <w:t xml:space="preserve">un total de 58,364 </w:t>
      </w:r>
      <w:r w:rsidR="00015D20" w:rsidRPr="00FE0175">
        <w:rPr>
          <w:sz w:val="24"/>
        </w:rPr>
        <w:t>estudiantes de licenciatura, lo que nos hace pensar que dicha institución está reportando únicamente los datos de su campus en Monterrey</w:t>
      </w:r>
      <w:r w:rsidR="00D7452D" w:rsidRPr="00FE0175">
        <w:rPr>
          <w:sz w:val="24"/>
        </w:rPr>
        <w:t xml:space="preserve">. </w:t>
      </w:r>
      <w:r w:rsidR="00015D20" w:rsidRPr="00FE0175">
        <w:rPr>
          <w:sz w:val="24"/>
        </w:rPr>
        <w:t xml:space="preserve">Por su parte, la UNAM reporta la matrícula de todos los campus </w:t>
      </w:r>
      <w:r w:rsidR="00D7452D" w:rsidRPr="00FE0175">
        <w:rPr>
          <w:sz w:val="24"/>
        </w:rPr>
        <w:t>del país (excluyendo la matrícula de educación media superior).</w:t>
      </w:r>
    </w:p>
    <w:p w14:paraId="7A324941" w14:textId="77777777" w:rsidR="00015D20" w:rsidRPr="00FE0175" w:rsidRDefault="00015D20" w:rsidP="00C5530A">
      <w:pPr>
        <w:pStyle w:val="Prrafodelista"/>
        <w:spacing w:after="0" w:line="240" w:lineRule="auto"/>
        <w:jc w:val="both"/>
        <w:rPr>
          <w:bCs/>
          <w:sz w:val="24"/>
        </w:rPr>
      </w:pPr>
    </w:p>
    <w:tbl>
      <w:tblPr>
        <w:tblW w:w="119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5"/>
        <w:gridCol w:w="1007"/>
        <w:gridCol w:w="872"/>
        <w:gridCol w:w="1224"/>
        <w:gridCol w:w="874"/>
        <w:gridCol w:w="1255"/>
        <w:gridCol w:w="1356"/>
        <w:gridCol w:w="9"/>
      </w:tblGrid>
      <w:tr w:rsidR="00AF4955" w:rsidRPr="00FE0175" w14:paraId="65C80DE4" w14:textId="77777777" w:rsidTr="00FD0700">
        <w:trPr>
          <w:trHeight w:val="305"/>
          <w:jc w:val="center"/>
        </w:trPr>
        <w:tc>
          <w:tcPr>
            <w:tcW w:w="1198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30589" w14:textId="0967CF5C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B75C1E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3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mexicanas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clasificadas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THE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Ranking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Latinoamérica,</w:t>
            </w:r>
            <w:r w:rsidR="00670182"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2021.</w:t>
            </w:r>
          </w:p>
        </w:tc>
      </w:tr>
      <w:tr w:rsidR="00AF4955" w:rsidRPr="00FE0175" w14:paraId="725243F8" w14:textId="77777777" w:rsidTr="00FD0700">
        <w:trPr>
          <w:gridAfter w:val="1"/>
          <w:wAfter w:w="9" w:type="dxa"/>
          <w:trHeight w:val="3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FD6FD75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Posición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C6705B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B0E2E6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Puntaje</w:t>
            </w:r>
            <w:r w:rsidRPr="00FE0175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2FD8240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7A8BEC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5698D3" w14:textId="77777777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31CA6A" w14:textId="46BBBFD0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Perspectiva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internacional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2F36B4" w14:textId="4583CF6B" w:rsidR="00AF4955" w:rsidRPr="00FE0175" w:rsidRDefault="00AF4955" w:rsidP="00AD33C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E0175">
              <w:rPr>
                <w:b/>
                <w:sz w:val="18"/>
                <w:szCs w:val="20"/>
              </w:rPr>
              <w:t>Financiamiento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de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la</w:t>
            </w:r>
            <w:r w:rsidR="00670182" w:rsidRPr="00FE0175">
              <w:rPr>
                <w:b/>
                <w:sz w:val="18"/>
                <w:szCs w:val="20"/>
              </w:rPr>
              <w:t xml:space="preserve"> </w:t>
            </w:r>
            <w:r w:rsidRPr="00FE0175">
              <w:rPr>
                <w:b/>
                <w:sz w:val="18"/>
                <w:szCs w:val="20"/>
              </w:rPr>
              <w:t>industria</w:t>
            </w:r>
          </w:p>
        </w:tc>
      </w:tr>
      <w:tr w:rsidR="00E63105" w:rsidRPr="00FE0175" w14:paraId="1D8A88ED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68438" w14:textId="1D26D7A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D63" w14:textId="42B2E1E2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Instituto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Tecnológico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Estudios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Superiores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Monterrey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DC7" w14:textId="2949DCC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18A" w14:textId="11A8455F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5874" w14:textId="7F79F70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481" w14:textId="05066CC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4F3" w14:textId="6288192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912E" w14:textId="1A391D7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97.7</w:t>
            </w:r>
          </w:p>
        </w:tc>
      </w:tr>
      <w:tr w:rsidR="00E63105" w:rsidRPr="00FE0175" w14:paraId="0BD88914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B39F32" w14:textId="1C2B6E1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F3CB9" w14:textId="186843C3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Nacional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05A076" w14:textId="73D4B3C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985DE" w14:textId="4201C14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15590" w14:textId="5861389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C4CD4" w14:textId="24C479E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C40DA" w14:textId="2085819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0AAE2" w14:textId="3CC93C3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95.9</w:t>
            </w:r>
          </w:p>
        </w:tc>
      </w:tr>
      <w:tr w:rsidR="00E63105" w:rsidRPr="00FE0175" w14:paraId="0F3A495D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8A1A" w14:textId="0F1728C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603" w14:textId="3C849846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3FC" w14:textId="37EE07A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039" w14:textId="41A8C49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FFB" w14:textId="028AF22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FA4" w14:textId="2777BFF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3727" w14:textId="380B663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7AF" w14:textId="285DC29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</w:tr>
      <w:tr w:rsidR="00E63105" w:rsidRPr="00FE0175" w14:paraId="527DBBCD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1D1E85" w14:textId="2FFE2C6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8B4D3" w14:textId="73CDEE5C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Instituto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Politécnico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BA28D" w14:textId="5D4070E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7C46D" w14:textId="0C37A51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77533" w14:textId="4DC4F0B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A7D2B5" w14:textId="17529CE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B57E7" w14:textId="575930C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77F84E" w14:textId="13B09E8E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54.4</w:t>
            </w:r>
          </w:p>
        </w:tc>
      </w:tr>
      <w:tr w:rsidR="00E63105" w:rsidRPr="00FE0175" w14:paraId="476F4E44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7DCA" w14:textId="79BF6EC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1D1" w14:textId="54CCE7A1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88A1" w14:textId="4706448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6AA" w14:textId="567ED5E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377" w14:textId="5AE05B2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1CC" w14:textId="6C16B4E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995" w14:textId="3E26B67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751" w14:textId="6E31F3A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37.4</w:t>
            </w:r>
          </w:p>
        </w:tc>
      </w:tr>
      <w:tr w:rsidR="00E63105" w:rsidRPr="00FE0175" w14:paraId="4B13F598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1A5741" w14:textId="0D5C348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921634" w14:textId="1FF18006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Guadalajara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7DD2C" w14:textId="2822208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CBB6C" w14:textId="40468F9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F014A" w14:textId="6DFE942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152AA" w14:textId="5A876EC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CD3B58" w14:textId="18B14F1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A74E9" w14:textId="6534D35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E63105" w:rsidRPr="00FE0175" w14:paraId="3D33349D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B83C" w14:textId="369BA4B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4D7" w14:textId="4ABD7830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Benemérita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D9E9" w14:textId="16B1359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B2C" w14:textId="2762722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D32" w14:textId="06C1D26E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396F" w14:textId="54B2896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AF4" w14:textId="604DD3D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EBE3" w14:textId="24C3B08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E63105" w:rsidRPr="00FE0175" w14:paraId="1C960E52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763A02" w14:textId="0257D5F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C49CE" w14:textId="0E6A2A54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B50672" w14:textId="0EFA4CC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C52DF6" w14:textId="335FDC1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11B73" w14:textId="7F8B0C8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6BF88" w14:textId="146BD33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EE7317" w14:textId="07936FF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1F30D" w14:textId="3E3A9E3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67.8</w:t>
            </w:r>
          </w:p>
        </w:tc>
      </w:tr>
      <w:tr w:rsidR="00E63105" w:rsidRPr="00FE0175" w14:paraId="6038AA78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0160A" w14:textId="69D53F4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497" w14:textId="58A55C37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Baja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536E" w14:textId="026D627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5DE" w14:textId="3966AC3F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67F" w14:textId="32EAB7E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EF9A" w14:textId="719D8FD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C24" w14:textId="44A478D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8B7" w14:textId="74BD61A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</w:tr>
      <w:tr w:rsidR="00E63105" w:rsidRPr="00FE0175" w14:paraId="3037CF09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F09AF4" w14:textId="2058BD7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568EB" w14:textId="6A0BB267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Panamericana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B1822B" w14:textId="040D8E4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B8D8D" w14:textId="171713D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D24392" w14:textId="6B60790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7720B7" w14:textId="6F106A5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2EDCE2" w14:textId="63CC999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C79C2" w14:textId="3B2D3E2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37.9</w:t>
            </w:r>
          </w:p>
        </w:tc>
      </w:tr>
      <w:tr w:rsidR="00E63105" w:rsidRPr="00FE0175" w14:paraId="0095C291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E51A7" w14:textId="51B6212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5527" w14:textId="7253ED6F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Nuevo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León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2CB" w14:textId="76D9D7C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3D2" w14:textId="1E3855C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379" w14:textId="72403ED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6D1" w14:textId="25B8704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C9B2" w14:textId="2FB79B6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D39" w14:textId="31D06DF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39.9</w:t>
            </w:r>
          </w:p>
        </w:tc>
      </w:tr>
      <w:tr w:rsidR="00E63105" w:rsidRPr="00FE0175" w14:paraId="0521DA40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55D5B9" w14:textId="2417907F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101–125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4D1A7" w14:textId="7DB83811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266AB" w14:textId="5AE38DA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31.0–37.1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98111" w14:textId="66BF029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945EF" w14:textId="48D3EF9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CDD15" w14:textId="059A5FC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A40D4" w14:textId="0E59F1F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5C275" w14:textId="2BA3ACC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43.3</w:t>
            </w:r>
          </w:p>
        </w:tc>
      </w:tr>
      <w:tr w:rsidR="00E63105" w:rsidRPr="00FE0175" w14:paraId="5474E3D6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7142" w14:textId="41281C4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101–125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107" w14:textId="42D0444C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C28" w14:textId="2FE5CED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31.0–37.1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ADB" w14:textId="1E3D143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C29C" w14:textId="283DD42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659" w14:textId="6700C94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B5" w14:textId="2435FB2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164" w14:textId="45F13C5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42.2</w:t>
            </w:r>
          </w:p>
        </w:tc>
      </w:tr>
      <w:tr w:rsidR="00E63105" w:rsidRPr="00FE0175" w14:paraId="5BA08BA0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5561FC" w14:textId="52A4DDC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126–150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CC0D6" w14:textId="0F9A4258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90EE3" w14:textId="24B317D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24.9–30.3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D0264" w14:textId="05A5562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E18DB1" w14:textId="32E652CF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B790" w14:textId="49039DB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FD73E" w14:textId="2AC6A9D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14DC0" w14:textId="226E323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82.2</w:t>
            </w:r>
          </w:p>
        </w:tc>
      </w:tr>
      <w:tr w:rsidR="00E63105" w:rsidRPr="00FE0175" w14:paraId="6F4E0FC8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60E7" w14:textId="788A0A2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126–150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75A" w14:textId="3DBE1A5E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824" w14:textId="605D546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24.9–30.3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E5FC" w14:textId="777B52E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446" w14:textId="512821D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6F19" w14:textId="0BA6F85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85D" w14:textId="1F9112A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029" w14:textId="1B8507E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42.5</w:t>
            </w:r>
          </w:p>
        </w:tc>
      </w:tr>
      <w:tr w:rsidR="00E63105" w:rsidRPr="00FE0175" w14:paraId="675EF83C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C05229" w14:textId="598CF91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126–150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CB4F5" w14:textId="291B5594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Monterrey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7C15A" w14:textId="07D7954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24.9–30.3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151BD" w14:textId="74876F3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39BAC5" w14:textId="0AC3167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EDBD4" w14:textId="794243D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0419B4" w14:textId="7E30D90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ABF05" w14:textId="3301F62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49.9</w:t>
            </w:r>
          </w:p>
        </w:tc>
      </w:tr>
      <w:tr w:rsidR="00E63105" w:rsidRPr="00FE0175" w14:paraId="52951259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60956" w14:textId="6D4DC4B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126–150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588" w14:textId="4D692DAD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Michoacana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San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Nicolás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B756" w14:textId="071348E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24.9–30.3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E56" w14:textId="09DF847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01E" w14:textId="5EE9302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093" w14:textId="32E8419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1A7" w14:textId="13295BB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D06" w14:textId="34B0E3E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39.5</w:t>
            </w:r>
          </w:p>
        </w:tc>
      </w:tr>
      <w:tr w:rsidR="00E63105" w:rsidRPr="00FE0175" w14:paraId="0FA85B58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EDD200" w14:textId="0124265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E1288" w14:textId="3BD2E493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Anáhuac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53DEF0" w14:textId="4F25281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9C87F5" w14:textId="5F7EF74E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8BBFE" w14:textId="24E2511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0A7A9" w14:textId="194DAC7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CD491" w14:textId="53DDDAD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36DCF" w14:textId="01208DB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38.9</w:t>
            </w:r>
          </w:p>
        </w:tc>
      </w:tr>
      <w:tr w:rsidR="00E63105" w:rsidRPr="00FE0175" w14:paraId="02F0E893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0935" w14:textId="58E9A71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1FCA" w14:textId="57BAA757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FBE" w14:textId="5C64BDA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37F" w14:textId="1FCCF01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233" w14:textId="142340D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A7CE" w14:textId="277BC24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C66" w14:textId="51D860B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AEA" w14:textId="750397F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38.0</w:t>
            </w:r>
          </w:p>
        </w:tc>
      </w:tr>
      <w:tr w:rsidR="00E63105" w:rsidRPr="00FE0175" w14:paraId="7E9FC7E7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1702BA" w14:textId="25EA854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D083AB" w14:textId="25862D07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2FC9C1" w14:textId="0DFD2EA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5BE6FA" w14:textId="44F43A4D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8D3F3" w14:textId="686D703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7BD90" w14:textId="4975E7EF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1FFE34" w14:textId="4B4F9763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7CFE7" w14:textId="476F897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37.5</w:t>
            </w:r>
          </w:p>
        </w:tc>
      </w:tr>
      <w:tr w:rsidR="00E63105" w:rsidRPr="00FE0175" w14:paraId="15C99F99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4D3D7" w14:textId="1CF914D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0BC" w14:textId="1CA5E400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183" w14:textId="34383DF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7D6A" w14:textId="6CAE5E3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A5" w14:textId="7862096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1350" w14:textId="640F7395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7F2" w14:textId="3FD1F9C4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743" w14:textId="7567977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37.3</w:t>
            </w:r>
          </w:p>
        </w:tc>
      </w:tr>
      <w:tr w:rsidR="00E63105" w:rsidRPr="00FE0175" w14:paraId="4FBC6CBA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FC6448" w14:textId="222B749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A004BB" w14:textId="2DA486EE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Popular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del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Estado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BB85E" w14:textId="3785CCA7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CF7F2" w14:textId="23090281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30B3E3" w14:textId="2BB1CE8E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1F56A" w14:textId="5F4DE03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0C597" w14:textId="499ECA5C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902C8" w14:textId="6BC6105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37.0</w:t>
            </w:r>
          </w:p>
        </w:tc>
      </w:tr>
      <w:tr w:rsidR="00E63105" w:rsidRPr="00FE0175" w14:paraId="0EF75A87" w14:textId="77777777" w:rsidTr="00FD0700">
        <w:trPr>
          <w:gridAfter w:val="1"/>
          <w:wAfter w:w="9" w:type="dxa"/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ECA5" w14:textId="286E19E0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151+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DF2" w14:textId="73529540" w:rsidR="00E63105" w:rsidRPr="00FE0175" w:rsidRDefault="00E63105" w:rsidP="00E631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Universidad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670182" w:rsidRPr="00FE01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0175">
              <w:rPr>
                <w:rFonts w:cstheme="minorHAnsi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6ED" w14:textId="0784CBAA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14.6–24.7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A52" w14:textId="0C85E5CB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F06" w14:textId="07CD5698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778" w14:textId="6B7FC162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E0A" w14:textId="1F2AC756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823" w14:textId="472DF619" w:rsidR="00E63105" w:rsidRPr="00FE0175" w:rsidRDefault="00E63105" w:rsidP="00E63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</w:tr>
      <w:tr w:rsidR="00AF4955" w:rsidRPr="00FE0175" w14:paraId="53C765EB" w14:textId="77777777" w:rsidTr="00FD0700">
        <w:trPr>
          <w:trHeight w:val="254"/>
          <w:jc w:val="center"/>
        </w:trPr>
        <w:tc>
          <w:tcPr>
            <w:tcW w:w="1198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048DFA" w14:textId="5ECCAAC5" w:rsidR="00AF4955" w:rsidRPr="00FE0175" w:rsidRDefault="00AF4955" w:rsidP="00AF495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*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Ordenando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conforme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la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posición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obtenida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2021,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y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el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nombre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la</w:t>
            </w:r>
            <w:r w:rsidR="00670182"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FE0175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universidad.</w:t>
            </w:r>
          </w:p>
        </w:tc>
      </w:tr>
    </w:tbl>
    <w:p w14:paraId="47891AD6" w14:textId="73D7DB88" w:rsidR="00FD580F" w:rsidRPr="00FE0175" w:rsidRDefault="00FD580F" w:rsidP="008908CD">
      <w:pPr>
        <w:spacing w:after="0" w:line="240" w:lineRule="auto"/>
        <w:jc w:val="both"/>
        <w:rPr>
          <w:bCs/>
          <w:sz w:val="24"/>
        </w:rPr>
      </w:pPr>
    </w:p>
    <w:tbl>
      <w:tblPr>
        <w:tblW w:w="9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50"/>
        <w:gridCol w:w="951"/>
        <w:gridCol w:w="952"/>
        <w:gridCol w:w="951"/>
        <w:gridCol w:w="950"/>
        <w:gridCol w:w="953"/>
        <w:gridCol w:w="20"/>
      </w:tblGrid>
      <w:tr w:rsidR="00615063" w:rsidRPr="00FE0175" w14:paraId="259F2679" w14:textId="77777777" w:rsidTr="00615063">
        <w:trPr>
          <w:trHeight w:val="216"/>
          <w:jc w:val="center"/>
        </w:trPr>
        <w:tc>
          <w:tcPr>
            <w:tcW w:w="9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D136E" w14:textId="6E8AAC73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</w:t>
            </w:r>
            <w:r w:rsidR="00B75C1E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4</w:t>
            </w:r>
            <w:r w:rsidRPr="00FE0175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 Estadísticas de la UNAM y el ITESM publicadas por el Ranking THE, 2019 - 2021.</w:t>
            </w:r>
          </w:p>
        </w:tc>
      </w:tr>
      <w:tr w:rsidR="00615063" w:rsidRPr="00FE0175" w14:paraId="15F82815" w14:textId="77777777" w:rsidTr="00E323AD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8E34C5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Estadísticas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B2429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UNAM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F71462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ITESM</w:t>
            </w:r>
          </w:p>
        </w:tc>
      </w:tr>
      <w:tr w:rsidR="00615063" w:rsidRPr="00FE0175" w14:paraId="1C3759E4" w14:textId="77777777" w:rsidTr="00615063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DDEE" w14:textId="77777777" w:rsidR="00615063" w:rsidRPr="00FE0175" w:rsidRDefault="00615063" w:rsidP="0061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FBD8E9" w14:textId="6A865936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BD60C0" w14:textId="3F1965C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357433" w14:textId="4C62521E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4B7A930" w14:textId="72F52608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E2560D" w14:textId="41C0F8A4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A0C12BA" w14:textId="230F8F9C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E0175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2021</w:t>
            </w:r>
          </w:p>
        </w:tc>
      </w:tr>
      <w:tr w:rsidR="00615063" w:rsidRPr="00FE0175" w14:paraId="4FEC006E" w14:textId="77777777" w:rsidTr="00615063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DBB" w14:textId="77777777" w:rsidR="00615063" w:rsidRPr="00FE0175" w:rsidRDefault="00615063" w:rsidP="0061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Estudiantes de Tiempo Completo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C04E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162,018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1D12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161,718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FFE0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166,368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0107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14,215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3C6A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14,343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844D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14,683</w:t>
            </w:r>
          </w:p>
        </w:tc>
      </w:tr>
      <w:tr w:rsidR="00615063" w:rsidRPr="00FE0175" w14:paraId="014F864D" w14:textId="77777777" w:rsidTr="00615063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D96E74" w14:textId="77777777" w:rsidR="00615063" w:rsidRPr="00FE0175" w:rsidRDefault="00615063" w:rsidP="0061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Promedio estudiante/personal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F2098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4259DB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7E2351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D9E89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57CBE0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555FA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15.1</w:t>
            </w:r>
          </w:p>
        </w:tc>
      </w:tr>
      <w:tr w:rsidR="00615063" w:rsidRPr="00FE0175" w14:paraId="4188BD16" w14:textId="77777777" w:rsidTr="00615063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6A7" w14:textId="77777777" w:rsidR="00615063" w:rsidRPr="00FE0175" w:rsidRDefault="00615063" w:rsidP="0061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Estudiantes internacionales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4BA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E3A1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6C15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8%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3E3E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977A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240B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10%</w:t>
            </w:r>
          </w:p>
        </w:tc>
      </w:tr>
      <w:tr w:rsidR="00615063" w:rsidRPr="00FE0175" w14:paraId="1D54123F" w14:textId="77777777" w:rsidTr="00615063">
        <w:trPr>
          <w:gridAfter w:val="1"/>
          <w:wAfter w:w="20" w:type="dxa"/>
          <w:trHeight w:val="21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CAC325" w14:textId="77777777" w:rsidR="00615063" w:rsidRPr="00FE0175" w:rsidRDefault="00615063" w:rsidP="0061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Promedio estudiantes Mujeres/Hombres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AD273A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51:49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C6AC2C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51:49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7CE21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51:49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BA007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41:59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7716CB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41:59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B232F3" w14:textId="77777777" w:rsidR="00615063" w:rsidRPr="00FE0175" w:rsidRDefault="00615063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E0175">
              <w:rPr>
                <w:rFonts w:ascii="Calibri" w:hAnsi="Calibri" w:cs="Calibri"/>
                <w:color w:val="000000"/>
                <w:sz w:val="19"/>
                <w:szCs w:val="19"/>
              </w:rPr>
              <w:t>42:58</w:t>
            </w:r>
          </w:p>
        </w:tc>
      </w:tr>
    </w:tbl>
    <w:p w14:paraId="2C05C15D" w14:textId="77777777" w:rsidR="00615063" w:rsidRPr="00FE0175" w:rsidRDefault="00615063" w:rsidP="008908CD">
      <w:pPr>
        <w:spacing w:after="0" w:line="240" w:lineRule="auto"/>
        <w:jc w:val="both"/>
        <w:rPr>
          <w:bCs/>
          <w:sz w:val="24"/>
        </w:rPr>
      </w:pPr>
    </w:p>
    <w:p w14:paraId="5390C596" w14:textId="79F334EF" w:rsidR="004B6042" w:rsidRPr="00FE0175" w:rsidRDefault="008F37DB" w:rsidP="00301FE5">
      <w:pPr>
        <w:pStyle w:val="Prrafodelista"/>
        <w:spacing w:after="0" w:line="240" w:lineRule="auto"/>
        <w:ind w:left="0"/>
        <w:jc w:val="both"/>
        <w:rPr>
          <w:b/>
          <w:sz w:val="24"/>
        </w:rPr>
      </w:pPr>
      <w:r w:rsidRPr="00FE0175">
        <w:rPr>
          <w:b/>
          <w:sz w:val="24"/>
        </w:rPr>
        <w:lastRenderedPageBreak/>
        <w:t>Comportamiento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de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la</w:t>
      </w:r>
      <w:r w:rsidR="00670182" w:rsidRPr="00FE0175">
        <w:rPr>
          <w:b/>
          <w:sz w:val="24"/>
        </w:rPr>
        <w:t xml:space="preserve"> </w:t>
      </w:r>
      <w:r w:rsidRPr="00FE0175">
        <w:rPr>
          <w:b/>
          <w:sz w:val="24"/>
        </w:rPr>
        <w:t>UNAM</w:t>
      </w:r>
      <w:r w:rsidR="00670182" w:rsidRPr="00FE0175">
        <w:rPr>
          <w:b/>
          <w:sz w:val="24"/>
        </w:rPr>
        <w:t xml:space="preserve"> </w:t>
      </w:r>
    </w:p>
    <w:p w14:paraId="5ABEE49C" w14:textId="2BEB6292" w:rsidR="00301FE5" w:rsidRPr="00FE0175" w:rsidRDefault="00301FE5" w:rsidP="00301FE5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 w:rsidRPr="00FE0175">
        <w:rPr>
          <w:sz w:val="24"/>
          <w:szCs w:val="24"/>
        </w:rPr>
        <w:t xml:space="preserve">En el periodo 2016-2021, la UNAM </w:t>
      </w:r>
      <w:r w:rsidRPr="00FE0175">
        <w:rPr>
          <w:sz w:val="24"/>
        </w:rPr>
        <w:t>presentó</w:t>
      </w:r>
      <w:r w:rsidRPr="00FE0175">
        <w:rPr>
          <w:sz w:val="24"/>
          <w:szCs w:val="24"/>
        </w:rPr>
        <w:t xml:space="preserve"> un decremento de </w:t>
      </w:r>
      <w:r w:rsidR="00932B42" w:rsidRPr="00FE0175">
        <w:rPr>
          <w:sz w:val="24"/>
          <w:szCs w:val="24"/>
        </w:rPr>
        <w:t>9</w:t>
      </w:r>
      <w:r w:rsidRPr="00FE0175">
        <w:rPr>
          <w:sz w:val="24"/>
          <w:szCs w:val="24"/>
        </w:rPr>
        <w:t xml:space="preserve"> lugares en el ranking</w:t>
      </w:r>
      <w:r w:rsidR="00C56E87" w:rsidRPr="00FE0175">
        <w:rPr>
          <w:sz w:val="24"/>
          <w:szCs w:val="24"/>
        </w:rPr>
        <w:t xml:space="preserve"> al pasar del lugar 9 en 2016 al lugar 18 en 2021</w:t>
      </w:r>
      <w:r w:rsidR="00932B42" w:rsidRPr="00FE0175">
        <w:rPr>
          <w:sz w:val="24"/>
          <w:szCs w:val="24"/>
        </w:rPr>
        <w:t xml:space="preserve"> </w:t>
      </w:r>
      <w:r w:rsidRPr="00FE0175">
        <w:rPr>
          <w:i/>
          <w:iCs/>
          <w:sz w:val="24"/>
          <w:szCs w:val="24"/>
        </w:rPr>
        <w:t>(ver</w:t>
      </w:r>
      <w:r w:rsidRPr="00FE0175">
        <w:rPr>
          <w:sz w:val="24"/>
          <w:szCs w:val="24"/>
        </w:rPr>
        <w:t xml:space="preserve"> </w:t>
      </w:r>
      <w:r w:rsidR="00E60412">
        <w:rPr>
          <w:sz w:val="24"/>
          <w:szCs w:val="24"/>
        </w:rPr>
        <w:t>Gráfico</w:t>
      </w:r>
      <w:r w:rsidRPr="00FE0175">
        <w:rPr>
          <w:sz w:val="24"/>
          <w:szCs w:val="24"/>
        </w:rPr>
        <w:t xml:space="preserve"> </w:t>
      </w:r>
      <w:r w:rsidR="002A5717">
        <w:rPr>
          <w:sz w:val="24"/>
          <w:szCs w:val="24"/>
        </w:rPr>
        <w:t>2</w:t>
      </w:r>
      <w:r w:rsidRPr="00FE0175">
        <w:rPr>
          <w:sz w:val="24"/>
          <w:szCs w:val="24"/>
        </w:rPr>
        <w:t>).</w:t>
      </w:r>
    </w:p>
    <w:p w14:paraId="7CAFB94D" w14:textId="5580D31C" w:rsidR="00BB4B6E" w:rsidRPr="00FE0175" w:rsidRDefault="00D262FB" w:rsidP="00D262F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FE0175">
        <w:rPr>
          <w:b/>
          <w:bCs/>
          <w:sz w:val="24"/>
          <w:szCs w:val="24"/>
        </w:rPr>
        <w:t>Posición</w:t>
      </w:r>
      <w:r w:rsidR="00670182" w:rsidRPr="00FE0175">
        <w:rPr>
          <w:b/>
          <w:bCs/>
          <w:sz w:val="24"/>
          <w:szCs w:val="24"/>
        </w:rPr>
        <w:t xml:space="preserve"> </w:t>
      </w:r>
      <w:r w:rsidRPr="00FE0175">
        <w:rPr>
          <w:b/>
          <w:bCs/>
          <w:sz w:val="24"/>
          <w:szCs w:val="24"/>
        </w:rPr>
        <w:t>General</w:t>
      </w:r>
      <w:r w:rsidRPr="00FE0175">
        <w:rPr>
          <w:sz w:val="24"/>
          <w:szCs w:val="24"/>
        </w:rPr>
        <w:t>:</w:t>
      </w:r>
      <w:r w:rsidR="00670182" w:rsidRPr="00FE0175">
        <w:rPr>
          <w:sz w:val="24"/>
          <w:szCs w:val="24"/>
        </w:rPr>
        <w:t xml:space="preserve"> </w:t>
      </w:r>
      <w:r w:rsidR="001946B8" w:rsidRPr="00FE0175">
        <w:rPr>
          <w:sz w:val="24"/>
          <w:szCs w:val="24"/>
        </w:rPr>
        <w:t>L</w:t>
      </w:r>
      <w:r w:rsidR="00BB4B6E" w:rsidRPr="00FE0175">
        <w:rPr>
          <w:sz w:val="24"/>
          <w:szCs w:val="24"/>
        </w:rPr>
        <w:t>a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UNAM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disminuyó</w:t>
      </w:r>
      <w:r w:rsidR="00670182" w:rsidRPr="00FE0175">
        <w:rPr>
          <w:sz w:val="24"/>
          <w:szCs w:val="24"/>
        </w:rPr>
        <w:t xml:space="preserve"> </w:t>
      </w:r>
      <w:r w:rsidR="00C56E87" w:rsidRPr="00FE0175">
        <w:rPr>
          <w:sz w:val="24"/>
          <w:szCs w:val="24"/>
        </w:rPr>
        <w:t xml:space="preserve">1 posición </w:t>
      </w:r>
      <w:r w:rsidR="00BB4B6E" w:rsidRPr="00FE0175">
        <w:rPr>
          <w:sz w:val="24"/>
          <w:szCs w:val="24"/>
        </w:rPr>
        <w:t>al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pasar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del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lugar</w:t>
      </w:r>
      <w:r w:rsidR="00670182" w:rsidRPr="00FE0175">
        <w:rPr>
          <w:sz w:val="24"/>
          <w:szCs w:val="24"/>
        </w:rPr>
        <w:t xml:space="preserve"> </w:t>
      </w:r>
      <w:r w:rsidR="0082369A" w:rsidRPr="00FE0175">
        <w:rPr>
          <w:sz w:val="24"/>
          <w:szCs w:val="24"/>
        </w:rPr>
        <w:t xml:space="preserve">17 </w:t>
      </w:r>
      <w:r w:rsidR="00BB4B6E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2020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al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lugar</w:t>
      </w:r>
      <w:r w:rsidR="00670182" w:rsidRPr="00FE0175">
        <w:rPr>
          <w:sz w:val="24"/>
          <w:szCs w:val="24"/>
        </w:rPr>
        <w:t xml:space="preserve"> </w:t>
      </w:r>
      <w:r w:rsidR="0082369A" w:rsidRPr="00FE0175">
        <w:rPr>
          <w:sz w:val="24"/>
          <w:szCs w:val="24"/>
        </w:rPr>
        <w:t xml:space="preserve">18 </w:t>
      </w:r>
      <w:r w:rsidR="00BB4B6E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BB4B6E" w:rsidRPr="00FE0175">
        <w:rPr>
          <w:sz w:val="24"/>
          <w:szCs w:val="24"/>
        </w:rPr>
        <w:t>2021.</w:t>
      </w:r>
    </w:p>
    <w:p w14:paraId="04A1D0BF" w14:textId="7172CB6E" w:rsidR="00C761C7" w:rsidRPr="00FE0175" w:rsidRDefault="00D262FB" w:rsidP="00C761C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FE0175">
        <w:rPr>
          <w:b/>
          <w:bCs/>
          <w:sz w:val="24"/>
          <w:szCs w:val="24"/>
        </w:rPr>
        <w:t>Puntaje</w:t>
      </w:r>
      <w:r w:rsidR="00670182" w:rsidRPr="00FE0175">
        <w:rPr>
          <w:b/>
          <w:bCs/>
          <w:sz w:val="24"/>
          <w:szCs w:val="24"/>
        </w:rPr>
        <w:t xml:space="preserve"> </w:t>
      </w:r>
      <w:r w:rsidRPr="00FE0175">
        <w:rPr>
          <w:b/>
          <w:bCs/>
          <w:sz w:val="24"/>
          <w:szCs w:val="24"/>
        </w:rPr>
        <w:t>General</w:t>
      </w:r>
      <w:r w:rsidRPr="00FE0175">
        <w:rPr>
          <w:sz w:val="24"/>
          <w:szCs w:val="24"/>
        </w:rPr>
        <w:t>:</w:t>
      </w:r>
      <w:r w:rsidR="00670182" w:rsidRPr="00FE0175">
        <w:rPr>
          <w:sz w:val="24"/>
          <w:szCs w:val="24"/>
        </w:rPr>
        <w:t xml:space="preserve"> </w:t>
      </w:r>
      <w:r w:rsidR="00AD28FC" w:rsidRPr="00FE0175">
        <w:rPr>
          <w:sz w:val="24"/>
          <w:szCs w:val="24"/>
        </w:rPr>
        <w:t>Fue</w:t>
      </w:r>
      <w:r w:rsidR="00670182" w:rsidRPr="00FE0175">
        <w:rPr>
          <w:sz w:val="24"/>
          <w:szCs w:val="24"/>
        </w:rPr>
        <w:t xml:space="preserve"> </w:t>
      </w:r>
      <w:r w:rsidR="00AD28FC" w:rsidRPr="00FE0175">
        <w:rPr>
          <w:sz w:val="24"/>
          <w:szCs w:val="24"/>
        </w:rPr>
        <w:t>clasificada</w:t>
      </w:r>
      <w:r w:rsidR="00670182" w:rsidRPr="00FE0175">
        <w:rPr>
          <w:sz w:val="24"/>
          <w:szCs w:val="24"/>
        </w:rPr>
        <w:t xml:space="preserve"> </w:t>
      </w:r>
      <w:r w:rsidR="00AD28FC" w:rsidRPr="00FE0175">
        <w:rPr>
          <w:sz w:val="24"/>
          <w:szCs w:val="24"/>
        </w:rPr>
        <w:t>con</w:t>
      </w:r>
      <w:r w:rsidR="00670182" w:rsidRPr="00FE0175">
        <w:rPr>
          <w:sz w:val="24"/>
          <w:szCs w:val="24"/>
        </w:rPr>
        <w:t xml:space="preserve"> </w:t>
      </w:r>
      <w:r w:rsidRPr="00FE0175">
        <w:rPr>
          <w:sz w:val="24"/>
          <w:szCs w:val="24"/>
        </w:rPr>
        <w:t>un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puntaje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general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8678FD" w:rsidRPr="00FE0175">
        <w:rPr>
          <w:sz w:val="24"/>
          <w:szCs w:val="24"/>
        </w:rPr>
        <w:t xml:space="preserve">72.8 puntos </w:t>
      </w:r>
      <w:r w:rsidR="008678FD" w:rsidRPr="00FE0175">
        <w:rPr>
          <w:sz w:val="24"/>
        </w:rPr>
        <w:t>sobre 100 posibles</w:t>
      </w:r>
      <w:r w:rsidR="00C761C7" w:rsidRPr="00FE0175">
        <w:rPr>
          <w:sz w:val="24"/>
          <w:szCs w:val="24"/>
        </w:rPr>
        <w:t>.</w:t>
      </w:r>
    </w:p>
    <w:p w14:paraId="0A0B3158" w14:textId="2367AA66" w:rsidR="004B6042" w:rsidRPr="00FE0175" w:rsidRDefault="00AD28FC" w:rsidP="008908C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FE0175">
        <w:rPr>
          <w:sz w:val="24"/>
          <w:szCs w:val="24"/>
        </w:rPr>
        <w:t>Se</w:t>
      </w:r>
      <w:r w:rsidR="00670182" w:rsidRPr="00FE0175">
        <w:rPr>
          <w:sz w:val="24"/>
          <w:szCs w:val="24"/>
        </w:rPr>
        <w:t xml:space="preserve"> </w:t>
      </w:r>
      <w:r w:rsidRPr="00FE0175">
        <w:rPr>
          <w:sz w:val="24"/>
          <w:szCs w:val="24"/>
        </w:rPr>
        <w:t>presentó</w:t>
      </w:r>
      <w:r w:rsidR="00670182" w:rsidRPr="00FE0175">
        <w:rPr>
          <w:sz w:val="24"/>
          <w:szCs w:val="24"/>
        </w:rPr>
        <w:t xml:space="preserve"> </w:t>
      </w:r>
      <w:r w:rsidRPr="00FE0175">
        <w:rPr>
          <w:sz w:val="24"/>
          <w:szCs w:val="24"/>
        </w:rPr>
        <w:t>un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incremento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 xml:space="preserve">3.2 </w:t>
      </w:r>
      <w:r w:rsidR="00D262FB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el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indicador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b/>
          <w:bCs/>
          <w:sz w:val="24"/>
          <w:szCs w:val="24"/>
        </w:rPr>
        <w:t>Citas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al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pasar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>41.7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2020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a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>44.9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2021</w:t>
      </w:r>
      <w:r w:rsidR="004B6042" w:rsidRPr="00FE0175">
        <w:rPr>
          <w:sz w:val="24"/>
          <w:szCs w:val="24"/>
        </w:rPr>
        <w:t>,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 xml:space="preserve">0.8 puntos en </w:t>
      </w:r>
      <w:r w:rsidR="00C761C7" w:rsidRPr="00FE0175">
        <w:rPr>
          <w:b/>
          <w:bCs/>
          <w:sz w:val="24"/>
          <w:szCs w:val="24"/>
        </w:rPr>
        <w:t>Docencia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al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pasar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>71.9</w:t>
      </w:r>
      <w:r w:rsidR="00670182" w:rsidRPr="00FE0175">
        <w:rPr>
          <w:sz w:val="24"/>
          <w:szCs w:val="24"/>
        </w:rPr>
        <w:t xml:space="preserve"> </w:t>
      </w:r>
      <w:r w:rsidR="00D262FB" w:rsidRPr="00FE0175">
        <w:rPr>
          <w:sz w:val="24"/>
          <w:szCs w:val="24"/>
        </w:rPr>
        <w:t>a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 xml:space="preserve">72.7, y de 0.5 puntos en </w:t>
      </w:r>
      <w:r w:rsidR="00C761C7" w:rsidRPr="00FE0175">
        <w:rPr>
          <w:b/>
          <w:bCs/>
          <w:sz w:val="24"/>
          <w:szCs w:val="24"/>
        </w:rPr>
        <w:t>Perspectiva Internacional</w:t>
      </w:r>
      <w:r w:rsidR="00670182" w:rsidRPr="00FE0175">
        <w:rPr>
          <w:sz w:val="24"/>
          <w:szCs w:val="24"/>
        </w:rPr>
        <w:t xml:space="preserve"> </w:t>
      </w:r>
      <w:r w:rsidR="00C761C7" w:rsidRPr="00FE0175">
        <w:rPr>
          <w:sz w:val="24"/>
          <w:szCs w:val="24"/>
        </w:rPr>
        <w:t xml:space="preserve">al pasar de 80.6 a 81.1 </w:t>
      </w:r>
      <w:r w:rsidR="001B2117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1B2117" w:rsidRPr="00FE0175">
        <w:rPr>
          <w:sz w:val="24"/>
          <w:szCs w:val="24"/>
        </w:rPr>
        <w:t>el</w:t>
      </w:r>
      <w:r w:rsidR="00670182" w:rsidRPr="00FE0175">
        <w:rPr>
          <w:sz w:val="24"/>
          <w:szCs w:val="24"/>
        </w:rPr>
        <w:t xml:space="preserve"> </w:t>
      </w:r>
      <w:r w:rsidR="001B2117" w:rsidRPr="00FE0175">
        <w:rPr>
          <w:sz w:val="24"/>
          <w:szCs w:val="24"/>
        </w:rPr>
        <w:t>mismo</w:t>
      </w:r>
      <w:r w:rsidR="00670182" w:rsidRPr="00FE0175">
        <w:rPr>
          <w:sz w:val="24"/>
          <w:szCs w:val="24"/>
        </w:rPr>
        <w:t xml:space="preserve"> </w:t>
      </w:r>
      <w:r w:rsidR="001B2117" w:rsidRPr="00FE0175">
        <w:rPr>
          <w:sz w:val="24"/>
          <w:szCs w:val="24"/>
        </w:rPr>
        <w:t>periodo</w:t>
      </w:r>
      <w:r w:rsidR="00670182" w:rsidRPr="00FE0175">
        <w:rPr>
          <w:sz w:val="24"/>
          <w:szCs w:val="24"/>
        </w:rPr>
        <w:t xml:space="preserve"> </w:t>
      </w:r>
      <w:r w:rsidR="001B2117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1B2117" w:rsidRPr="00FE0175">
        <w:rPr>
          <w:sz w:val="24"/>
          <w:szCs w:val="24"/>
        </w:rPr>
        <w:t>tiempo</w:t>
      </w:r>
      <w:r w:rsidR="004B6042" w:rsidRPr="00FE0175">
        <w:rPr>
          <w:sz w:val="24"/>
          <w:szCs w:val="24"/>
        </w:rPr>
        <w:t>.</w:t>
      </w:r>
      <w:r w:rsidR="00670182" w:rsidRPr="00FE0175">
        <w:rPr>
          <w:sz w:val="24"/>
          <w:szCs w:val="24"/>
        </w:rPr>
        <w:t xml:space="preserve"> </w:t>
      </w:r>
    </w:p>
    <w:p w14:paraId="711186A5" w14:textId="460CFE71" w:rsidR="009D7768" w:rsidRPr="00FE0175" w:rsidRDefault="00D262FB" w:rsidP="00BC586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</w:rPr>
      </w:pPr>
      <w:r w:rsidRPr="00FE0175">
        <w:rPr>
          <w:sz w:val="24"/>
          <w:szCs w:val="24"/>
        </w:rPr>
        <w:t>Sin</w:t>
      </w:r>
      <w:r w:rsidR="00670182" w:rsidRPr="00FE0175">
        <w:rPr>
          <w:sz w:val="24"/>
          <w:szCs w:val="24"/>
        </w:rPr>
        <w:t xml:space="preserve"> </w:t>
      </w:r>
      <w:r w:rsidRPr="00FE0175">
        <w:rPr>
          <w:sz w:val="24"/>
          <w:szCs w:val="24"/>
        </w:rPr>
        <w:t>embargo,</w:t>
      </w:r>
      <w:r w:rsidR="00670182" w:rsidRPr="00FE0175">
        <w:rPr>
          <w:sz w:val="24"/>
          <w:szCs w:val="24"/>
        </w:rPr>
        <w:t xml:space="preserve"> </w:t>
      </w:r>
      <w:r w:rsidR="00AD28FC" w:rsidRPr="00FE0175">
        <w:rPr>
          <w:sz w:val="24"/>
          <w:szCs w:val="24"/>
        </w:rPr>
        <w:t>hubo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un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decremento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de</w:t>
      </w:r>
      <w:r w:rsidR="00670182" w:rsidRPr="00FE0175">
        <w:rPr>
          <w:sz w:val="24"/>
          <w:szCs w:val="24"/>
        </w:rPr>
        <w:t xml:space="preserve"> </w:t>
      </w:r>
      <w:r w:rsidR="004D2F63" w:rsidRPr="00FE0175">
        <w:rPr>
          <w:sz w:val="24"/>
        </w:rPr>
        <w:t>4.8</w:t>
      </w:r>
      <w:r w:rsidR="00670182" w:rsidRPr="00FE0175">
        <w:rPr>
          <w:sz w:val="24"/>
          <w:szCs w:val="24"/>
        </w:rPr>
        <w:t xml:space="preserve"> </w:t>
      </w:r>
      <w:r w:rsidR="004B6042"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4D2F63" w:rsidRPr="00FE0175">
        <w:rPr>
          <w:b/>
          <w:bCs/>
          <w:sz w:val="24"/>
          <w:szCs w:val="24"/>
        </w:rPr>
        <w:t>Investigación</w:t>
      </w:r>
      <w:r w:rsidR="004D2F63" w:rsidRPr="00FE0175">
        <w:rPr>
          <w:sz w:val="24"/>
          <w:szCs w:val="24"/>
        </w:rPr>
        <w:t xml:space="preserve">, y de 1 </w:t>
      </w:r>
      <w:r w:rsidRPr="00FE0175">
        <w:rPr>
          <w:sz w:val="24"/>
          <w:szCs w:val="24"/>
        </w:rPr>
        <w:t>punto</w:t>
      </w:r>
      <w:r w:rsidR="00670182" w:rsidRPr="00FE0175">
        <w:rPr>
          <w:sz w:val="24"/>
          <w:szCs w:val="24"/>
        </w:rPr>
        <w:t xml:space="preserve"> </w:t>
      </w:r>
      <w:r w:rsidRPr="00FE0175">
        <w:rPr>
          <w:sz w:val="24"/>
          <w:szCs w:val="24"/>
        </w:rPr>
        <w:t>en</w:t>
      </w:r>
      <w:r w:rsidR="00670182" w:rsidRPr="00FE0175">
        <w:rPr>
          <w:sz w:val="24"/>
          <w:szCs w:val="24"/>
        </w:rPr>
        <w:t xml:space="preserve"> </w:t>
      </w:r>
      <w:r w:rsidR="004D2F63" w:rsidRPr="00FE0175">
        <w:rPr>
          <w:b/>
          <w:bCs/>
          <w:sz w:val="24"/>
          <w:szCs w:val="24"/>
        </w:rPr>
        <w:t>Financiamiento de la industria</w:t>
      </w:r>
      <w:r w:rsidR="004B6042" w:rsidRPr="00FE0175">
        <w:rPr>
          <w:sz w:val="24"/>
        </w:rPr>
        <w:t>.</w:t>
      </w:r>
      <w:r w:rsidR="00670182" w:rsidRPr="00FE0175">
        <w:rPr>
          <w:sz w:val="24"/>
        </w:rPr>
        <w:t xml:space="preserve"> </w:t>
      </w:r>
    </w:p>
    <w:p w14:paraId="7F2B1564" w14:textId="7B2CC0A5" w:rsidR="004D2F63" w:rsidRPr="00FE0175" w:rsidRDefault="00F65C5C" w:rsidP="00F65C5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FE0175">
        <w:rPr>
          <w:sz w:val="24"/>
          <w:szCs w:val="24"/>
        </w:rPr>
        <w:t xml:space="preserve">En términos generales, la UNAM ha mantenido de forma estable su desempeño en los indicadores en los últimos 6 años. A pesar de esto, es llamativa </w:t>
      </w:r>
      <w:r w:rsidR="004D2F63" w:rsidRPr="00FE0175">
        <w:rPr>
          <w:sz w:val="24"/>
          <w:szCs w:val="24"/>
        </w:rPr>
        <w:t xml:space="preserve">la </w:t>
      </w:r>
      <w:r w:rsidRPr="00FE0175">
        <w:rPr>
          <w:sz w:val="24"/>
          <w:szCs w:val="24"/>
        </w:rPr>
        <w:t>variación en el i</w:t>
      </w:r>
      <w:r w:rsidR="004D2F63" w:rsidRPr="00FE0175">
        <w:rPr>
          <w:sz w:val="24"/>
          <w:szCs w:val="24"/>
        </w:rPr>
        <w:t xml:space="preserve">ndicador de </w:t>
      </w:r>
      <w:r w:rsidRPr="00FE0175">
        <w:rPr>
          <w:b/>
          <w:bCs/>
          <w:sz w:val="24"/>
          <w:szCs w:val="24"/>
        </w:rPr>
        <w:t>C</w:t>
      </w:r>
      <w:r w:rsidR="004D2F63" w:rsidRPr="00FE0175">
        <w:rPr>
          <w:b/>
          <w:bCs/>
          <w:sz w:val="24"/>
          <w:szCs w:val="24"/>
        </w:rPr>
        <w:t>itas</w:t>
      </w:r>
      <w:r w:rsidR="004D2F63" w:rsidRPr="00FE0175">
        <w:rPr>
          <w:sz w:val="24"/>
          <w:szCs w:val="24"/>
        </w:rPr>
        <w:t xml:space="preserve">, </w:t>
      </w:r>
      <w:r w:rsidRPr="00FE0175">
        <w:rPr>
          <w:sz w:val="24"/>
          <w:szCs w:val="24"/>
        </w:rPr>
        <w:t xml:space="preserve">ya que </w:t>
      </w:r>
      <w:r w:rsidR="004D2F63" w:rsidRPr="00FE0175">
        <w:rPr>
          <w:sz w:val="24"/>
          <w:szCs w:val="24"/>
        </w:rPr>
        <w:t xml:space="preserve">se </w:t>
      </w:r>
      <w:r w:rsidRPr="00FE0175">
        <w:rPr>
          <w:sz w:val="24"/>
          <w:szCs w:val="24"/>
        </w:rPr>
        <w:t>presentó un incremento de 9.3 puntos entre 2016 y 2018</w:t>
      </w:r>
      <w:r w:rsidR="00C60020">
        <w:rPr>
          <w:sz w:val="24"/>
          <w:szCs w:val="24"/>
        </w:rPr>
        <w:t>, mientras que a</w:t>
      </w:r>
      <w:r w:rsidRPr="00FE0175">
        <w:rPr>
          <w:sz w:val="24"/>
          <w:szCs w:val="24"/>
        </w:rPr>
        <w:t xml:space="preserve"> partir de 2018,</w:t>
      </w:r>
      <w:r w:rsidR="004D2F63" w:rsidRPr="00FE0175">
        <w:rPr>
          <w:sz w:val="24"/>
          <w:szCs w:val="24"/>
        </w:rPr>
        <w:t xml:space="preserve"> ha </w:t>
      </w:r>
      <w:r w:rsidR="00B9733D" w:rsidRPr="00FE0175">
        <w:rPr>
          <w:sz w:val="24"/>
          <w:szCs w:val="24"/>
        </w:rPr>
        <w:t xml:space="preserve">presentado </w:t>
      </w:r>
      <w:r w:rsidR="004D2F63" w:rsidRPr="00FE0175">
        <w:rPr>
          <w:sz w:val="24"/>
          <w:szCs w:val="24"/>
        </w:rPr>
        <w:t xml:space="preserve">una caída de más de </w:t>
      </w:r>
      <w:r w:rsidRPr="00FE0175">
        <w:rPr>
          <w:sz w:val="24"/>
          <w:szCs w:val="24"/>
        </w:rPr>
        <w:t>15.7</w:t>
      </w:r>
      <w:r w:rsidR="004D2F63" w:rsidRPr="00FE0175">
        <w:rPr>
          <w:sz w:val="24"/>
          <w:szCs w:val="24"/>
        </w:rPr>
        <w:t xml:space="preserve"> puntos en el indicador.</w:t>
      </w:r>
    </w:p>
    <w:p w14:paraId="77CEA9F4" w14:textId="55539DF6" w:rsidR="00E668F2" w:rsidRPr="00FE0175" w:rsidRDefault="00E668F2" w:rsidP="00BC5FAF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F877F1" w:rsidRPr="00FE0175" w14:paraId="0D3E863A" w14:textId="77777777" w:rsidTr="00AD33CD">
        <w:trPr>
          <w:trHeight w:val="184"/>
        </w:trPr>
        <w:tc>
          <w:tcPr>
            <w:tcW w:w="9844" w:type="dxa"/>
          </w:tcPr>
          <w:p w14:paraId="2B9EFC37" w14:textId="7E58BB81" w:rsidR="00F877F1" w:rsidRPr="00FE0175" w:rsidRDefault="00E60412" w:rsidP="00AD33CD">
            <w:pPr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18"/>
              </w:rPr>
              <w:t>Gráfico</w:t>
            </w:r>
            <w:r w:rsidR="00F877F1" w:rsidRPr="00FE0175">
              <w:rPr>
                <w:b/>
                <w:sz w:val="20"/>
                <w:szCs w:val="18"/>
              </w:rPr>
              <w:t xml:space="preserve"> </w:t>
            </w:r>
            <w:r w:rsidR="00B75C1E">
              <w:rPr>
                <w:b/>
                <w:sz w:val="20"/>
                <w:szCs w:val="18"/>
              </w:rPr>
              <w:t>2</w:t>
            </w:r>
            <w:r w:rsidR="00F877F1" w:rsidRPr="00FE0175">
              <w:rPr>
                <w:b/>
                <w:sz w:val="20"/>
                <w:szCs w:val="18"/>
              </w:rPr>
              <w:t>. Posición de la UNAM en el THE Ranking Latinoamérica, 2016-2021.</w:t>
            </w:r>
          </w:p>
        </w:tc>
      </w:tr>
      <w:tr w:rsidR="00F877F1" w:rsidRPr="00FE0175" w14:paraId="27FDD3F2" w14:textId="77777777" w:rsidTr="00AD33CD">
        <w:tblPrEx>
          <w:tblCellMar>
            <w:left w:w="70" w:type="dxa"/>
            <w:right w:w="70" w:type="dxa"/>
          </w:tblCellMar>
        </w:tblPrEx>
        <w:trPr>
          <w:trHeight w:val="1759"/>
        </w:trPr>
        <w:tc>
          <w:tcPr>
            <w:tcW w:w="9844" w:type="dxa"/>
          </w:tcPr>
          <w:p w14:paraId="32B0140C" w14:textId="77777777" w:rsidR="00F877F1" w:rsidRPr="00FE0175" w:rsidRDefault="00F877F1" w:rsidP="00AD33CD">
            <w:pPr>
              <w:jc w:val="both"/>
              <w:rPr>
                <w:bCs/>
                <w:sz w:val="24"/>
              </w:rPr>
            </w:pPr>
            <w:r w:rsidRPr="00FE0175">
              <w:rPr>
                <w:noProof/>
              </w:rPr>
              <w:drawing>
                <wp:inline distT="0" distB="0" distL="0" distR="0" wp14:anchorId="4FB8BE9C" wp14:editId="707E7AD1">
                  <wp:extent cx="6257925" cy="1876425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015FD2-6834-48C3-9D58-F6E5C73038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A7150F7" w14:textId="77777777" w:rsidR="00057906" w:rsidRPr="00FE0175" w:rsidRDefault="00057906" w:rsidP="00BC5FAF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877F1" w:rsidRPr="00FE0175" w14:paraId="057A22F0" w14:textId="77777777" w:rsidTr="00F877F1">
        <w:trPr>
          <w:trHeight w:val="150"/>
        </w:trPr>
        <w:tc>
          <w:tcPr>
            <w:tcW w:w="8075" w:type="dxa"/>
          </w:tcPr>
          <w:p w14:paraId="7F0532C8" w14:textId="7B689447" w:rsidR="00F877F1" w:rsidRPr="00FE0175" w:rsidRDefault="00E60412" w:rsidP="00AD33CD">
            <w:pPr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18"/>
              </w:rPr>
              <w:t>Gráfico</w:t>
            </w:r>
            <w:r w:rsidR="00F877F1" w:rsidRPr="00FE0175">
              <w:rPr>
                <w:b/>
                <w:sz w:val="20"/>
                <w:szCs w:val="18"/>
              </w:rPr>
              <w:t xml:space="preserve"> </w:t>
            </w:r>
            <w:r w:rsidR="00B75C1E">
              <w:rPr>
                <w:b/>
                <w:sz w:val="20"/>
                <w:szCs w:val="18"/>
              </w:rPr>
              <w:t>3</w:t>
            </w:r>
            <w:r w:rsidR="00F877F1" w:rsidRPr="00FE0175">
              <w:rPr>
                <w:b/>
                <w:sz w:val="20"/>
                <w:szCs w:val="18"/>
              </w:rPr>
              <w:t>. Puntaje de la UNAM en los indicadores del THE Ranking Latinoamérica, 2021.</w:t>
            </w:r>
          </w:p>
        </w:tc>
      </w:tr>
      <w:tr w:rsidR="00F877F1" w:rsidRPr="00FE0175" w14:paraId="0AE0C181" w14:textId="77777777" w:rsidTr="00F877F1">
        <w:tblPrEx>
          <w:tblCellMar>
            <w:left w:w="70" w:type="dxa"/>
            <w:right w:w="70" w:type="dxa"/>
          </w:tblCellMar>
        </w:tblPrEx>
        <w:trPr>
          <w:trHeight w:val="1434"/>
        </w:trPr>
        <w:tc>
          <w:tcPr>
            <w:tcW w:w="8075" w:type="dxa"/>
          </w:tcPr>
          <w:p w14:paraId="399B0377" w14:textId="69374705" w:rsidR="00F877F1" w:rsidRPr="00FE0175" w:rsidRDefault="00F877F1" w:rsidP="00AD33CD">
            <w:pPr>
              <w:jc w:val="both"/>
              <w:rPr>
                <w:bCs/>
                <w:sz w:val="24"/>
              </w:rPr>
            </w:pPr>
            <w:r w:rsidRPr="00FE0175">
              <w:rPr>
                <w:noProof/>
              </w:rPr>
              <w:drawing>
                <wp:inline distT="0" distB="0" distL="0" distR="0" wp14:anchorId="08AC86FA" wp14:editId="597248EC">
                  <wp:extent cx="5848350" cy="2495550"/>
                  <wp:effectExtent l="0" t="0" r="0" b="0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FE7C16-8B22-49BF-8D0F-92C80C909C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1DA890A1" w14:textId="77777777" w:rsidR="00057906" w:rsidRPr="00FE0175" w:rsidRDefault="00057906" w:rsidP="00BC5FAF">
      <w:pPr>
        <w:spacing w:after="0" w:line="240" w:lineRule="auto"/>
        <w:jc w:val="both"/>
        <w:rPr>
          <w:sz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868"/>
        <w:gridCol w:w="868"/>
        <w:gridCol w:w="868"/>
        <w:gridCol w:w="868"/>
        <w:gridCol w:w="868"/>
        <w:gridCol w:w="868"/>
      </w:tblGrid>
      <w:tr w:rsidR="00E059FC" w:rsidRPr="00FE0175" w14:paraId="42806452" w14:textId="77777777" w:rsidTr="00524492">
        <w:trPr>
          <w:trHeight w:val="267"/>
          <w:jc w:val="center"/>
        </w:trPr>
        <w:tc>
          <w:tcPr>
            <w:tcW w:w="836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487F5" w14:textId="51EE1E4E" w:rsidR="00E059FC" w:rsidRPr="00FE0175" w:rsidRDefault="00E059FC" w:rsidP="00A846CD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FE0175">
              <w:rPr>
                <w:b/>
                <w:sz w:val="20"/>
                <w:szCs w:val="18"/>
              </w:rPr>
              <w:t xml:space="preserve">Tabla </w:t>
            </w:r>
            <w:r w:rsidR="00B75C1E">
              <w:rPr>
                <w:b/>
                <w:sz w:val="20"/>
                <w:szCs w:val="18"/>
              </w:rPr>
              <w:t>5</w:t>
            </w:r>
            <w:r w:rsidRPr="00FE0175">
              <w:rPr>
                <w:b/>
                <w:sz w:val="20"/>
                <w:szCs w:val="18"/>
              </w:rPr>
              <w:t>. Desempeño de la UNAM en los indicadores del THE Ranking Latinoamérica, 2016-2021.</w:t>
            </w:r>
          </w:p>
        </w:tc>
      </w:tr>
      <w:tr w:rsidR="00E059FC" w:rsidRPr="00FE0175" w14:paraId="3E838DB2" w14:textId="77777777" w:rsidTr="00524492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BC4B1B" w14:textId="7B753AE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E90E661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E308E8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D974E2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6602AF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819B5D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320391" w14:textId="77777777" w:rsidR="00E059FC" w:rsidRPr="00FE0175" w:rsidRDefault="00E059FC" w:rsidP="006327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81644A" w:rsidRPr="00FE0175" w14:paraId="69313CD5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1BED" w14:textId="31ED6AE6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Puntaje General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6E1D" w14:textId="41D60401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68.1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20F4" w14:textId="08E2168D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73.3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959" w14:textId="4B1ADE25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73.5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2D12" w14:textId="1D214B0E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75.5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018E" w14:textId="09A0ECBF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71.9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5B5C" w14:textId="0F702940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72.8</w:t>
            </w:r>
          </w:p>
        </w:tc>
      </w:tr>
      <w:tr w:rsidR="0081644A" w:rsidRPr="00FE0175" w14:paraId="217BEDCF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7A800" w14:textId="7C2AD4BD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Docencia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DF2598" w14:textId="4661BAEE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73.5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B1F969" w14:textId="5FD308D5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76.6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B9E5AB" w14:textId="21528D77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74.1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ACB7A0" w14:textId="505E2020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76.3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0D3B2F" w14:textId="099A94BB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71.9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A44D8B" w14:textId="18ACC614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72.7</w:t>
            </w:r>
          </w:p>
        </w:tc>
      </w:tr>
      <w:tr w:rsidR="0081644A" w:rsidRPr="00FE0175" w14:paraId="131EE97E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DE44" w14:textId="1230590A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Investigación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DED" w14:textId="6FEFBEB9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79.6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0673" w14:textId="25CC5454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85.1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2C3D" w14:textId="6B2292FB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87.7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FE6B" w14:textId="108D805E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91.7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3C0B" w14:textId="67EFC706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90.6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3E6D" w14:textId="1566DD39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85.8</w:t>
            </w:r>
          </w:p>
        </w:tc>
      </w:tr>
      <w:tr w:rsidR="0081644A" w:rsidRPr="00FE0175" w14:paraId="59F90BF6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033A8" w14:textId="63D48A34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Citas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99947A" w14:textId="3AD4E8C8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51.3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E1E27E" w14:textId="4C6C15E5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59.7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BAAAE7" w14:textId="750C8843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60.6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B436E" w14:textId="7C0A5DF3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50.3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967F78" w14:textId="3D1124A9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41.7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A4F462" w14:textId="157DF112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44.9</w:t>
            </w:r>
          </w:p>
        </w:tc>
      </w:tr>
      <w:tr w:rsidR="0081644A" w:rsidRPr="00FE0175" w14:paraId="152D6E53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54F" w14:textId="6BC6E838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Perspectiva internacional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A8B" w14:textId="64D4B863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74.0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D31" w14:textId="12947308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73.4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E192" w14:textId="7DDAE216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74.2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5FC1" w14:textId="626AC46E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78.9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2E0D" w14:textId="26A8503D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80.6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98BE" w14:textId="7F03F510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81.1</w:t>
            </w:r>
          </w:p>
        </w:tc>
      </w:tr>
      <w:tr w:rsidR="0081644A" w:rsidRPr="00FE0175" w14:paraId="0D7A2191" w14:textId="77777777" w:rsidTr="0081644A">
        <w:trPr>
          <w:trHeight w:val="26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EE2BC4" w14:textId="48C7ABCC" w:rsidR="0081644A" w:rsidRPr="00FE0175" w:rsidRDefault="0081644A" w:rsidP="008164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Financiamiento de la industria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B5794F" w14:textId="28028A95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74.6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B944F" w14:textId="6B07029F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87.1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754E8D" w14:textId="223DEA23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95.4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534560" w14:textId="4B70501E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97.9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994FA9" w14:textId="577D6696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96.9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91F3C9" w14:textId="13FC5622" w:rsidR="0081644A" w:rsidRPr="00FE0175" w:rsidRDefault="0081644A" w:rsidP="008164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sz w:val="18"/>
                <w:szCs w:val="18"/>
              </w:rPr>
              <w:t>95.9</w:t>
            </w:r>
          </w:p>
        </w:tc>
      </w:tr>
    </w:tbl>
    <w:p w14:paraId="266C7600" w14:textId="77777777" w:rsidR="00B75C1E" w:rsidRDefault="00B75C1E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0975E9" w14:textId="77777777" w:rsidR="00B75C1E" w:rsidRPr="00FE0175" w:rsidRDefault="00B75C1E" w:rsidP="00B75C1E">
      <w:pPr>
        <w:spacing w:after="0" w:line="240" w:lineRule="auto"/>
        <w:jc w:val="both"/>
        <w:rPr>
          <w:b/>
          <w:bCs/>
          <w:sz w:val="24"/>
        </w:rPr>
      </w:pPr>
      <w:r w:rsidRPr="00FE0175">
        <w:rPr>
          <w:b/>
          <w:bCs/>
          <w:sz w:val="24"/>
        </w:rPr>
        <w:t>Diferencias metodológicas entre los rankings del Times Higher Education (THE)</w:t>
      </w:r>
    </w:p>
    <w:p w14:paraId="65FD663A" w14:textId="77777777" w:rsidR="00B75C1E" w:rsidRPr="00FE0175" w:rsidRDefault="00B75C1E" w:rsidP="00B75C1E">
      <w:pPr>
        <w:pStyle w:val="Prrafodelista"/>
        <w:spacing w:after="0" w:line="240" w:lineRule="auto"/>
        <w:jc w:val="both"/>
        <w:rPr>
          <w:sz w:val="24"/>
        </w:rPr>
      </w:pPr>
    </w:p>
    <w:p w14:paraId="45479F34" w14:textId="66C126A9" w:rsidR="00B75C1E" w:rsidRPr="00FE0175" w:rsidRDefault="00B75C1E" w:rsidP="00B75C1E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 xml:space="preserve">Los 3 principales rankings de THE (Mundial, Latinoamérica, BRICS y Economías Emergentes) han mantenido los mismos 5 indicadores a lo largo de los años. Sin embargo, a cada ranking se le asigna una ponderación diferente para adecuarlo con las </w:t>
      </w:r>
      <w:r w:rsidR="00C60020">
        <w:rPr>
          <w:sz w:val="24"/>
        </w:rPr>
        <w:t>particularidades</w:t>
      </w:r>
      <w:r w:rsidRPr="00FE0175">
        <w:rPr>
          <w:sz w:val="24"/>
        </w:rPr>
        <w:t xml:space="preserve"> de cada región evaluada</w:t>
      </w:r>
      <w:r w:rsidR="00057906">
        <w:rPr>
          <w:rStyle w:val="Refdenotaalpie"/>
          <w:sz w:val="24"/>
        </w:rPr>
        <w:footnoteReference w:id="2"/>
      </w:r>
      <w:r w:rsidRPr="00FE0175">
        <w:rPr>
          <w:sz w:val="24"/>
        </w:rPr>
        <w:t>.</w:t>
      </w:r>
    </w:p>
    <w:p w14:paraId="67B36973" w14:textId="77777777" w:rsidR="00B75C1E" w:rsidRPr="00FE0175" w:rsidRDefault="00B75C1E" w:rsidP="00B75C1E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6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991"/>
        <w:gridCol w:w="1418"/>
        <w:gridCol w:w="1651"/>
      </w:tblGrid>
      <w:tr w:rsidR="00B75C1E" w:rsidRPr="00FE0175" w14:paraId="291E912F" w14:textId="77777777" w:rsidTr="00D134B5">
        <w:trPr>
          <w:trHeight w:val="106"/>
          <w:tblHeader/>
          <w:jc w:val="center"/>
        </w:trPr>
        <w:tc>
          <w:tcPr>
            <w:tcW w:w="6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E15FA1" w14:textId="1ACBB20E" w:rsidR="00B75C1E" w:rsidRPr="00FE0175" w:rsidRDefault="00B75C1E" w:rsidP="00D134B5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FE0175">
              <w:rPr>
                <w:b/>
                <w:sz w:val="20"/>
                <w:szCs w:val="18"/>
              </w:rPr>
              <w:t xml:space="preserve">Tabla </w:t>
            </w:r>
            <w:r>
              <w:rPr>
                <w:b/>
                <w:sz w:val="20"/>
                <w:szCs w:val="18"/>
              </w:rPr>
              <w:t>6</w:t>
            </w:r>
            <w:r w:rsidRPr="00FE0175">
              <w:rPr>
                <w:b/>
                <w:sz w:val="20"/>
                <w:szCs w:val="18"/>
              </w:rPr>
              <w:t>. Indicadores y ponderadores considerados en los THE Ranking Mundial, Latinoamérica, y BRICS y Economías Emergentes, 2021.</w:t>
            </w:r>
          </w:p>
        </w:tc>
      </w:tr>
      <w:tr w:rsidR="00B75C1E" w:rsidRPr="00FE0175" w14:paraId="5906D845" w14:textId="77777777" w:rsidTr="00D134B5">
        <w:trPr>
          <w:trHeight w:val="106"/>
          <w:tblHeader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B48EEB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175">
              <w:rPr>
                <w:rFonts w:cstheme="minorHAnsi"/>
                <w:b/>
                <w:sz w:val="18"/>
                <w:szCs w:val="18"/>
              </w:rPr>
              <w:t>Indicadores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DDB94D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175">
              <w:rPr>
                <w:rFonts w:cstheme="minorHAnsi"/>
                <w:b/>
                <w:sz w:val="18"/>
                <w:szCs w:val="18"/>
              </w:rPr>
              <w:t>Mundial</w:t>
            </w:r>
            <w:r w:rsidRPr="00FE0175">
              <w:rPr>
                <w:rFonts w:cstheme="minorHAnsi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BEA53F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175">
              <w:rPr>
                <w:rFonts w:cstheme="minorHAnsi"/>
                <w:b/>
                <w:sz w:val="18"/>
                <w:szCs w:val="18"/>
              </w:rPr>
              <w:t>Latinoamérica</w:t>
            </w:r>
            <w:r w:rsidRPr="00FE0175">
              <w:rPr>
                <w:rFonts w:cstheme="minorHAnsi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A45D23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175">
              <w:rPr>
                <w:rFonts w:cstheme="minorHAnsi"/>
                <w:b/>
                <w:sz w:val="18"/>
                <w:szCs w:val="18"/>
              </w:rPr>
              <w:t xml:space="preserve">BRICS &amp; Economías Emergentes </w:t>
            </w:r>
          </w:p>
          <w:p w14:paraId="4795CDD9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175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B75C1E" w:rsidRPr="00FE0175" w14:paraId="43747BD8" w14:textId="77777777" w:rsidTr="00D134B5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3B21E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Citas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52E0D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53A8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0F2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B75C1E" w:rsidRPr="00FE0175" w14:paraId="2B1555EA" w14:textId="77777777" w:rsidTr="00D134B5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BFF5B1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Docencia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417A8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06E7E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FB9F2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</w:tr>
      <w:tr w:rsidR="00B75C1E" w:rsidRPr="00FE0175" w14:paraId="0A491D78" w14:textId="77777777" w:rsidTr="00D134B5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511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Investigación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3CD2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10A5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40F1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</w:tr>
      <w:tr w:rsidR="00B75C1E" w:rsidRPr="00FE0175" w14:paraId="11D55615" w14:textId="77777777" w:rsidTr="00D134B5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FC35C0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Perspectiva internacional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A6CBB9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E2468C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B92BE3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</w:tr>
      <w:tr w:rsidR="00B75C1E" w:rsidRPr="00FE0175" w14:paraId="5CCEF77D" w14:textId="77777777" w:rsidTr="00D134B5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1EB6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Financiamiento de la industria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FB5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9BF0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23ED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FE0175"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</w:tr>
    </w:tbl>
    <w:p w14:paraId="0AF95FB0" w14:textId="77777777" w:rsidR="00B75C1E" w:rsidRPr="00FE0175" w:rsidRDefault="00B75C1E" w:rsidP="00B75C1E">
      <w:pPr>
        <w:pStyle w:val="Prrafodelista"/>
        <w:spacing w:after="0" w:line="240" w:lineRule="auto"/>
        <w:jc w:val="both"/>
        <w:rPr>
          <w:sz w:val="24"/>
        </w:rPr>
      </w:pPr>
    </w:p>
    <w:p w14:paraId="1BD89E49" w14:textId="77777777" w:rsidR="00B75C1E" w:rsidRPr="00FE0175" w:rsidRDefault="00B75C1E" w:rsidP="00B75C1E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>Existe una discrepancia en el posicionamiento de las universidades en los diferentes rankings debido al número total de instituciones evaluadas en cada ranking, y las diferencias en la ponderación de cada indicador.</w:t>
      </w:r>
    </w:p>
    <w:p w14:paraId="603D0499" w14:textId="77777777" w:rsidR="00B75C1E" w:rsidRPr="00FE0175" w:rsidRDefault="00B75C1E" w:rsidP="00B75C1E">
      <w:pPr>
        <w:pStyle w:val="Prrafodelista"/>
        <w:spacing w:after="0" w:line="240" w:lineRule="auto"/>
        <w:jc w:val="both"/>
        <w:rPr>
          <w:sz w:val="24"/>
        </w:rPr>
      </w:pPr>
    </w:p>
    <w:p w14:paraId="1FE6569F" w14:textId="69B2294B" w:rsidR="00B75C1E" w:rsidRPr="00FE0175" w:rsidRDefault="00B75C1E" w:rsidP="00B75C1E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 xml:space="preserve">En la Tabla </w:t>
      </w:r>
      <w:r w:rsidR="00057906">
        <w:rPr>
          <w:sz w:val="24"/>
        </w:rPr>
        <w:t>7</w:t>
      </w:r>
      <w:r w:rsidRPr="00FE0175">
        <w:rPr>
          <w:sz w:val="24"/>
        </w:rPr>
        <w:t xml:space="preserve"> es posible apreciar la variabilidad mencionada al analizar algunas de las principales universidades de Latinoamérica. Por ejemplo, la Universidad de São Paulo en el </w:t>
      </w:r>
      <w:r w:rsidRPr="00FE0175">
        <w:rPr>
          <w:b/>
          <w:bCs/>
          <w:sz w:val="24"/>
        </w:rPr>
        <w:t>Ranking Latinoamérica</w:t>
      </w:r>
      <w:r w:rsidRPr="00FE0175">
        <w:rPr>
          <w:sz w:val="24"/>
        </w:rPr>
        <w:t xml:space="preserve"> fue clasificada en la posición 2º, y en el </w:t>
      </w:r>
      <w:r w:rsidRPr="00FE0175">
        <w:rPr>
          <w:b/>
          <w:bCs/>
          <w:sz w:val="24"/>
        </w:rPr>
        <w:t>Ranking Mundial</w:t>
      </w:r>
      <w:r w:rsidRPr="00FE0175">
        <w:rPr>
          <w:sz w:val="24"/>
        </w:rPr>
        <w:t xml:space="preserve"> en el lugar 227º. Pero, esto no se ve reflejado en los rankings, ya que la Pontificia Universidad Católica de Chile fue clasificada en el </w:t>
      </w:r>
      <w:r w:rsidRPr="00FE0175">
        <w:rPr>
          <w:b/>
          <w:bCs/>
          <w:sz w:val="24"/>
        </w:rPr>
        <w:t>Ranking Latinoamérica</w:t>
      </w:r>
      <w:r w:rsidRPr="00FE0175">
        <w:rPr>
          <w:sz w:val="24"/>
        </w:rPr>
        <w:t xml:space="preserve"> en el 1º lugar, mientras que en el </w:t>
      </w:r>
      <w:r w:rsidRPr="00FE0175">
        <w:rPr>
          <w:b/>
          <w:bCs/>
          <w:sz w:val="24"/>
        </w:rPr>
        <w:t>Ranking Mundial</w:t>
      </w:r>
      <w:r w:rsidRPr="00FE0175">
        <w:rPr>
          <w:sz w:val="24"/>
        </w:rPr>
        <w:t xml:space="preserve"> ocupó el lugar 513º.</w:t>
      </w:r>
    </w:p>
    <w:p w14:paraId="6295E0F6" w14:textId="77777777" w:rsidR="00B75C1E" w:rsidRPr="00FE0175" w:rsidRDefault="00B75C1E" w:rsidP="00B75C1E">
      <w:pPr>
        <w:pStyle w:val="Prrafodelista"/>
        <w:rPr>
          <w:sz w:val="24"/>
        </w:rPr>
      </w:pPr>
    </w:p>
    <w:p w14:paraId="2AE416FC" w14:textId="77777777" w:rsidR="00B75C1E" w:rsidRPr="00FE0175" w:rsidRDefault="00B75C1E" w:rsidP="00B75C1E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FE0175">
        <w:rPr>
          <w:sz w:val="24"/>
        </w:rPr>
        <w:t xml:space="preserve">En el caso de las universidades mexicanas, en el </w:t>
      </w:r>
      <w:r w:rsidRPr="00FE0175">
        <w:rPr>
          <w:b/>
          <w:bCs/>
          <w:sz w:val="24"/>
        </w:rPr>
        <w:t>Ranking Latinoamérica</w:t>
      </w:r>
      <w:r w:rsidRPr="00FE0175">
        <w:rPr>
          <w:sz w:val="24"/>
        </w:rPr>
        <w:t xml:space="preserve"> el Instituto Tecnológico y de Estudios Superiores de Monterrey (ITESM) fue clasificada en el lugar 4º, y la UNAM fue clasificada en el lugar 18º. Sin embargo, en el </w:t>
      </w:r>
      <w:r w:rsidRPr="00FE0175">
        <w:rPr>
          <w:b/>
          <w:bCs/>
          <w:sz w:val="24"/>
        </w:rPr>
        <w:t>Ranking BRICS y Economías Emergentes</w:t>
      </w:r>
      <w:r w:rsidRPr="00FE0175">
        <w:rPr>
          <w:sz w:val="24"/>
        </w:rPr>
        <w:t xml:space="preserve"> la UNAM se ocupó el lugar 129º, mientras que el ITESM se situó en la posición 131º</w:t>
      </w:r>
      <w:r w:rsidRPr="00FE0175">
        <w:rPr>
          <w:rFonts w:ascii="Arial" w:hAnsi="Arial" w:cs="Arial"/>
          <w:sz w:val="24"/>
        </w:rPr>
        <w:t>.</w:t>
      </w:r>
    </w:p>
    <w:p w14:paraId="0B527E51" w14:textId="77777777" w:rsidR="00B75C1E" w:rsidRPr="00FE0175" w:rsidRDefault="00B75C1E" w:rsidP="00B75C1E">
      <w:pPr>
        <w:spacing w:after="0"/>
        <w:rPr>
          <w:sz w:val="24"/>
        </w:rPr>
      </w:pP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1406"/>
        <w:gridCol w:w="1282"/>
        <w:gridCol w:w="1278"/>
        <w:gridCol w:w="1284"/>
      </w:tblGrid>
      <w:tr w:rsidR="00B75C1E" w:rsidRPr="00FE0175" w14:paraId="718D2706" w14:textId="77777777" w:rsidTr="00D134B5">
        <w:trPr>
          <w:trHeight w:val="142"/>
          <w:jc w:val="center"/>
        </w:trPr>
        <w:tc>
          <w:tcPr>
            <w:tcW w:w="9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A8D0" w14:textId="137A856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7</w:t>
            </w: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.- Posición de las principales universidades de América Latina en los diferentes rankings THE (Ranking Mundial, Latinoamérica, y BRICS y Economías Emergentes), 2021.</w:t>
            </w:r>
          </w:p>
        </w:tc>
      </w:tr>
      <w:tr w:rsidR="00B75C1E" w:rsidRPr="00FE0175" w14:paraId="41509CA6" w14:textId="77777777" w:rsidTr="00D134B5">
        <w:trPr>
          <w:trHeight w:val="46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F1F0DEF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566744B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68865B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Latinoamérica</w:t>
            </w:r>
          </w:p>
          <w:p w14:paraId="69B32313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8558B03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Mundial</w:t>
            </w:r>
          </w:p>
          <w:p w14:paraId="24C2B64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CD78082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BRICS &amp; Economías Emergentes </w:t>
            </w:r>
          </w:p>
          <w:p w14:paraId="5269D65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B75C1E" w:rsidRPr="00FE0175" w14:paraId="02E9627F" w14:textId="77777777" w:rsidTr="00D134B5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C5D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 Chile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061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5D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32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989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</w:tr>
      <w:tr w:rsidR="00B75C1E" w:rsidRPr="00FE0175" w14:paraId="287E5148" w14:textId="77777777" w:rsidTr="00D134B5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745EAE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São Paulo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610A0F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CBD1E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40F080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5726F5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B75C1E" w:rsidRPr="00FE0175" w14:paraId="1C0C5947" w14:textId="77777777" w:rsidTr="00D134B5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D8D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Campinas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E41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211E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F54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4C7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B75C1E" w:rsidRPr="00FE0175" w14:paraId="283CE231" w14:textId="77777777" w:rsidTr="00D134B5">
        <w:trPr>
          <w:trHeight w:val="22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C9AA3F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Tecnológico y de Estudios Superiores de Monterrey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95083A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699501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860B9F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78BECE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</w:tr>
      <w:tr w:rsidR="00B75C1E" w:rsidRPr="00FE0175" w14:paraId="0D614343" w14:textId="77777777" w:rsidTr="00D134B5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74B" w14:textId="77777777" w:rsidR="00B75C1E" w:rsidRPr="00B75C1E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B75C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  <w:t>Universidad Federal de Minas Gerais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BC1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06FB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A0C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030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136</w:t>
            </w:r>
          </w:p>
        </w:tc>
      </w:tr>
      <w:tr w:rsidR="00B75C1E" w:rsidRPr="00FE0175" w14:paraId="45B3C1A7" w14:textId="77777777" w:rsidTr="00D134B5">
        <w:trPr>
          <w:trHeight w:val="1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5E224D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56D052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82A64B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32502F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3AD2C0" w14:textId="77777777" w:rsidR="00B75C1E" w:rsidRPr="00FE0175" w:rsidRDefault="00B75C1E" w:rsidP="00D13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129</w:t>
            </w:r>
          </w:p>
        </w:tc>
      </w:tr>
      <w:tr w:rsidR="00B75C1E" w:rsidRPr="00FE0175" w14:paraId="7EC0C779" w14:textId="77777777" w:rsidTr="00D134B5">
        <w:trPr>
          <w:trHeight w:val="142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18FC76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 Ordenado conforme a la posición obtenida en el Ranking Latinoamérica.</w:t>
            </w:r>
          </w:p>
          <w:p w14:paraId="0599F7B6" w14:textId="77777777" w:rsidR="00B75C1E" w:rsidRPr="00FE0175" w:rsidRDefault="00B75C1E" w:rsidP="00D13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E01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** No se consideran las universidades españolas, ya que estas no participan en el ranking Latinoamérica ni BRICS &amp; Economías Emergentes.</w:t>
            </w:r>
          </w:p>
        </w:tc>
      </w:tr>
    </w:tbl>
    <w:p w14:paraId="44B15C4D" w14:textId="77777777" w:rsidR="00B75C1E" w:rsidRPr="00FE0175" w:rsidRDefault="00B75C1E" w:rsidP="00B75C1E">
      <w:pPr>
        <w:spacing w:after="0" w:line="240" w:lineRule="auto"/>
        <w:jc w:val="both"/>
        <w:rPr>
          <w:sz w:val="24"/>
        </w:rPr>
      </w:pPr>
    </w:p>
    <w:p w14:paraId="75A99768" w14:textId="29F792AD" w:rsidR="00DE3136" w:rsidRPr="00FE0175" w:rsidRDefault="00DE3136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0175">
        <w:rPr>
          <w:rFonts w:cstheme="minorHAnsi"/>
          <w:b/>
          <w:bCs/>
          <w:sz w:val="24"/>
          <w:szCs w:val="24"/>
        </w:rPr>
        <w:t>Conclusiones</w:t>
      </w:r>
    </w:p>
    <w:p w14:paraId="06225916" w14:textId="77777777" w:rsidR="00DE3136" w:rsidRPr="00FE0175" w:rsidRDefault="00DE3136" w:rsidP="00DE3136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1F20F" w14:textId="7FF7020F" w:rsidR="00EC1AD0" w:rsidRPr="00FE0175" w:rsidRDefault="00DE3136" w:rsidP="003E314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bookmarkStart w:id="2" w:name="_Hlk72862818"/>
      <w:r w:rsidRPr="00FE0175">
        <w:rPr>
          <w:rFonts w:cstheme="minorHAnsi"/>
          <w:sz w:val="24"/>
          <w:szCs w:val="24"/>
        </w:rPr>
        <w:t>El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844774" w:rsidRPr="00FE0175">
        <w:rPr>
          <w:b/>
          <w:bCs/>
          <w:sz w:val="24"/>
        </w:rPr>
        <w:t>THE</w:t>
      </w:r>
      <w:r w:rsidR="00844774" w:rsidRPr="00FE0175">
        <w:rPr>
          <w:sz w:val="24"/>
        </w:rPr>
        <w:t xml:space="preserve"> </w:t>
      </w:r>
      <w:r w:rsidR="00844774" w:rsidRPr="00FE0175">
        <w:rPr>
          <w:b/>
          <w:bCs/>
          <w:sz w:val="24"/>
        </w:rPr>
        <w:t>Ranking Latinoamérica 2021</w:t>
      </w:r>
      <w:r w:rsidR="00844774" w:rsidRPr="00FE0175">
        <w:rPr>
          <w:sz w:val="24"/>
        </w:rPr>
        <w:t xml:space="preserve"> </w:t>
      </w:r>
      <w:r w:rsidR="00366D9A" w:rsidRPr="00FE0175">
        <w:rPr>
          <w:rFonts w:cstheme="minorHAnsi"/>
          <w:sz w:val="24"/>
          <w:szCs w:val="24"/>
        </w:rPr>
        <w:t>clasificó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Pr="00FE0175">
        <w:rPr>
          <w:rFonts w:cstheme="minorHAnsi"/>
          <w:sz w:val="24"/>
          <w:szCs w:val="24"/>
        </w:rPr>
        <w:t>a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7B6CDF" w:rsidRPr="00FE0175">
        <w:rPr>
          <w:sz w:val="24"/>
        </w:rPr>
        <w:t xml:space="preserve">175 </w:t>
      </w:r>
      <w:r w:rsidR="00366D9A" w:rsidRPr="00FE0175">
        <w:rPr>
          <w:rFonts w:cstheme="minorHAnsi"/>
          <w:sz w:val="24"/>
          <w:szCs w:val="24"/>
        </w:rPr>
        <w:t>universidades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366D9A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Iberoamérica,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de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las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cuales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7B6CDF" w:rsidRPr="00FE0175">
        <w:rPr>
          <w:rFonts w:cstheme="minorHAnsi"/>
          <w:sz w:val="24"/>
          <w:szCs w:val="24"/>
        </w:rPr>
        <w:t>23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son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universidades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EC1AD0" w:rsidRPr="00FE0175">
        <w:rPr>
          <w:rFonts w:cstheme="minorHAnsi"/>
          <w:sz w:val="24"/>
          <w:szCs w:val="24"/>
        </w:rPr>
        <w:t>mexicanas.</w:t>
      </w:r>
    </w:p>
    <w:p w14:paraId="41AC17F5" w14:textId="77777777" w:rsidR="00EC1AD0" w:rsidRPr="00FE0175" w:rsidRDefault="00EC1AD0" w:rsidP="00EC1AD0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78B78712" w14:textId="7AEDBEC8" w:rsidR="00773573" w:rsidRPr="005B4127" w:rsidRDefault="00EC1AD0" w:rsidP="0077357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 w:rsidRPr="00FE0175">
        <w:rPr>
          <w:rFonts w:cstheme="minorHAnsi"/>
          <w:sz w:val="24"/>
          <w:szCs w:val="24"/>
        </w:rPr>
        <w:t>La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Pr="00FE0175">
        <w:rPr>
          <w:rFonts w:cstheme="minorHAnsi"/>
          <w:sz w:val="24"/>
          <w:szCs w:val="24"/>
        </w:rPr>
        <w:t>UNAM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Pr="00FE0175">
        <w:rPr>
          <w:rFonts w:cstheme="minorHAnsi"/>
          <w:sz w:val="24"/>
          <w:szCs w:val="24"/>
        </w:rPr>
        <w:t>fue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Pr="00FE0175">
        <w:rPr>
          <w:sz w:val="24"/>
        </w:rPr>
        <w:t>clasificada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ranking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el</w:t>
      </w:r>
      <w:r w:rsidR="00670182" w:rsidRPr="00FE0175">
        <w:rPr>
          <w:sz w:val="24"/>
        </w:rPr>
        <w:t xml:space="preserve"> </w:t>
      </w:r>
      <w:r w:rsidRPr="00FE0175">
        <w:rPr>
          <w:sz w:val="24"/>
        </w:rPr>
        <w:t>lugar</w:t>
      </w:r>
      <w:r w:rsidR="00670182" w:rsidRPr="00FE0175">
        <w:rPr>
          <w:sz w:val="24"/>
        </w:rPr>
        <w:t xml:space="preserve"> </w:t>
      </w:r>
      <w:r w:rsidR="008678FD" w:rsidRPr="00FE0175">
        <w:rPr>
          <w:sz w:val="24"/>
        </w:rPr>
        <w:t>18</w:t>
      </w:r>
      <w:r w:rsidRPr="00FE0175">
        <w:rPr>
          <w:sz w:val="24"/>
        </w:rPr>
        <w:t>º</w:t>
      </w:r>
      <w:r w:rsidR="00670182" w:rsidRPr="00FE0175">
        <w:rPr>
          <w:sz w:val="24"/>
        </w:rPr>
        <w:t xml:space="preserve"> </w:t>
      </w:r>
      <w:r w:rsidR="001E7717" w:rsidRPr="00FE0175">
        <w:rPr>
          <w:sz w:val="24"/>
        </w:rPr>
        <w:t>(</w:t>
      </w:r>
      <w:r w:rsidR="008678FD" w:rsidRPr="00FE0175">
        <w:rPr>
          <w:sz w:val="24"/>
        </w:rPr>
        <w:t>2</w:t>
      </w:r>
      <w:r w:rsidR="001E7717" w:rsidRPr="00FE0175">
        <w:rPr>
          <w:sz w:val="24"/>
        </w:rPr>
        <w:t>º</w:t>
      </w:r>
      <w:r w:rsidR="00670182" w:rsidRPr="00FE0175">
        <w:rPr>
          <w:sz w:val="24"/>
        </w:rPr>
        <w:t xml:space="preserve"> </w:t>
      </w:r>
      <w:r w:rsidR="008678FD" w:rsidRPr="00FE0175">
        <w:rPr>
          <w:sz w:val="24"/>
        </w:rPr>
        <w:t>México</w:t>
      </w:r>
      <w:r w:rsidR="001E7717" w:rsidRPr="00FE0175">
        <w:rPr>
          <w:sz w:val="24"/>
        </w:rPr>
        <w:t>)</w:t>
      </w:r>
      <w:r w:rsidR="00670182" w:rsidRPr="00FE0175">
        <w:rPr>
          <w:sz w:val="24"/>
        </w:rPr>
        <w:t xml:space="preserve"> </w:t>
      </w:r>
      <w:r w:rsidR="001E7717" w:rsidRPr="00FE0175">
        <w:rPr>
          <w:sz w:val="24"/>
        </w:rPr>
        <w:t>con</w:t>
      </w:r>
      <w:r w:rsidR="00670182" w:rsidRPr="00FE0175">
        <w:rPr>
          <w:sz w:val="24"/>
        </w:rPr>
        <w:t xml:space="preserve"> </w:t>
      </w:r>
      <w:r w:rsidR="001E7717" w:rsidRPr="00FE0175">
        <w:rPr>
          <w:sz w:val="24"/>
        </w:rPr>
        <w:t>un</w:t>
      </w:r>
      <w:r w:rsidR="00670182" w:rsidRPr="00FE0175">
        <w:rPr>
          <w:sz w:val="24"/>
        </w:rPr>
        <w:t xml:space="preserve"> </w:t>
      </w:r>
      <w:r w:rsidR="001E7717" w:rsidRPr="00FE0175">
        <w:rPr>
          <w:b/>
          <w:bCs/>
          <w:sz w:val="24"/>
        </w:rPr>
        <w:t>Puntaje</w:t>
      </w:r>
      <w:r w:rsidR="00670182" w:rsidRPr="00FE0175">
        <w:rPr>
          <w:b/>
          <w:bCs/>
          <w:sz w:val="24"/>
        </w:rPr>
        <w:t xml:space="preserve"> </w:t>
      </w:r>
      <w:r w:rsidR="001E7717" w:rsidRPr="00FE0175">
        <w:rPr>
          <w:b/>
          <w:bCs/>
          <w:sz w:val="24"/>
        </w:rPr>
        <w:t>General</w:t>
      </w:r>
      <w:r w:rsidR="00670182" w:rsidRPr="00FE0175">
        <w:rPr>
          <w:b/>
          <w:bCs/>
          <w:sz w:val="24"/>
        </w:rPr>
        <w:t xml:space="preserve"> </w:t>
      </w:r>
      <w:r w:rsidR="001E7717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8678FD" w:rsidRPr="00FE0175">
        <w:rPr>
          <w:sz w:val="24"/>
        </w:rPr>
        <w:t xml:space="preserve">72.8 </w:t>
      </w:r>
      <w:r w:rsidR="001E7717" w:rsidRPr="00FE0175">
        <w:rPr>
          <w:sz w:val="24"/>
        </w:rPr>
        <w:t>sobre</w:t>
      </w:r>
      <w:r w:rsidR="00670182" w:rsidRPr="00FE0175">
        <w:rPr>
          <w:sz w:val="24"/>
        </w:rPr>
        <w:t xml:space="preserve"> </w:t>
      </w:r>
      <w:r w:rsidR="001E7717" w:rsidRPr="00FE0175">
        <w:rPr>
          <w:sz w:val="24"/>
        </w:rPr>
        <w:t>100</w:t>
      </w:r>
      <w:r w:rsidR="00670182" w:rsidRPr="00FE0175">
        <w:rPr>
          <w:sz w:val="24"/>
        </w:rPr>
        <w:t xml:space="preserve"> </w:t>
      </w:r>
      <w:r w:rsidR="001E7717" w:rsidRPr="00FE0175">
        <w:rPr>
          <w:sz w:val="24"/>
        </w:rPr>
        <w:t>posibles</w:t>
      </w:r>
      <w:r w:rsidRPr="00FE0175">
        <w:rPr>
          <w:sz w:val="24"/>
        </w:rPr>
        <w:t>.</w:t>
      </w:r>
    </w:p>
    <w:p w14:paraId="27CC0130" w14:textId="77777777" w:rsidR="005B4127" w:rsidRPr="00191C7B" w:rsidRDefault="005B4127" w:rsidP="00191C7B">
      <w:pPr>
        <w:pStyle w:val="Prrafodelista"/>
        <w:rPr>
          <w:rFonts w:cstheme="minorHAnsi"/>
          <w:sz w:val="24"/>
        </w:rPr>
      </w:pPr>
    </w:p>
    <w:p w14:paraId="0DBD0741" w14:textId="5158DE3B" w:rsidR="005B4127" w:rsidRPr="00FE0175" w:rsidRDefault="005B4127" w:rsidP="0077357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UNAM bajó una posición en el ranking entre 2020 y 2021, a pesar de que mejoró ligeramente su puntaje general: de 71.9 a 72.8, respectivamente. </w:t>
      </w:r>
    </w:p>
    <w:p w14:paraId="33C5AE62" w14:textId="77777777" w:rsidR="00773573" w:rsidRPr="00FE0175" w:rsidRDefault="00773573" w:rsidP="00773573">
      <w:pPr>
        <w:pStyle w:val="Prrafodelista"/>
        <w:rPr>
          <w:sz w:val="24"/>
        </w:rPr>
      </w:pPr>
    </w:p>
    <w:p w14:paraId="6BA60010" w14:textId="4B442A24" w:rsidR="00DE3136" w:rsidRPr="00FE0175" w:rsidRDefault="005B4127" w:rsidP="0077357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>
        <w:rPr>
          <w:sz w:val="24"/>
        </w:rPr>
        <w:t xml:space="preserve">La UNAM mejoró su desempleo </w:t>
      </w:r>
      <w:r w:rsidR="00773573"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="00773573" w:rsidRPr="00FE0175">
        <w:rPr>
          <w:sz w:val="24"/>
        </w:rPr>
        <w:t>los</w:t>
      </w:r>
      <w:r w:rsidR="00670182" w:rsidRPr="00FE0175">
        <w:rPr>
          <w:sz w:val="24"/>
        </w:rPr>
        <w:t xml:space="preserve"> </w:t>
      </w:r>
      <w:r w:rsidR="00773573" w:rsidRPr="00FE0175">
        <w:rPr>
          <w:sz w:val="24"/>
        </w:rPr>
        <w:t>indicadores</w:t>
      </w:r>
      <w:r w:rsidR="00670182" w:rsidRPr="00FE0175">
        <w:rPr>
          <w:sz w:val="24"/>
        </w:rPr>
        <w:t xml:space="preserve"> </w:t>
      </w:r>
      <w:r w:rsidR="00773573" w:rsidRPr="00FE0175">
        <w:rPr>
          <w:sz w:val="24"/>
        </w:rPr>
        <w:t>de</w:t>
      </w:r>
      <w:r w:rsidR="00670182" w:rsidRPr="00FE0175">
        <w:rPr>
          <w:sz w:val="24"/>
        </w:rPr>
        <w:t xml:space="preserve"> </w:t>
      </w:r>
      <w:r w:rsidR="00127148" w:rsidRPr="00FE0175">
        <w:rPr>
          <w:b/>
          <w:bCs/>
          <w:sz w:val="24"/>
        </w:rPr>
        <w:t xml:space="preserve">Citas </w:t>
      </w:r>
      <w:r>
        <w:rPr>
          <w:sz w:val="24"/>
        </w:rPr>
        <w:t>por 3.5</w:t>
      </w:r>
      <w:r w:rsidR="00670182" w:rsidRPr="00FE0175">
        <w:rPr>
          <w:sz w:val="24"/>
        </w:rPr>
        <w:t xml:space="preserve"> </w:t>
      </w:r>
      <w:r w:rsidR="00773573" w:rsidRPr="00FE0175">
        <w:rPr>
          <w:sz w:val="24"/>
        </w:rPr>
        <w:t>puntos,</w:t>
      </w:r>
      <w:r w:rsidR="00670182" w:rsidRPr="00FE0175">
        <w:rPr>
          <w:sz w:val="24"/>
        </w:rPr>
        <w:t xml:space="preserve"> </w:t>
      </w:r>
      <w:r w:rsidR="00127148" w:rsidRPr="00FE0175">
        <w:rPr>
          <w:b/>
          <w:bCs/>
          <w:sz w:val="24"/>
        </w:rPr>
        <w:t xml:space="preserve">Docencia </w:t>
      </w:r>
      <w:r>
        <w:rPr>
          <w:sz w:val="24"/>
        </w:rPr>
        <w:t xml:space="preserve">por 0.8 </w:t>
      </w:r>
      <w:r w:rsidR="00127148" w:rsidRPr="00FE0175">
        <w:rPr>
          <w:sz w:val="24"/>
        </w:rPr>
        <w:t xml:space="preserve">puntos, </w:t>
      </w:r>
      <w:r w:rsidR="00773573" w:rsidRPr="00FE0175">
        <w:rPr>
          <w:sz w:val="24"/>
        </w:rPr>
        <w:t>y</w:t>
      </w:r>
      <w:r w:rsidR="00670182" w:rsidRPr="00FE0175">
        <w:rPr>
          <w:sz w:val="24"/>
        </w:rPr>
        <w:t xml:space="preserve"> </w:t>
      </w:r>
      <w:r w:rsidR="00773573" w:rsidRPr="00FE0175">
        <w:rPr>
          <w:sz w:val="24"/>
        </w:rPr>
        <w:t>en</w:t>
      </w:r>
      <w:r w:rsidR="00670182" w:rsidRPr="00FE0175">
        <w:rPr>
          <w:sz w:val="24"/>
        </w:rPr>
        <w:t xml:space="preserve"> </w:t>
      </w:r>
      <w:r w:rsidR="00127148" w:rsidRPr="00FE0175">
        <w:rPr>
          <w:b/>
          <w:bCs/>
          <w:sz w:val="24"/>
        </w:rPr>
        <w:t xml:space="preserve">Perspectiva Internacional </w:t>
      </w:r>
      <w:r>
        <w:rPr>
          <w:sz w:val="24"/>
        </w:rPr>
        <w:t>por 0.5</w:t>
      </w:r>
      <w:r w:rsidR="00127148" w:rsidRPr="00FE0175">
        <w:rPr>
          <w:sz w:val="24"/>
        </w:rPr>
        <w:t xml:space="preserve"> puntos.</w:t>
      </w:r>
    </w:p>
    <w:p w14:paraId="0326C9A2" w14:textId="77777777" w:rsidR="00773573" w:rsidRPr="00FE0175" w:rsidRDefault="00773573" w:rsidP="00773573">
      <w:pPr>
        <w:pStyle w:val="Prrafodelista"/>
        <w:rPr>
          <w:rFonts w:cstheme="minorHAnsi"/>
          <w:sz w:val="24"/>
        </w:rPr>
      </w:pPr>
    </w:p>
    <w:p w14:paraId="56F64616" w14:textId="0B19C09F" w:rsidR="00127148" w:rsidRPr="00FE0175" w:rsidRDefault="005C28E3" w:rsidP="00B86A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Finalmente, </w:t>
      </w:r>
      <w:bookmarkEnd w:id="2"/>
      <w:r w:rsidR="00773573" w:rsidRPr="00FE0175">
        <w:rPr>
          <w:rFonts w:cstheme="minorHAnsi"/>
          <w:sz w:val="24"/>
          <w:szCs w:val="24"/>
        </w:rPr>
        <w:t>se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773573" w:rsidRPr="00FE0175">
        <w:rPr>
          <w:rFonts w:cstheme="minorHAnsi"/>
          <w:sz w:val="24"/>
          <w:szCs w:val="24"/>
        </w:rPr>
        <w:t>presentó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773573" w:rsidRPr="00FE0175">
        <w:rPr>
          <w:rFonts w:cstheme="minorHAnsi"/>
          <w:sz w:val="24"/>
          <w:szCs w:val="24"/>
        </w:rPr>
        <w:t>un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773573" w:rsidRPr="00FE0175">
        <w:rPr>
          <w:rFonts w:cstheme="minorHAnsi"/>
          <w:sz w:val="24"/>
          <w:szCs w:val="24"/>
        </w:rPr>
        <w:t>decremento</w:t>
      </w:r>
      <w:r w:rsidR="00670182" w:rsidRPr="00FE0175">
        <w:rPr>
          <w:rFonts w:cstheme="minorHAnsi"/>
          <w:sz w:val="24"/>
          <w:szCs w:val="24"/>
        </w:rPr>
        <w:t xml:space="preserve"> </w:t>
      </w:r>
      <w:r w:rsidR="00127148" w:rsidRPr="00FE0175">
        <w:rPr>
          <w:sz w:val="24"/>
          <w:szCs w:val="24"/>
        </w:rPr>
        <w:t xml:space="preserve">de 4.8 puntos en </w:t>
      </w:r>
      <w:r w:rsidR="00127148" w:rsidRPr="00FE0175">
        <w:rPr>
          <w:b/>
          <w:bCs/>
          <w:sz w:val="24"/>
          <w:szCs w:val="24"/>
        </w:rPr>
        <w:t>Investigación</w:t>
      </w:r>
      <w:r w:rsidR="00127148" w:rsidRPr="00FE0175">
        <w:rPr>
          <w:sz w:val="24"/>
          <w:szCs w:val="24"/>
        </w:rPr>
        <w:t xml:space="preserve">, y de 1 punto en </w:t>
      </w:r>
      <w:r w:rsidR="00127148" w:rsidRPr="00FE0175">
        <w:rPr>
          <w:b/>
          <w:bCs/>
          <w:sz w:val="24"/>
          <w:szCs w:val="24"/>
        </w:rPr>
        <w:t>Financiamiento de la Industria</w:t>
      </w:r>
      <w:r w:rsidR="00DE3136" w:rsidRPr="00FE0175">
        <w:rPr>
          <w:b/>
          <w:bCs/>
          <w:sz w:val="24"/>
          <w:szCs w:val="24"/>
        </w:rPr>
        <w:t>.</w:t>
      </w:r>
      <w:bookmarkEnd w:id="0"/>
    </w:p>
    <w:sectPr w:rsidR="00127148" w:rsidRPr="00FE017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DB6B" w14:textId="77777777" w:rsidR="00E41953" w:rsidRDefault="00E41953" w:rsidP="00C41170">
      <w:pPr>
        <w:spacing w:after="0" w:line="240" w:lineRule="auto"/>
      </w:pPr>
      <w:r>
        <w:separator/>
      </w:r>
    </w:p>
  </w:endnote>
  <w:endnote w:type="continuationSeparator" w:id="0">
    <w:p w14:paraId="4F2EFF5F" w14:textId="77777777" w:rsidR="00E41953" w:rsidRDefault="00E41953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EndPr/>
    <w:sdtContent>
      <w:p w14:paraId="10664E55" w14:textId="7EDB3E69" w:rsidR="003E314C" w:rsidRDefault="003E31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EC" w:rsidRPr="00CA62EC">
          <w:rPr>
            <w:noProof/>
            <w:lang w:val="es-ES"/>
          </w:rPr>
          <w:t>6</w:t>
        </w:r>
        <w:r>
          <w:fldChar w:fldCharType="end"/>
        </w:r>
      </w:p>
    </w:sdtContent>
  </w:sdt>
  <w:p w14:paraId="617AEB67" w14:textId="77777777" w:rsidR="003E314C" w:rsidRDefault="003E3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6AB9" w14:textId="77777777" w:rsidR="00E41953" w:rsidRDefault="00E41953" w:rsidP="00C41170">
      <w:pPr>
        <w:spacing w:after="0" w:line="240" w:lineRule="auto"/>
      </w:pPr>
      <w:r>
        <w:separator/>
      </w:r>
    </w:p>
  </w:footnote>
  <w:footnote w:type="continuationSeparator" w:id="0">
    <w:p w14:paraId="73CC9810" w14:textId="77777777" w:rsidR="00E41953" w:rsidRDefault="00E41953" w:rsidP="00C41170">
      <w:pPr>
        <w:spacing w:after="0" w:line="240" w:lineRule="auto"/>
      </w:pPr>
      <w:r>
        <w:continuationSeparator/>
      </w:r>
    </w:p>
  </w:footnote>
  <w:footnote w:id="1">
    <w:p w14:paraId="08E502DF" w14:textId="77777777" w:rsidR="00D7452D" w:rsidRPr="00FF282E" w:rsidRDefault="00D7452D" w:rsidP="00D7452D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“Datos y Cifras” </w:t>
      </w:r>
      <w:r w:rsidRPr="00FF282E">
        <w:rPr>
          <w:sz w:val="16"/>
        </w:rPr>
        <w:t xml:space="preserve">del ITESM en </w:t>
      </w:r>
      <w:r>
        <w:rPr>
          <w:sz w:val="16"/>
        </w:rPr>
        <w:t xml:space="preserve"> disponible en: </w:t>
      </w:r>
      <w:hyperlink r:id="rId1" w:history="1">
        <w:r w:rsidRPr="00A62730">
          <w:rPr>
            <w:rStyle w:val="Hipervnculo"/>
            <w:sz w:val="16"/>
          </w:rPr>
          <w:t>https://tec.mx/es/diferencia-tec/numeralia/datos-y-cifras</w:t>
        </w:r>
      </w:hyperlink>
      <w:r>
        <w:rPr>
          <w:sz w:val="16"/>
        </w:rPr>
        <w:t xml:space="preserve"> </w:t>
      </w:r>
    </w:p>
  </w:footnote>
  <w:footnote w:id="2">
    <w:p w14:paraId="1AF507C0" w14:textId="11DCBD89" w:rsidR="00057906" w:rsidRDefault="000579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color w:val="222222"/>
          <w:sz w:val="14"/>
          <w:szCs w:val="14"/>
          <w:shd w:val="clear" w:color="auto" w:fill="FFFFFF"/>
        </w:rPr>
        <w:t>   </w:t>
      </w:r>
      <w:r w:rsidRPr="00057906">
        <w:rPr>
          <w:shd w:val="clear" w:color="auto" w:fill="FFFFFF"/>
        </w:rPr>
        <w:t xml:space="preserve">Véase </w:t>
      </w:r>
      <w:hyperlink r:id="rId2" w:history="1">
        <w:r w:rsidRPr="00057906">
          <w:rPr>
            <w:rStyle w:val="Hipervnculo"/>
            <w:rFonts w:ascii="Calibri" w:hAnsi="Calibri" w:cs="Calibri"/>
            <w:color w:val="auto"/>
            <w:u w:val="none"/>
            <w:shd w:val="clear" w:color="auto" w:fill="FFFFFF"/>
          </w:rPr>
          <w:t>https://www.timeshighereducation.com/world-university-rankings/latin-america-university-rankings-2021-methodology</w:t>
        </w:r>
      </w:hyperlink>
      <w:r>
        <w:rPr>
          <w:rFonts w:ascii="Calibri" w:hAnsi="Calibri" w:cs="Calibr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54"/>
    <w:multiLevelType w:val="hybridMultilevel"/>
    <w:tmpl w:val="EEEA0D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582B"/>
    <w:multiLevelType w:val="hybridMultilevel"/>
    <w:tmpl w:val="85A21C9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94E26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50D"/>
    <w:multiLevelType w:val="hybridMultilevel"/>
    <w:tmpl w:val="141A6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7477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68C0"/>
    <w:multiLevelType w:val="hybridMultilevel"/>
    <w:tmpl w:val="B15A4BC8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6C0"/>
    <w:multiLevelType w:val="hybridMultilevel"/>
    <w:tmpl w:val="DF58E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3716A"/>
    <w:multiLevelType w:val="hybridMultilevel"/>
    <w:tmpl w:val="9A263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4BB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E9550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5E4B45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14BC"/>
    <w:multiLevelType w:val="hybridMultilevel"/>
    <w:tmpl w:val="8C3E9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7276"/>
    <w:multiLevelType w:val="hybridMultilevel"/>
    <w:tmpl w:val="BB568C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2563A5"/>
    <w:multiLevelType w:val="hybridMultilevel"/>
    <w:tmpl w:val="D5BAE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BE0727"/>
    <w:multiLevelType w:val="hybridMultilevel"/>
    <w:tmpl w:val="101C4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CC752E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626C"/>
    <w:multiLevelType w:val="hybridMultilevel"/>
    <w:tmpl w:val="0E623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47195F"/>
    <w:multiLevelType w:val="hybridMultilevel"/>
    <w:tmpl w:val="18F26F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09B5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16BA"/>
    <w:multiLevelType w:val="hybridMultilevel"/>
    <w:tmpl w:val="2DC40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308BC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B06B06"/>
    <w:multiLevelType w:val="hybridMultilevel"/>
    <w:tmpl w:val="BFE8A868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B55"/>
    <w:multiLevelType w:val="hybridMultilevel"/>
    <w:tmpl w:val="2BEC40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F75EBE"/>
    <w:multiLevelType w:val="hybridMultilevel"/>
    <w:tmpl w:val="E3B2B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11AD3"/>
    <w:multiLevelType w:val="hybridMultilevel"/>
    <w:tmpl w:val="F710D7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66A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7F6A"/>
    <w:multiLevelType w:val="hybridMultilevel"/>
    <w:tmpl w:val="E6308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2499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63FF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2"/>
  </w:num>
  <w:num w:numId="4">
    <w:abstractNumId w:val="21"/>
  </w:num>
  <w:num w:numId="5">
    <w:abstractNumId w:val="19"/>
  </w:num>
  <w:num w:numId="6">
    <w:abstractNumId w:val="3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"/>
  </w:num>
  <w:num w:numId="10">
    <w:abstractNumId w:val="13"/>
  </w:num>
  <w:num w:numId="11">
    <w:abstractNumId w:val="37"/>
  </w:num>
  <w:num w:numId="12">
    <w:abstractNumId w:val="25"/>
  </w:num>
  <w:num w:numId="13">
    <w:abstractNumId w:val="16"/>
  </w:num>
  <w:num w:numId="14">
    <w:abstractNumId w:val="22"/>
  </w:num>
  <w:num w:numId="15">
    <w:abstractNumId w:val="30"/>
  </w:num>
  <w:num w:numId="16">
    <w:abstractNumId w:val="31"/>
  </w:num>
  <w:num w:numId="17">
    <w:abstractNumId w:val="2"/>
  </w:num>
  <w:num w:numId="18">
    <w:abstractNumId w:val="39"/>
  </w:num>
  <w:num w:numId="19">
    <w:abstractNumId w:val="15"/>
  </w:num>
  <w:num w:numId="20">
    <w:abstractNumId w:val="27"/>
  </w:num>
  <w:num w:numId="21">
    <w:abstractNumId w:val="0"/>
  </w:num>
  <w:num w:numId="22">
    <w:abstractNumId w:val="20"/>
  </w:num>
  <w:num w:numId="23">
    <w:abstractNumId w:val="1"/>
  </w:num>
  <w:num w:numId="24">
    <w:abstractNumId w:val="26"/>
  </w:num>
  <w:num w:numId="25">
    <w:abstractNumId w:val="4"/>
  </w:num>
  <w:num w:numId="26">
    <w:abstractNumId w:val="17"/>
  </w:num>
  <w:num w:numId="27">
    <w:abstractNumId w:val="36"/>
  </w:num>
  <w:num w:numId="28">
    <w:abstractNumId w:val="10"/>
  </w:num>
  <w:num w:numId="29">
    <w:abstractNumId w:val="14"/>
  </w:num>
  <w:num w:numId="30">
    <w:abstractNumId w:val="23"/>
  </w:num>
  <w:num w:numId="31">
    <w:abstractNumId w:val="7"/>
  </w:num>
  <w:num w:numId="32">
    <w:abstractNumId w:val="5"/>
  </w:num>
  <w:num w:numId="33">
    <w:abstractNumId w:val="28"/>
  </w:num>
  <w:num w:numId="34">
    <w:abstractNumId w:val="24"/>
  </w:num>
  <w:num w:numId="35">
    <w:abstractNumId w:val="3"/>
  </w:num>
  <w:num w:numId="36">
    <w:abstractNumId w:val="18"/>
  </w:num>
  <w:num w:numId="37">
    <w:abstractNumId w:val="29"/>
  </w:num>
  <w:num w:numId="38">
    <w:abstractNumId w:val="6"/>
  </w:num>
  <w:num w:numId="39">
    <w:abstractNumId w:val="35"/>
  </w:num>
  <w:num w:numId="40">
    <w:abstractNumId w:val="34"/>
  </w:num>
  <w:num w:numId="41">
    <w:abstractNumId w:val="9"/>
  </w:num>
  <w:num w:numId="42">
    <w:abstractNumId w:val="4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31D"/>
    <w:rsid w:val="00002113"/>
    <w:rsid w:val="00002ACD"/>
    <w:rsid w:val="00004230"/>
    <w:rsid w:val="00004E64"/>
    <w:rsid w:val="000067A0"/>
    <w:rsid w:val="00012F03"/>
    <w:rsid w:val="0001470E"/>
    <w:rsid w:val="0001525B"/>
    <w:rsid w:val="00015D20"/>
    <w:rsid w:val="0001703A"/>
    <w:rsid w:val="00017FB2"/>
    <w:rsid w:val="0002034B"/>
    <w:rsid w:val="0002187F"/>
    <w:rsid w:val="00023B74"/>
    <w:rsid w:val="00026805"/>
    <w:rsid w:val="0003232C"/>
    <w:rsid w:val="00034700"/>
    <w:rsid w:val="00035DE6"/>
    <w:rsid w:val="0004030C"/>
    <w:rsid w:val="00044797"/>
    <w:rsid w:val="00045865"/>
    <w:rsid w:val="00046788"/>
    <w:rsid w:val="000473B6"/>
    <w:rsid w:val="000474A6"/>
    <w:rsid w:val="00057906"/>
    <w:rsid w:val="00060114"/>
    <w:rsid w:val="00071BB5"/>
    <w:rsid w:val="00072632"/>
    <w:rsid w:val="00072ABC"/>
    <w:rsid w:val="0007480F"/>
    <w:rsid w:val="00074E86"/>
    <w:rsid w:val="00075A4F"/>
    <w:rsid w:val="00082B77"/>
    <w:rsid w:val="00085BF4"/>
    <w:rsid w:val="00086391"/>
    <w:rsid w:val="00091807"/>
    <w:rsid w:val="00094CC2"/>
    <w:rsid w:val="00095E29"/>
    <w:rsid w:val="000A62C9"/>
    <w:rsid w:val="000B16D8"/>
    <w:rsid w:val="000B2479"/>
    <w:rsid w:val="000B3CEF"/>
    <w:rsid w:val="000B449C"/>
    <w:rsid w:val="000B4DC5"/>
    <w:rsid w:val="000B7132"/>
    <w:rsid w:val="000B7851"/>
    <w:rsid w:val="000C31AF"/>
    <w:rsid w:val="000C31EF"/>
    <w:rsid w:val="000C372D"/>
    <w:rsid w:val="000C39A8"/>
    <w:rsid w:val="000C3D13"/>
    <w:rsid w:val="000C6A1B"/>
    <w:rsid w:val="000D0015"/>
    <w:rsid w:val="000D3A90"/>
    <w:rsid w:val="000E06F7"/>
    <w:rsid w:val="000E3D1A"/>
    <w:rsid w:val="000E4209"/>
    <w:rsid w:val="000E5282"/>
    <w:rsid w:val="000E7484"/>
    <w:rsid w:val="000F375D"/>
    <w:rsid w:val="000F3986"/>
    <w:rsid w:val="000F3B73"/>
    <w:rsid w:val="000F4CD8"/>
    <w:rsid w:val="000F6C59"/>
    <w:rsid w:val="00101278"/>
    <w:rsid w:val="001114B1"/>
    <w:rsid w:val="001117A2"/>
    <w:rsid w:val="001123A3"/>
    <w:rsid w:val="00115F64"/>
    <w:rsid w:val="00116071"/>
    <w:rsid w:val="00116660"/>
    <w:rsid w:val="00117E01"/>
    <w:rsid w:val="00120F8F"/>
    <w:rsid w:val="001217F8"/>
    <w:rsid w:val="00121CF4"/>
    <w:rsid w:val="00121ECB"/>
    <w:rsid w:val="00122C34"/>
    <w:rsid w:val="001265D0"/>
    <w:rsid w:val="00127148"/>
    <w:rsid w:val="001329FA"/>
    <w:rsid w:val="00135B1D"/>
    <w:rsid w:val="00143F7E"/>
    <w:rsid w:val="0014458B"/>
    <w:rsid w:val="00146B2D"/>
    <w:rsid w:val="0014790D"/>
    <w:rsid w:val="001511A2"/>
    <w:rsid w:val="001535EA"/>
    <w:rsid w:val="00155A81"/>
    <w:rsid w:val="00162FFD"/>
    <w:rsid w:val="001657A8"/>
    <w:rsid w:val="00165A69"/>
    <w:rsid w:val="00171B01"/>
    <w:rsid w:val="0017347C"/>
    <w:rsid w:val="00174649"/>
    <w:rsid w:val="0017723B"/>
    <w:rsid w:val="001775AD"/>
    <w:rsid w:val="001804DB"/>
    <w:rsid w:val="001851A0"/>
    <w:rsid w:val="001863AC"/>
    <w:rsid w:val="0018722F"/>
    <w:rsid w:val="0019108C"/>
    <w:rsid w:val="00191C7B"/>
    <w:rsid w:val="00193412"/>
    <w:rsid w:val="00193DF7"/>
    <w:rsid w:val="001946B8"/>
    <w:rsid w:val="00197D17"/>
    <w:rsid w:val="001A0EF5"/>
    <w:rsid w:val="001A286B"/>
    <w:rsid w:val="001A3875"/>
    <w:rsid w:val="001A6B42"/>
    <w:rsid w:val="001B0A9B"/>
    <w:rsid w:val="001B1B9A"/>
    <w:rsid w:val="001B2117"/>
    <w:rsid w:val="001B34B1"/>
    <w:rsid w:val="001B4439"/>
    <w:rsid w:val="001B70F9"/>
    <w:rsid w:val="001C3AD0"/>
    <w:rsid w:val="001C74C7"/>
    <w:rsid w:val="001C75B8"/>
    <w:rsid w:val="001D0ADE"/>
    <w:rsid w:val="001D1087"/>
    <w:rsid w:val="001D1F74"/>
    <w:rsid w:val="001D5EBD"/>
    <w:rsid w:val="001E7717"/>
    <w:rsid w:val="001F34B2"/>
    <w:rsid w:val="001F40CD"/>
    <w:rsid w:val="001F507B"/>
    <w:rsid w:val="00200345"/>
    <w:rsid w:val="00200691"/>
    <w:rsid w:val="0020072D"/>
    <w:rsid w:val="00202ADD"/>
    <w:rsid w:val="0020439F"/>
    <w:rsid w:val="00207527"/>
    <w:rsid w:val="00223B0D"/>
    <w:rsid w:val="002245E8"/>
    <w:rsid w:val="00225830"/>
    <w:rsid w:val="00225EE8"/>
    <w:rsid w:val="002269EB"/>
    <w:rsid w:val="002322D6"/>
    <w:rsid w:val="00232FC6"/>
    <w:rsid w:val="0023315E"/>
    <w:rsid w:val="00234D0C"/>
    <w:rsid w:val="00242112"/>
    <w:rsid w:val="00245DE0"/>
    <w:rsid w:val="002473DE"/>
    <w:rsid w:val="00252A66"/>
    <w:rsid w:val="00253C38"/>
    <w:rsid w:val="0025731B"/>
    <w:rsid w:val="002610F1"/>
    <w:rsid w:val="00263540"/>
    <w:rsid w:val="00265B43"/>
    <w:rsid w:val="002672E8"/>
    <w:rsid w:val="00270191"/>
    <w:rsid w:val="00272C86"/>
    <w:rsid w:val="002739B6"/>
    <w:rsid w:val="00273E7D"/>
    <w:rsid w:val="00277B99"/>
    <w:rsid w:val="00281678"/>
    <w:rsid w:val="00281A3D"/>
    <w:rsid w:val="00281B2F"/>
    <w:rsid w:val="00282541"/>
    <w:rsid w:val="0028413D"/>
    <w:rsid w:val="00286835"/>
    <w:rsid w:val="00287D4C"/>
    <w:rsid w:val="00290141"/>
    <w:rsid w:val="00291132"/>
    <w:rsid w:val="002920DE"/>
    <w:rsid w:val="00292541"/>
    <w:rsid w:val="00292654"/>
    <w:rsid w:val="00293594"/>
    <w:rsid w:val="002938AF"/>
    <w:rsid w:val="002A5717"/>
    <w:rsid w:val="002A7AD8"/>
    <w:rsid w:val="002B0754"/>
    <w:rsid w:val="002B25F8"/>
    <w:rsid w:val="002B5EC7"/>
    <w:rsid w:val="002B705F"/>
    <w:rsid w:val="002B7862"/>
    <w:rsid w:val="002C2928"/>
    <w:rsid w:val="002D0275"/>
    <w:rsid w:val="002D2258"/>
    <w:rsid w:val="002D3F2A"/>
    <w:rsid w:val="002E2D38"/>
    <w:rsid w:val="002E342B"/>
    <w:rsid w:val="002E496D"/>
    <w:rsid w:val="002E6D57"/>
    <w:rsid w:val="002F1389"/>
    <w:rsid w:val="002F3196"/>
    <w:rsid w:val="002F3F20"/>
    <w:rsid w:val="002F62AE"/>
    <w:rsid w:val="00301E84"/>
    <w:rsid w:val="00301FE5"/>
    <w:rsid w:val="00301FFD"/>
    <w:rsid w:val="003043A7"/>
    <w:rsid w:val="00306D26"/>
    <w:rsid w:val="003122AA"/>
    <w:rsid w:val="00312F00"/>
    <w:rsid w:val="003134D3"/>
    <w:rsid w:val="0031474A"/>
    <w:rsid w:val="00315771"/>
    <w:rsid w:val="003201C2"/>
    <w:rsid w:val="00320A0B"/>
    <w:rsid w:val="00321E7F"/>
    <w:rsid w:val="00324AC0"/>
    <w:rsid w:val="0032598E"/>
    <w:rsid w:val="00334C20"/>
    <w:rsid w:val="00344794"/>
    <w:rsid w:val="00345304"/>
    <w:rsid w:val="00347452"/>
    <w:rsid w:val="0035047A"/>
    <w:rsid w:val="0035180A"/>
    <w:rsid w:val="00354E9F"/>
    <w:rsid w:val="0035536B"/>
    <w:rsid w:val="00366D9A"/>
    <w:rsid w:val="00371063"/>
    <w:rsid w:val="00371869"/>
    <w:rsid w:val="00372E98"/>
    <w:rsid w:val="00382B0F"/>
    <w:rsid w:val="00384A5E"/>
    <w:rsid w:val="0038779F"/>
    <w:rsid w:val="003902D4"/>
    <w:rsid w:val="00391360"/>
    <w:rsid w:val="00392FEF"/>
    <w:rsid w:val="0039355A"/>
    <w:rsid w:val="00394F48"/>
    <w:rsid w:val="003B4449"/>
    <w:rsid w:val="003B590D"/>
    <w:rsid w:val="003B74C3"/>
    <w:rsid w:val="003B7688"/>
    <w:rsid w:val="003B7FD3"/>
    <w:rsid w:val="003C078B"/>
    <w:rsid w:val="003C102E"/>
    <w:rsid w:val="003C1AB5"/>
    <w:rsid w:val="003C30FD"/>
    <w:rsid w:val="003C65B5"/>
    <w:rsid w:val="003C71DE"/>
    <w:rsid w:val="003C7E5F"/>
    <w:rsid w:val="003D6998"/>
    <w:rsid w:val="003E16DB"/>
    <w:rsid w:val="003E1861"/>
    <w:rsid w:val="003E2616"/>
    <w:rsid w:val="003E314C"/>
    <w:rsid w:val="003E3623"/>
    <w:rsid w:val="003E470C"/>
    <w:rsid w:val="003F1792"/>
    <w:rsid w:val="003F4203"/>
    <w:rsid w:val="003F49B2"/>
    <w:rsid w:val="003F4C3E"/>
    <w:rsid w:val="003F6DF0"/>
    <w:rsid w:val="003F7797"/>
    <w:rsid w:val="00400839"/>
    <w:rsid w:val="00400C3E"/>
    <w:rsid w:val="004052AE"/>
    <w:rsid w:val="00406263"/>
    <w:rsid w:val="00407940"/>
    <w:rsid w:val="00415337"/>
    <w:rsid w:val="00420882"/>
    <w:rsid w:val="00426AF8"/>
    <w:rsid w:val="004310E8"/>
    <w:rsid w:val="004310EB"/>
    <w:rsid w:val="004311C8"/>
    <w:rsid w:val="00431299"/>
    <w:rsid w:val="00432378"/>
    <w:rsid w:val="00432C79"/>
    <w:rsid w:val="004333C9"/>
    <w:rsid w:val="004374A9"/>
    <w:rsid w:val="0044137E"/>
    <w:rsid w:val="004428C5"/>
    <w:rsid w:val="00450055"/>
    <w:rsid w:val="00450CB1"/>
    <w:rsid w:val="0045419E"/>
    <w:rsid w:val="00457D71"/>
    <w:rsid w:val="00463BD9"/>
    <w:rsid w:val="00467C29"/>
    <w:rsid w:val="00477856"/>
    <w:rsid w:val="00482B83"/>
    <w:rsid w:val="00483093"/>
    <w:rsid w:val="004961C3"/>
    <w:rsid w:val="00497C92"/>
    <w:rsid w:val="004A0BCC"/>
    <w:rsid w:val="004A5A43"/>
    <w:rsid w:val="004A5CDA"/>
    <w:rsid w:val="004A6033"/>
    <w:rsid w:val="004B11C6"/>
    <w:rsid w:val="004B2F9E"/>
    <w:rsid w:val="004B3780"/>
    <w:rsid w:val="004B3915"/>
    <w:rsid w:val="004B39A7"/>
    <w:rsid w:val="004B4A0F"/>
    <w:rsid w:val="004B4DB7"/>
    <w:rsid w:val="004B6042"/>
    <w:rsid w:val="004B69E7"/>
    <w:rsid w:val="004C0215"/>
    <w:rsid w:val="004C20DB"/>
    <w:rsid w:val="004C3B99"/>
    <w:rsid w:val="004C4F5D"/>
    <w:rsid w:val="004C5FAD"/>
    <w:rsid w:val="004D2F63"/>
    <w:rsid w:val="004D5701"/>
    <w:rsid w:val="004D58FA"/>
    <w:rsid w:val="004D5DD1"/>
    <w:rsid w:val="004D6821"/>
    <w:rsid w:val="004D7EF7"/>
    <w:rsid w:val="004E217A"/>
    <w:rsid w:val="004E3131"/>
    <w:rsid w:val="004F61D3"/>
    <w:rsid w:val="004F6889"/>
    <w:rsid w:val="004F77E9"/>
    <w:rsid w:val="005001B4"/>
    <w:rsid w:val="00500D67"/>
    <w:rsid w:val="00500E92"/>
    <w:rsid w:val="00501E62"/>
    <w:rsid w:val="0050401D"/>
    <w:rsid w:val="00511AB0"/>
    <w:rsid w:val="00512265"/>
    <w:rsid w:val="00513426"/>
    <w:rsid w:val="0051419C"/>
    <w:rsid w:val="00516B87"/>
    <w:rsid w:val="0052065E"/>
    <w:rsid w:val="00522580"/>
    <w:rsid w:val="00524492"/>
    <w:rsid w:val="00527879"/>
    <w:rsid w:val="005311C2"/>
    <w:rsid w:val="00532C7D"/>
    <w:rsid w:val="005427A3"/>
    <w:rsid w:val="0054305B"/>
    <w:rsid w:val="00545769"/>
    <w:rsid w:val="00545B19"/>
    <w:rsid w:val="00553290"/>
    <w:rsid w:val="00555FF3"/>
    <w:rsid w:val="00556DD6"/>
    <w:rsid w:val="00561292"/>
    <w:rsid w:val="005612C8"/>
    <w:rsid w:val="00573E61"/>
    <w:rsid w:val="005743D4"/>
    <w:rsid w:val="00575789"/>
    <w:rsid w:val="00581873"/>
    <w:rsid w:val="00581ADF"/>
    <w:rsid w:val="00582129"/>
    <w:rsid w:val="00584657"/>
    <w:rsid w:val="005929C7"/>
    <w:rsid w:val="005A042B"/>
    <w:rsid w:val="005A3267"/>
    <w:rsid w:val="005A4AEB"/>
    <w:rsid w:val="005A76B3"/>
    <w:rsid w:val="005A77AE"/>
    <w:rsid w:val="005B17B8"/>
    <w:rsid w:val="005B1ECF"/>
    <w:rsid w:val="005B2F14"/>
    <w:rsid w:val="005B4127"/>
    <w:rsid w:val="005B5D10"/>
    <w:rsid w:val="005B79EA"/>
    <w:rsid w:val="005C104C"/>
    <w:rsid w:val="005C28E3"/>
    <w:rsid w:val="005C563E"/>
    <w:rsid w:val="005C7307"/>
    <w:rsid w:val="005C7EBD"/>
    <w:rsid w:val="005D05CC"/>
    <w:rsid w:val="005D07B4"/>
    <w:rsid w:val="005D2516"/>
    <w:rsid w:val="005D3E9C"/>
    <w:rsid w:val="005E02C6"/>
    <w:rsid w:val="005E33A5"/>
    <w:rsid w:val="005E3DC0"/>
    <w:rsid w:val="005F2DE0"/>
    <w:rsid w:val="00601FD7"/>
    <w:rsid w:val="0060365B"/>
    <w:rsid w:val="00605CAB"/>
    <w:rsid w:val="00614967"/>
    <w:rsid w:val="00615063"/>
    <w:rsid w:val="00616244"/>
    <w:rsid w:val="0062254D"/>
    <w:rsid w:val="006255F9"/>
    <w:rsid w:val="00632799"/>
    <w:rsid w:val="0063388D"/>
    <w:rsid w:val="0063408E"/>
    <w:rsid w:val="00634146"/>
    <w:rsid w:val="00634D27"/>
    <w:rsid w:val="006355D9"/>
    <w:rsid w:val="006367D4"/>
    <w:rsid w:val="006431D1"/>
    <w:rsid w:val="006476FA"/>
    <w:rsid w:val="00647C0A"/>
    <w:rsid w:val="00651F04"/>
    <w:rsid w:val="00652FD6"/>
    <w:rsid w:val="00656FE6"/>
    <w:rsid w:val="006579F6"/>
    <w:rsid w:val="00660B30"/>
    <w:rsid w:val="00665B81"/>
    <w:rsid w:val="00665F68"/>
    <w:rsid w:val="00667012"/>
    <w:rsid w:val="00670182"/>
    <w:rsid w:val="00670550"/>
    <w:rsid w:val="0067131A"/>
    <w:rsid w:val="006736A3"/>
    <w:rsid w:val="0067403C"/>
    <w:rsid w:val="0067413B"/>
    <w:rsid w:val="00675AA8"/>
    <w:rsid w:val="00677787"/>
    <w:rsid w:val="00682414"/>
    <w:rsid w:val="00691A7E"/>
    <w:rsid w:val="00693648"/>
    <w:rsid w:val="006973B9"/>
    <w:rsid w:val="00697502"/>
    <w:rsid w:val="006A21AB"/>
    <w:rsid w:val="006A60F4"/>
    <w:rsid w:val="006B05EF"/>
    <w:rsid w:val="006B50E4"/>
    <w:rsid w:val="006B5933"/>
    <w:rsid w:val="006B5FDA"/>
    <w:rsid w:val="006C0144"/>
    <w:rsid w:val="006C06E9"/>
    <w:rsid w:val="006C1C9E"/>
    <w:rsid w:val="006C2137"/>
    <w:rsid w:val="006C6175"/>
    <w:rsid w:val="006C7BE7"/>
    <w:rsid w:val="006D560B"/>
    <w:rsid w:val="006E76F0"/>
    <w:rsid w:val="006F279A"/>
    <w:rsid w:val="006F38DD"/>
    <w:rsid w:val="006F4917"/>
    <w:rsid w:val="006F5E2B"/>
    <w:rsid w:val="006F6181"/>
    <w:rsid w:val="0070094D"/>
    <w:rsid w:val="00700A9C"/>
    <w:rsid w:val="007018B4"/>
    <w:rsid w:val="007027F7"/>
    <w:rsid w:val="00705B3A"/>
    <w:rsid w:val="00705C72"/>
    <w:rsid w:val="00713C97"/>
    <w:rsid w:val="00713FA2"/>
    <w:rsid w:val="0071481D"/>
    <w:rsid w:val="00715C70"/>
    <w:rsid w:val="00716C8C"/>
    <w:rsid w:val="00720A3F"/>
    <w:rsid w:val="00722D0E"/>
    <w:rsid w:val="00723023"/>
    <w:rsid w:val="00732657"/>
    <w:rsid w:val="00733C78"/>
    <w:rsid w:val="007355E8"/>
    <w:rsid w:val="00741F5B"/>
    <w:rsid w:val="00744819"/>
    <w:rsid w:val="00751AC3"/>
    <w:rsid w:val="00753A4F"/>
    <w:rsid w:val="00754BE1"/>
    <w:rsid w:val="007555D3"/>
    <w:rsid w:val="00757641"/>
    <w:rsid w:val="00760838"/>
    <w:rsid w:val="00761BA5"/>
    <w:rsid w:val="00762609"/>
    <w:rsid w:val="00762E0B"/>
    <w:rsid w:val="007661C6"/>
    <w:rsid w:val="00773573"/>
    <w:rsid w:val="00776C1B"/>
    <w:rsid w:val="00777AC2"/>
    <w:rsid w:val="00777F1D"/>
    <w:rsid w:val="00782713"/>
    <w:rsid w:val="00783099"/>
    <w:rsid w:val="00785E55"/>
    <w:rsid w:val="00787432"/>
    <w:rsid w:val="00790351"/>
    <w:rsid w:val="0079092E"/>
    <w:rsid w:val="00795016"/>
    <w:rsid w:val="007962AA"/>
    <w:rsid w:val="00796B30"/>
    <w:rsid w:val="00796D45"/>
    <w:rsid w:val="007A12AC"/>
    <w:rsid w:val="007A3100"/>
    <w:rsid w:val="007A4953"/>
    <w:rsid w:val="007A57B7"/>
    <w:rsid w:val="007A7F23"/>
    <w:rsid w:val="007B11E6"/>
    <w:rsid w:val="007B2B33"/>
    <w:rsid w:val="007B333C"/>
    <w:rsid w:val="007B3BBE"/>
    <w:rsid w:val="007B4D15"/>
    <w:rsid w:val="007B5DBB"/>
    <w:rsid w:val="007B6CDF"/>
    <w:rsid w:val="007C2720"/>
    <w:rsid w:val="007C772B"/>
    <w:rsid w:val="007C7843"/>
    <w:rsid w:val="007D0730"/>
    <w:rsid w:val="007D1382"/>
    <w:rsid w:val="007D1993"/>
    <w:rsid w:val="007D310D"/>
    <w:rsid w:val="007E580C"/>
    <w:rsid w:val="007E67B6"/>
    <w:rsid w:val="007F19EB"/>
    <w:rsid w:val="007F3955"/>
    <w:rsid w:val="007F5C79"/>
    <w:rsid w:val="007F5E77"/>
    <w:rsid w:val="007F72AE"/>
    <w:rsid w:val="007F746F"/>
    <w:rsid w:val="008005A1"/>
    <w:rsid w:val="0080125E"/>
    <w:rsid w:val="0080512B"/>
    <w:rsid w:val="0080779C"/>
    <w:rsid w:val="008079FC"/>
    <w:rsid w:val="00810C8B"/>
    <w:rsid w:val="00813B3E"/>
    <w:rsid w:val="0081644A"/>
    <w:rsid w:val="008171C0"/>
    <w:rsid w:val="0082294F"/>
    <w:rsid w:val="0082369A"/>
    <w:rsid w:val="00824215"/>
    <w:rsid w:val="0082499E"/>
    <w:rsid w:val="00824B9B"/>
    <w:rsid w:val="008269C6"/>
    <w:rsid w:val="00831E0C"/>
    <w:rsid w:val="00833FA0"/>
    <w:rsid w:val="00835B0A"/>
    <w:rsid w:val="00835E92"/>
    <w:rsid w:val="0083640D"/>
    <w:rsid w:val="00844774"/>
    <w:rsid w:val="00846772"/>
    <w:rsid w:val="008505DE"/>
    <w:rsid w:val="00850C9F"/>
    <w:rsid w:val="008554DC"/>
    <w:rsid w:val="00855FA0"/>
    <w:rsid w:val="00860CC5"/>
    <w:rsid w:val="0086322B"/>
    <w:rsid w:val="008678FD"/>
    <w:rsid w:val="008704FC"/>
    <w:rsid w:val="00872E43"/>
    <w:rsid w:val="008752DF"/>
    <w:rsid w:val="00876A66"/>
    <w:rsid w:val="0088091C"/>
    <w:rsid w:val="00884DE7"/>
    <w:rsid w:val="008854CD"/>
    <w:rsid w:val="008908CD"/>
    <w:rsid w:val="00890CC3"/>
    <w:rsid w:val="00894FA0"/>
    <w:rsid w:val="00894FE3"/>
    <w:rsid w:val="008956B4"/>
    <w:rsid w:val="008A09C1"/>
    <w:rsid w:val="008A585E"/>
    <w:rsid w:val="008A680F"/>
    <w:rsid w:val="008B0E66"/>
    <w:rsid w:val="008B1975"/>
    <w:rsid w:val="008B3084"/>
    <w:rsid w:val="008B34F3"/>
    <w:rsid w:val="008B3929"/>
    <w:rsid w:val="008B7192"/>
    <w:rsid w:val="008B71AA"/>
    <w:rsid w:val="008C176E"/>
    <w:rsid w:val="008C21C3"/>
    <w:rsid w:val="008C7CEF"/>
    <w:rsid w:val="008D4D4C"/>
    <w:rsid w:val="008D4F7B"/>
    <w:rsid w:val="008D59B5"/>
    <w:rsid w:val="008D6B60"/>
    <w:rsid w:val="008D74F1"/>
    <w:rsid w:val="008F1248"/>
    <w:rsid w:val="008F2D1A"/>
    <w:rsid w:val="008F37DB"/>
    <w:rsid w:val="009012F2"/>
    <w:rsid w:val="00901CEC"/>
    <w:rsid w:val="00903EBE"/>
    <w:rsid w:val="0090446A"/>
    <w:rsid w:val="00907A01"/>
    <w:rsid w:val="00910E42"/>
    <w:rsid w:val="00911767"/>
    <w:rsid w:val="0091272B"/>
    <w:rsid w:val="009128C0"/>
    <w:rsid w:val="00912ABB"/>
    <w:rsid w:val="0091324E"/>
    <w:rsid w:val="0091369D"/>
    <w:rsid w:val="009140BB"/>
    <w:rsid w:val="009151E1"/>
    <w:rsid w:val="009265F9"/>
    <w:rsid w:val="00926A3E"/>
    <w:rsid w:val="00927179"/>
    <w:rsid w:val="00932183"/>
    <w:rsid w:val="00932B42"/>
    <w:rsid w:val="00934034"/>
    <w:rsid w:val="00934A5B"/>
    <w:rsid w:val="009406C0"/>
    <w:rsid w:val="009450F2"/>
    <w:rsid w:val="009452AD"/>
    <w:rsid w:val="00947D0F"/>
    <w:rsid w:val="00950D2D"/>
    <w:rsid w:val="00954CDE"/>
    <w:rsid w:val="00955161"/>
    <w:rsid w:val="009567A8"/>
    <w:rsid w:val="009636DB"/>
    <w:rsid w:val="00967BA9"/>
    <w:rsid w:val="00972852"/>
    <w:rsid w:val="009734C9"/>
    <w:rsid w:val="00976502"/>
    <w:rsid w:val="0097768D"/>
    <w:rsid w:val="00977E2F"/>
    <w:rsid w:val="00981BE7"/>
    <w:rsid w:val="00981CD5"/>
    <w:rsid w:val="009857C4"/>
    <w:rsid w:val="009862C8"/>
    <w:rsid w:val="00987392"/>
    <w:rsid w:val="00987730"/>
    <w:rsid w:val="00991932"/>
    <w:rsid w:val="0099194A"/>
    <w:rsid w:val="00992F95"/>
    <w:rsid w:val="00994DE8"/>
    <w:rsid w:val="00995A41"/>
    <w:rsid w:val="00997814"/>
    <w:rsid w:val="009A51CF"/>
    <w:rsid w:val="009B2F1D"/>
    <w:rsid w:val="009B4626"/>
    <w:rsid w:val="009C1CBB"/>
    <w:rsid w:val="009C3809"/>
    <w:rsid w:val="009C6F45"/>
    <w:rsid w:val="009D0F5E"/>
    <w:rsid w:val="009D3C4B"/>
    <w:rsid w:val="009D416B"/>
    <w:rsid w:val="009D6A47"/>
    <w:rsid w:val="009D7768"/>
    <w:rsid w:val="009E081E"/>
    <w:rsid w:val="009E1BE1"/>
    <w:rsid w:val="009E4833"/>
    <w:rsid w:val="009E6389"/>
    <w:rsid w:val="009F053F"/>
    <w:rsid w:val="009F2424"/>
    <w:rsid w:val="009F4A57"/>
    <w:rsid w:val="009F4AC5"/>
    <w:rsid w:val="00A00041"/>
    <w:rsid w:val="00A000F1"/>
    <w:rsid w:val="00A01B67"/>
    <w:rsid w:val="00A024AE"/>
    <w:rsid w:val="00A03680"/>
    <w:rsid w:val="00A10D2D"/>
    <w:rsid w:val="00A111D5"/>
    <w:rsid w:val="00A1181B"/>
    <w:rsid w:val="00A13BEF"/>
    <w:rsid w:val="00A1450C"/>
    <w:rsid w:val="00A14B36"/>
    <w:rsid w:val="00A20354"/>
    <w:rsid w:val="00A228DE"/>
    <w:rsid w:val="00A26839"/>
    <w:rsid w:val="00A301BB"/>
    <w:rsid w:val="00A30BCE"/>
    <w:rsid w:val="00A3185D"/>
    <w:rsid w:val="00A320B9"/>
    <w:rsid w:val="00A34D4C"/>
    <w:rsid w:val="00A35C4E"/>
    <w:rsid w:val="00A35ECC"/>
    <w:rsid w:val="00A378D5"/>
    <w:rsid w:val="00A4157F"/>
    <w:rsid w:val="00A44795"/>
    <w:rsid w:val="00A455AC"/>
    <w:rsid w:val="00A45CB2"/>
    <w:rsid w:val="00A5000B"/>
    <w:rsid w:val="00A50AD5"/>
    <w:rsid w:val="00A51A99"/>
    <w:rsid w:val="00A52257"/>
    <w:rsid w:val="00A52A92"/>
    <w:rsid w:val="00A54C28"/>
    <w:rsid w:val="00A55468"/>
    <w:rsid w:val="00A5715F"/>
    <w:rsid w:val="00A57CB7"/>
    <w:rsid w:val="00A61BEC"/>
    <w:rsid w:val="00A62054"/>
    <w:rsid w:val="00A63125"/>
    <w:rsid w:val="00A659D0"/>
    <w:rsid w:val="00A66585"/>
    <w:rsid w:val="00A66A80"/>
    <w:rsid w:val="00A711C4"/>
    <w:rsid w:val="00A718D5"/>
    <w:rsid w:val="00A71A4C"/>
    <w:rsid w:val="00A75082"/>
    <w:rsid w:val="00A8298B"/>
    <w:rsid w:val="00A846CD"/>
    <w:rsid w:val="00A91DBF"/>
    <w:rsid w:val="00A93F50"/>
    <w:rsid w:val="00A94159"/>
    <w:rsid w:val="00A952B2"/>
    <w:rsid w:val="00A96487"/>
    <w:rsid w:val="00A974B9"/>
    <w:rsid w:val="00AA1552"/>
    <w:rsid w:val="00AA48C4"/>
    <w:rsid w:val="00AB0508"/>
    <w:rsid w:val="00AB1258"/>
    <w:rsid w:val="00AB1CF1"/>
    <w:rsid w:val="00AB6846"/>
    <w:rsid w:val="00AB71DD"/>
    <w:rsid w:val="00AB7217"/>
    <w:rsid w:val="00AC3FEF"/>
    <w:rsid w:val="00AC6036"/>
    <w:rsid w:val="00AD28FC"/>
    <w:rsid w:val="00AD5D78"/>
    <w:rsid w:val="00AD5F1B"/>
    <w:rsid w:val="00AE5228"/>
    <w:rsid w:val="00AE69A0"/>
    <w:rsid w:val="00AE6B97"/>
    <w:rsid w:val="00AE7143"/>
    <w:rsid w:val="00AE7B9C"/>
    <w:rsid w:val="00AF0D52"/>
    <w:rsid w:val="00AF10A3"/>
    <w:rsid w:val="00AF1313"/>
    <w:rsid w:val="00AF3EB1"/>
    <w:rsid w:val="00AF4955"/>
    <w:rsid w:val="00AF7885"/>
    <w:rsid w:val="00B00D95"/>
    <w:rsid w:val="00B018C7"/>
    <w:rsid w:val="00B023B9"/>
    <w:rsid w:val="00B10362"/>
    <w:rsid w:val="00B1058D"/>
    <w:rsid w:val="00B10EFD"/>
    <w:rsid w:val="00B14D95"/>
    <w:rsid w:val="00B167FE"/>
    <w:rsid w:val="00B17046"/>
    <w:rsid w:val="00B17A15"/>
    <w:rsid w:val="00B21449"/>
    <w:rsid w:val="00B217F5"/>
    <w:rsid w:val="00B23503"/>
    <w:rsid w:val="00B24B95"/>
    <w:rsid w:val="00B259D0"/>
    <w:rsid w:val="00B2622F"/>
    <w:rsid w:val="00B2718E"/>
    <w:rsid w:val="00B32EDA"/>
    <w:rsid w:val="00B33DF2"/>
    <w:rsid w:val="00B34AF2"/>
    <w:rsid w:val="00B36FBB"/>
    <w:rsid w:val="00B40378"/>
    <w:rsid w:val="00B43519"/>
    <w:rsid w:val="00B45645"/>
    <w:rsid w:val="00B460CE"/>
    <w:rsid w:val="00B53069"/>
    <w:rsid w:val="00B548D0"/>
    <w:rsid w:val="00B57999"/>
    <w:rsid w:val="00B60353"/>
    <w:rsid w:val="00B60C01"/>
    <w:rsid w:val="00B657AE"/>
    <w:rsid w:val="00B65B07"/>
    <w:rsid w:val="00B65D6C"/>
    <w:rsid w:val="00B71F97"/>
    <w:rsid w:val="00B74898"/>
    <w:rsid w:val="00B75C1E"/>
    <w:rsid w:val="00B80F2A"/>
    <w:rsid w:val="00B813A1"/>
    <w:rsid w:val="00B831FB"/>
    <w:rsid w:val="00B83884"/>
    <w:rsid w:val="00B8503F"/>
    <w:rsid w:val="00B9057B"/>
    <w:rsid w:val="00B90C84"/>
    <w:rsid w:val="00B9733D"/>
    <w:rsid w:val="00BA07FC"/>
    <w:rsid w:val="00BA2834"/>
    <w:rsid w:val="00BB2B20"/>
    <w:rsid w:val="00BB33B5"/>
    <w:rsid w:val="00BB3985"/>
    <w:rsid w:val="00BB3A75"/>
    <w:rsid w:val="00BB4B6E"/>
    <w:rsid w:val="00BC443A"/>
    <w:rsid w:val="00BC5866"/>
    <w:rsid w:val="00BC5A1E"/>
    <w:rsid w:val="00BC5BCE"/>
    <w:rsid w:val="00BC5FAF"/>
    <w:rsid w:val="00BC64E4"/>
    <w:rsid w:val="00BD010F"/>
    <w:rsid w:val="00BD0C5C"/>
    <w:rsid w:val="00BE2DB6"/>
    <w:rsid w:val="00BF1FA5"/>
    <w:rsid w:val="00BF68AA"/>
    <w:rsid w:val="00BF7FC2"/>
    <w:rsid w:val="00C003FB"/>
    <w:rsid w:val="00C01794"/>
    <w:rsid w:val="00C01CD7"/>
    <w:rsid w:val="00C06480"/>
    <w:rsid w:val="00C0682B"/>
    <w:rsid w:val="00C0735B"/>
    <w:rsid w:val="00C079F6"/>
    <w:rsid w:val="00C11E4B"/>
    <w:rsid w:val="00C15B56"/>
    <w:rsid w:val="00C15F4F"/>
    <w:rsid w:val="00C267B7"/>
    <w:rsid w:val="00C2711E"/>
    <w:rsid w:val="00C30F2D"/>
    <w:rsid w:val="00C3452E"/>
    <w:rsid w:val="00C34687"/>
    <w:rsid w:val="00C41170"/>
    <w:rsid w:val="00C444F3"/>
    <w:rsid w:val="00C45D7A"/>
    <w:rsid w:val="00C505AF"/>
    <w:rsid w:val="00C53381"/>
    <w:rsid w:val="00C5530A"/>
    <w:rsid w:val="00C568D8"/>
    <w:rsid w:val="00C56E87"/>
    <w:rsid w:val="00C60020"/>
    <w:rsid w:val="00C61341"/>
    <w:rsid w:val="00C6216F"/>
    <w:rsid w:val="00C625AC"/>
    <w:rsid w:val="00C65F98"/>
    <w:rsid w:val="00C66054"/>
    <w:rsid w:val="00C704E4"/>
    <w:rsid w:val="00C74AAD"/>
    <w:rsid w:val="00C75BA0"/>
    <w:rsid w:val="00C761C7"/>
    <w:rsid w:val="00C807E0"/>
    <w:rsid w:val="00C856B6"/>
    <w:rsid w:val="00C85F43"/>
    <w:rsid w:val="00C94D23"/>
    <w:rsid w:val="00C96CAA"/>
    <w:rsid w:val="00CA0B0D"/>
    <w:rsid w:val="00CA3FE3"/>
    <w:rsid w:val="00CA4F0B"/>
    <w:rsid w:val="00CA556B"/>
    <w:rsid w:val="00CA62EC"/>
    <w:rsid w:val="00CA7F40"/>
    <w:rsid w:val="00CB7710"/>
    <w:rsid w:val="00CC5C66"/>
    <w:rsid w:val="00CC7383"/>
    <w:rsid w:val="00CD1CA9"/>
    <w:rsid w:val="00CD51FF"/>
    <w:rsid w:val="00CD7B63"/>
    <w:rsid w:val="00CE1B0F"/>
    <w:rsid w:val="00CE644D"/>
    <w:rsid w:val="00CF3412"/>
    <w:rsid w:val="00CF49CA"/>
    <w:rsid w:val="00CF6F13"/>
    <w:rsid w:val="00CF74A0"/>
    <w:rsid w:val="00CF78CF"/>
    <w:rsid w:val="00D0231C"/>
    <w:rsid w:val="00D02D14"/>
    <w:rsid w:val="00D04599"/>
    <w:rsid w:val="00D04632"/>
    <w:rsid w:val="00D054DD"/>
    <w:rsid w:val="00D069A4"/>
    <w:rsid w:val="00D110B7"/>
    <w:rsid w:val="00D12680"/>
    <w:rsid w:val="00D12730"/>
    <w:rsid w:val="00D149FE"/>
    <w:rsid w:val="00D14CCF"/>
    <w:rsid w:val="00D175D0"/>
    <w:rsid w:val="00D20AA2"/>
    <w:rsid w:val="00D22403"/>
    <w:rsid w:val="00D22579"/>
    <w:rsid w:val="00D22D96"/>
    <w:rsid w:val="00D23A76"/>
    <w:rsid w:val="00D24434"/>
    <w:rsid w:val="00D246B5"/>
    <w:rsid w:val="00D262FB"/>
    <w:rsid w:val="00D30488"/>
    <w:rsid w:val="00D31475"/>
    <w:rsid w:val="00D31D5F"/>
    <w:rsid w:val="00D333FD"/>
    <w:rsid w:val="00D33819"/>
    <w:rsid w:val="00D40232"/>
    <w:rsid w:val="00D40DCB"/>
    <w:rsid w:val="00D41966"/>
    <w:rsid w:val="00D422D8"/>
    <w:rsid w:val="00D532B6"/>
    <w:rsid w:val="00D5530E"/>
    <w:rsid w:val="00D55C1E"/>
    <w:rsid w:val="00D606F9"/>
    <w:rsid w:val="00D61B77"/>
    <w:rsid w:val="00D65AB6"/>
    <w:rsid w:val="00D70652"/>
    <w:rsid w:val="00D71753"/>
    <w:rsid w:val="00D72256"/>
    <w:rsid w:val="00D7452D"/>
    <w:rsid w:val="00D7465F"/>
    <w:rsid w:val="00D74F03"/>
    <w:rsid w:val="00D76DF8"/>
    <w:rsid w:val="00D83316"/>
    <w:rsid w:val="00D8424B"/>
    <w:rsid w:val="00D878BF"/>
    <w:rsid w:val="00D92CB1"/>
    <w:rsid w:val="00D932EF"/>
    <w:rsid w:val="00D937AC"/>
    <w:rsid w:val="00D943CD"/>
    <w:rsid w:val="00D976CD"/>
    <w:rsid w:val="00DA4BC6"/>
    <w:rsid w:val="00DA70FB"/>
    <w:rsid w:val="00DB1E7C"/>
    <w:rsid w:val="00DC01D7"/>
    <w:rsid w:val="00DC2952"/>
    <w:rsid w:val="00DC2A6B"/>
    <w:rsid w:val="00DC401A"/>
    <w:rsid w:val="00DC4030"/>
    <w:rsid w:val="00DC5239"/>
    <w:rsid w:val="00DC5FF0"/>
    <w:rsid w:val="00DE1E8A"/>
    <w:rsid w:val="00DE3136"/>
    <w:rsid w:val="00DE5038"/>
    <w:rsid w:val="00DF1EAA"/>
    <w:rsid w:val="00DF2304"/>
    <w:rsid w:val="00DF341C"/>
    <w:rsid w:val="00DF38E0"/>
    <w:rsid w:val="00DF61B3"/>
    <w:rsid w:val="00E019A2"/>
    <w:rsid w:val="00E059FC"/>
    <w:rsid w:val="00E14B1B"/>
    <w:rsid w:val="00E1596B"/>
    <w:rsid w:val="00E16DB1"/>
    <w:rsid w:val="00E219DA"/>
    <w:rsid w:val="00E21AA4"/>
    <w:rsid w:val="00E22B25"/>
    <w:rsid w:val="00E2676F"/>
    <w:rsid w:val="00E279A3"/>
    <w:rsid w:val="00E304DA"/>
    <w:rsid w:val="00E305AA"/>
    <w:rsid w:val="00E31048"/>
    <w:rsid w:val="00E3154C"/>
    <w:rsid w:val="00E31A0A"/>
    <w:rsid w:val="00E32C92"/>
    <w:rsid w:val="00E334B3"/>
    <w:rsid w:val="00E375C1"/>
    <w:rsid w:val="00E40E60"/>
    <w:rsid w:val="00E41953"/>
    <w:rsid w:val="00E4612D"/>
    <w:rsid w:val="00E51115"/>
    <w:rsid w:val="00E56EA6"/>
    <w:rsid w:val="00E60412"/>
    <w:rsid w:val="00E63105"/>
    <w:rsid w:val="00E64262"/>
    <w:rsid w:val="00E64AFE"/>
    <w:rsid w:val="00E66771"/>
    <w:rsid w:val="00E668F2"/>
    <w:rsid w:val="00E66E28"/>
    <w:rsid w:val="00E67EA9"/>
    <w:rsid w:val="00E733A6"/>
    <w:rsid w:val="00E8193E"/>
    <w:rsid w:val="00E84175"/>
    <w:rsid w:val="00E85E1E"/>
    <w:rsid w:val="00E86A24"/>
    <w:rsid w:val="00E879DC"/>
    <w:rsid w:val="00E93F34"/>
    <w:rsid w:val="00E96602"/>
    <w:rsid w:val="00E96968"/>
    <w:rsid w:val="00EA4E59"/>
    <w:rsid w:val="00EA5CFE"/>
    <w:rsid w:val="00EA62C2"/>
    <w:rsid w:val="00EB3FE9"/>
    <w:rsid w:val="00EB54B2"/>
    <w:rsid w:val="00EC1AD0"/>
    <w:rsid w:val="00EC3E5E"/>
    <w:rsid w:val="00EC492E"/>
    <w:rsid w:val="00EC4C36"/>
    <w:rsid w:val="00ED36D1"/>
    <w:rsid w:val="00ED4A2D"/>
    <w:rsid w:val="00ED7ADE"/>
    <w:rsid w:val="00EE01E8"/>
    <w:rsid w:val="00EE2F6D"/>
    <w:rsid w:val="00EE3C00"/>
    <w:rsid w:val="00EE5102"/>
    <w:rsid w:val="00EF20F2"/>
    <w:rsid w:val="00EF2EDE"/>
    <w:rsid w:val="00EF4296"/>
    <w:rsid w:val="00EF4BA5"/>
    <w:rsid w:val="00EF4D43"/>
    <w:rsid w:val="00EF6661"/>
    <w:rsid w:val="00F0060A"/>
    <w:rsid w:val="00F0100C"/>
    <w:rsid w:val="00F066F1"/>
    <w:rsid w:val="00F06783"/>
    <w:rsid w:val="00F07F38"/>
    <w:rsid w:val="00F10CEF"/>
    <w:rsid w:val="00F11825"/>
    <w:rsid w:val="00F1290D"/>
    <w:rsid w:val="00F23382"/>
    <w:rsid w:val="00F23AAE"/>
    <w:rsid w:val="00F27FE1"/>
    <w:rsid w:val="00F3118C"/>
    <w:rsid w:val="00F4398E"/>
    <w:rsid w:val="00F505AC"/>
    <w:rsid w:val="00F50CF2"/>
    <w:rsid w:val="00F52924"/>
    <w:rsid w:val="00F5318B"/>
    <w:rsid w:val="00F53886"/>
    <w:rsid w:val="00F55B98"/>
    <w:rsid w:val="00F61134"/>
    <w:rsid w:val="00F612CF"/>
    <w:rsid w:val="00F62270"/>
    <w:rsid w:val="00F65136"/>
    <w:rsid w:val="00F65C5C"/>
    <w:rsid w:val="00F66A1B"/>
    <w:rsid w:val="00F67C04"/>
    <w:rsid w:val="00F70037"/>
    <w:rsid w:val="00F7098E"/>
    <w:rsid w:val="00F70F9F"/>
    <w:rsid w:val="00F71837"/>
    <w:rsid w:val="00F719D8"/>
    <w:rsid w:val="00F76BE7"/>
    <w:rsid w:val="00F81F73"/>
    <w:rsid w:val="00F84119"/>
    <w:rsid w:val="00F84488"/>
    <w:rsid w:val="00F860F8"/>
    <w:rsid w:val="00F877F1"/>
    <w:rsid w:val="00F90E5F"/>
    <w:rsid w:val="00F9136F"/>
    <w:rsid w:val="00F9167A"/>
    <w:rsid w:val="00F956B7"/>
    <w:rsid w:val="00FA017A"/>
    <w:rsid w:val="00FA10A1"/>
    <w:rsid w:val="00FA77C4"/>
    <w:rsid w:val="00FB0A48"/>
    <w:rsid w:val="00FB4FE1"/>
    <w:rsid w:val="00FC11D6"/>
    <w:rsid w:val="00FC2854"/>
    <w:rsid w:val="00FC294D"/>
    <w:rsid w:val="00FC615F"/>
    <w:rsid w:val="00FC67B3"/>
    <w:rsid w:val="00FC7444"/>
    <w:rsid w:val="00FD0700"/>
    <w:rsid w:val="00FD273F"/>
    <w:rsid w:val="00FD4558"/>
    <w:rsid w:val="00FD469D"/>
    <w:rsid w:val="00FD580F"/>
    <w:rsid w:val="00FE0175"/>
    <w:rsid w:val="00FE0CBF"/>
    <w:rsid w:val="00FE13AD"/>
    <w:rsid w:val="00FE4B30"/>
    <w:rsid w:val="00FE62EE"/>
    <w:rsid w:val="00FE7D90"/>
    <w:rsid w:val="00FF0633"/>
    <w:rsid w:val="00FF06D9"/>
    <w:rsid w:val="00FF0EE1"/>
    <w:rsid w:val="00FF115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5F9"/>
  </w:style>
  <w:style w:type="paragraph" w:styleId="Piedepgina">
    <w:name w:val="footer"/>
    <w:basedOn w:val="Normal"/>
    <w:link w:val="Piedepgina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F9"/>
  </w:style>
  <w:style w:type="table" w:styleId="Tablanormal4">
    <w:name w:val="Plain Table 4"/>
    <w:basedOn w:val="Tabla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uentedeprrafopredeter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06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60020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5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meshighereducation.com/world-university-rankings/latin-america-university-rankings-2021-methodology" TargetMode="External"/><Relationship Id="rId1" Type="http://schemas.openxmlformats.org/officeDocument/2006/relationships/hyperlink" Target="https://tec.mx/es/diferencia-tec/numeralia/datos-y-cifra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Latin%20America%20University%20Rankings%202021_2607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Latin%20America%20University%20Rankings%202021_2607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Latin%20America%20University%20Rankings%202021_26072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B25-4DFD-97D6-C28CE553EA2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B25-4DFD-97D6-C28CE553EA2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B25-4DFD-97D6-C28CE553EA2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B25-4DFD-97D6-C28CE553EA2B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B25-4DFD-97D6-C28CE553EA2B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B25-4DFD-97D6-C28CE553EA2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B25-4DFD-97D6-C28CE553EA2B}"/>
              </c:ext>
            </c:extLst>
          </c:dPt>
          <c:dPt>
            <c:idx val="8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B25-4DFD-97D6-C28CE553EA2B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B25-4DFD-97D6-C28CE553EA2B}"/>
              </c:ext>
            </c:extLst>
          </c:dPt>
          <c:dPt>
            <c:idx val="10"/>
            <c:invertIfNegative val="0"/>
            <c:bubble3D val="0"/>
            <c:spPr>
              <a:solidFill>
                <a:srgbClr val="E2B2E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B25-4DFD-97D6-C28CE553EA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Paises!$A$1:$A$11</c:f>
              <c:strCache>
                <c:ptCount val="11"/>
                <c:pt idx="0">
                  <c:v>Brasil</c:v>
                </c:pt>
                <c:pt idx="1">
                  <c:v>Chile</c:v>
                </c:pt>
                <c:pt idx="2">
                  <c:v>Colombia</c:v>
                </c:pt>
                <c:pt idx="3">
                  <c:v>México</c:v>
                </c:pt>
                <c:pt idx="4">
                  <c:v>Ecuador</c:v>
                </c:pt>
                <c:pt idx="5">
                  <c:v>Argentina</c:v>
                </c:pt>
                <c:pt idx="6">
                  <c:v>Perú</c:v>
                </c:pt>
                <c:pt idx="7">
                  <c:v>Costa Rica</c:v>
                </c:pt>
                <c:pt idx="8">
                  <c:v>Cuba</c:v>
                </c:pt>
                <c:pt idx="9">
                  <c:v>Uruguay</c:v>
                </c:pt>
                <c:pt idx="10">
                  <c:v>Venezuela</c:v>
                </c:pt>
              </c:strCache>
            </c:strRef>
          </c:cat>
          <c:val>
            <c:numRef>
              <c:f>Paises!$B$1:$B$11</c:f>
              <c:numCache>
                <c:formatCode>General</c:formatCode>
                <c:ptCount val="11"/>
                <c:pt idx="0">
                  <c:v>67</c:v>
                </c:pt>
                <c:pt idx="1">
                  <c:v>28</c:v>
                </c:pt>
                <c:pt idx="2">
                  <c:v>24</c:v>
                </c:pt>
                <c:pt idx="3">
                  <c:v>23</c:v>
                </c:pt>
                <c:pt idx="4">
                  <c:v>11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B25-4DFD-97D6-C28CE553EA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0235232"/>
        <c:axId val="330236896"/>
      </c:barChart>
      <c:catAx>
        <c:axId val="33023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0236896"/>
        <c:crosses val="autoZero"/>
        <c:auto val="1"/>
        <c:lblAlgn val="ctr"/>
        <c:lblOffset val="100"/>
        <c:noMultiLvlLbl val="0"/>
      </c:catAx>
      <c:valAx>
        <c:axId val="33023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02352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77729990559112E-2"/>
          <c:y val="8.2675685832393833E-2"/>
          <c:w val="0.97692227000944087"/>
          <c:h val="0.71522961164798882"/>
        </c:manualLayout>
      </c:layout>
      <c:lineChart>
        <c:grouping val="standard"/>
        <c:varyColors val="0"/>
        <c:ser>
          <c:idx val="1"/>
          <c:order val="0"/>
          <c:tx>
            <c:strRef>
              <c:f>'Historico Mexico'!$A$3</c:f>
              <c:strCache>
                <c:ptCount val="1"/>
                <c:pt idx="0">
                  <c:v>Universidad Nacional Autónoma de México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6"/>
              <c:pt idx="0">
                <c:v>2016</c:v>
              </c:pt>
              <c:pt idx="1">
                <c:v>2017</c:v>
              </c:pt>
              <c:pt idx="2">
                <c:v>2018</c:v>
              </c:pt>
              <c:pt idx="3">
                <c:v>2019</c:v>
              </c:pt>
              <c:pt idx="4">
                <c:v>2020</c:v>
              </c:pt>
              <c:pt idx="5">
                <c:v>2021</c:v>
              </c:pt>
            </c:numLit>
          </c:cat>
          <c:val>
            <c:numRef>
              <c:f>'Historico Mexico'!$B$3:$G$3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13</c:v>
                </c:pt>
                <c:pt idx="3">
                  <c:v>14</c:v>
                </c:pt>
                <c:pt idx="4">
                  <c:v>17</c:v>
                </c:pt>
                <c:pt idx="5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17-4A00-A149-C6B555018EE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30856223"/>
        <c:axId val="1730835839"/>
      </c:lineChart>
      <c:catAx>
        <c:axId val="1730856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30835839"/>
        <c:crosses val="max"/>
        <c:auto val="1"/>
        <c:lblAlgn val="ctr"/>
        <c:lblOffset val="100"/>
        <c:noMultiLvlLbl val="0"/>
      </c:catAx>
      <c:valAx>
        <c:axId val="1730835839"/>
        <c:scaling>
          <c:orientation val="maxMin"/>
          <c:max val="22"/>
          <c:min val="4"/>
        </c:scaling>
        <c:delete val="1"/>
        <c:axPos val="l"/>
        <c:numFmt formatCode="General" sourceLinked="1"/>
        <c:majorTickMark val="none"/>
        <c:minorTickMark val="none"/>
        <c:tickLblPos val="nextTo"/>
        <c:crossAx val="1730856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90606624605609"/>
          <c:y val="0.11560054701106286"/>
          <c:w val="0.43054437441755627"/>
          <c:h val="0.74543411337601495"/>
        </c:manualLayout>
      </c:layout>
      <c:radarChart>
        <c:radarStyle val="fill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3.0290722793206701E-2"/>
                  <c:y val="7.819458753894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82-4034-AF27-0DAD9744BAB8}"/>
                </c:ext>
              </c:extLst>
            </c:dLbl>
            <c:dLbl>
              <c:idx val="1"/>
              <c:layout>
                <c:manualLayout>
                  <c:x val="-1.514536139660335E-2"/>
                  <c:y val="4.4682621450824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82-4034-AF27-0DAD9744BAB8}"/>
                </c:ext>
              </c:extLst>
            </c:dLbl>
            <c:dLbl>
              <c:idx val="2"/>
              <c:layout>
                <c:manualLayout>
                  <c:x val="-3.46179689065219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82-4034-AF27-0DAD9744BAB8}"/>
                </c:ext>
              </c:extLst>
            </c:dLbl>
            <c:dLbl>
              <c:idx val="4"/>
              <c:layout>
                <c:manualLayout>
                  <c:x val="9.051821679112922E-3"/>
                  <c:y val="8.14262560406342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82-4034-AF27-0DAD9744BA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0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UNAM'!$A$24:$A$29</c:f>
              <c:strCache>
                <c:ptCount val="6"/>
                <c:pt idx="0">
                  <c:v>Financiamiento de la industria </c:v>
                </c:pt>
                <c:pt idx="1">
                  <c:v>Investigación</c:v>
                </c:pt>
                <c:pt idx="2">
                  <c:v>Perspectiva internacional</c:v>
                </c:pt>
                <c:pt idx="3">
                  <c:v>Puntaje general</c:v>
                </c:pt>
                <c:pt idx="4">
                  <c:v>Docencia </c:v>
                </c:pt>
                <c:pt idx="5">
                  <c:v>Citas</c:v>
                </c:pt>
              </c:strCache>
            </c:strRef>
          </c:cat>
          <c:val>
            <c:numRef>
              <c:f>'Historico UNAM'!$B$24:$B$29</c:f>
              <c:numCache>
                <c:formatCode>General</c:formatCode>
                <c:ptCount val="6"/>
                <c:pt idx="0">
                  <c:v>95.9</c:v>
                </c:pt>
                <c:pt idx="1">
                  <c:v>85.8</c:v>
                </c:pt>
                <c:pt idx="2">
                  <c:v>81.099999999999994</c:v>
                </c:pt>
                <c:pt idx="3">
                  <c:v>72.8</c:v>
                </c:pt>
                <c:pt idx="4">
                  <c:v>72.7</c:v>
                </c:pt>
                <c:pt idx="5">
                  <c:v>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82-4034-AF27-0DAD9744BA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69301832"/>
        <c:axId val="469305360"/>
      </c:radarChart>
      <c:catAx>
        <c:axId val="469301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9305360"/>
        <c:crosses val="autoZero"/>
        <c:auto val="1"/>
        <c:lblAlgn val="ctr"/>
        <c:lblOffset val="100"/>
        <c:noMultiLvlLbl val="0"/>
      </c:catAx>
      <c:valAx>
        <c:axId val="469305360"/>
        <c:scaling>
          <c:orientation val="minMax"/>
          <c:max val="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93018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0.84733</cdr:y>
    </cdr:from>
    <cdr:to>
      <cdr:x>0.36304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0" y="2114551"/>
          <a:ext cx="2123185" cy="38099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900" b="1"/>
            <a:t>Nota: </a:t>
          </a:r>
          <a:r>
            <a:rPr lang="es-MX" sz="700" b="0"/>
            <a:t>Cada indicador puede alcanzar un máximo de 100 puntos. </a:t>
          </a:r>
          <a:br>
            <a:rPr lang="es-MX" sz="700" b="1"/>
          </a:br>
          <a:endParaRPr lang="es-MX" sz="7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2594-625B-41F4-8947-6957B82B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3062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5</cp:revision>
  <cp:lastPrinted>2018-07-25T20:59:00Z</cp:lastPrinted>
  <dcterms:created xsi:type="dcterms:W3CDTF">2021-08-03T22:56:00Z</dcterms:created>
  <dcterms:modified xsi:type="dcterms:W3CDTF">2021-08-24T21:58:00Z</dcterms:modified>
</cp:coreProperties>
</file>