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D5EB3" w14:textId="77777777" w:rsidR="001511A2" w:rsidRPr="00365884" w:rsidRDefault="001511A2" w:rsidP="00365884">
      <w:pPr>
        <w:spacing w:after="0" w:line="240" w:lineRule="auto"/>
        <w:jc w:val="center"/>
        <w:rPr>
          <w:b/>
          <w:sz w:val="24"/>
        </w:rPr>
      </w:pPr>
      <w:bookmarkStart w:id="0" w:name="_Hlk66210034"/>
      <w:r w:rsidRPr="00365884">
        <w:rPr>
          <w:b/>
          <w:sz w:val="24"/>
        </w:rPr>
        <w:t>Dirección General de Evaluación Institucional</w:t>
      </w:r>
    </w:p>
    <w:p w14:paraId="6A06AB9A" w14:textId="3B0FB017" w:rsidR="001511A2" w:rsidRPr="00365884" w:rsidRDefault="009F4A2B" w:rsidP="00365884">
      <w:pPr>
        <w:spacing w:after="0" w:line="240" w:lineRule="auto"/>
        <w:jc w:val="center"/>
        <w:rPr>
          <w:b/>
          <w:sz w:val="24"/>
        </w:rPr>
      </w:pPr>
      <w:r w:rsidRPr="00365884">
        <w:rPr>
          <w:b/>
          <w:sz w:val="24"/>
        </w:rPr>
        <w:t>Ciudad Universitaria, CDMX, 9 de marzo de 2021</w:t>
      </w:r>
    </w:p>
    <w:p w14:paraId="1CF22417" w14:textId="77777777" w:rsidR="001511A2" w:rsidRPr="00365884" w:rsidRDefault="001511A2" w:rsidP="00365884">
      <w:pPr>
        <w:spacing w:after="0" w:line="240" w:lineRule="auto"/>
        <w:jc w:val="center"/>
        <w:rPr>
          <w:b/>
          <w:sz w:val="24"/>
        </w:rPr>
      </w:pPr>
    </w:p>
    <w:p w14:paraId="105F4479" w14:textId="015F66F4" w:rsidR="001511A2" w:rsidRPr="00365884" w:rsidRDefault="001511A2" w:rsidP="00365884">
      <w:pPr>
        <w:spacing w:after="0" w:line="240" w:lineRule="auto"/>
        <w:jc w:val="center"/>
        <w:rPr>
          <w:b/>
          <w:sz w:val="28"/>
          <w:szCs w:val="28"/>
        </w:rPr>
      </w:pPr>
      <w:r w:rsidRPr="00365884">
        <w:rPr>
          <w:b/>
          <w:sz w:val="28"/>
          <w:szCs w:val="28"/>
        </w:rPr>
        <w:t xml:space="preserve">UNAM EN </w:t>
      </w:r>
      <w:r w:rsidR="001A7CDB" w:rsidRPr="00365884">
        <w:rPr>
          <w:b/>
          <w:sz w:val="28"/>
          <w:szCs w:val="28"/>
        </w:rPr>
        <w:t xml:space="preserve">TIMES HIGHER EDUCATION </w:t>
      </w:r>
      <w:r w:rsidR="0093746B" w:rsidRPr="00365884">
        <w:rPr>
          <w:b/>
          <w:sz w:val="28"/>
          <w:szCs w:val="28"/>
        </w:rPr>
        <w:t>BRICS</w:t>
      </w:r>
      <w:r w:rsidR="009C18D9" w:rsidRPr="00365884">
        <w:rPr>
          <w:rStyle w:val="Refdenotaalpie"/>
          <w:b/>
          <w:sz w:val="28"/>
          <w:szCs w:val="28"/>
        </w:rPr>
        <w:footnoteReference w:id="1"/>
      </w:r>
      <w:r w:rsidR="0093746B" w:rsidRPr="00365884">
        <w:rPr>
          <w:b/>
          <w:sz w:val="28"/>
          <w:szCs w:val="28"/>
        </w:rPr>
        <w:t xml:space="preserve"> Y ECONOMÍAS EMERGENTES</w:t>
      </w:r>
    </w:p>
    <w:p w14:paraId="206DCAFA" w14:textId="77777777" w:rsidR="00EF2EDE" w:rsidRPr="00365884" w:rsidRDefault="00EF2EDE" w:rsidP="00365884">
      <w:pPr>
        <w:spacing w:after="0" w:line="240" w:lineRule="auto"/>
        <w:rPr>
          <w:sz w:val="24"/>
        </w:rPr>
      </w:pPr>
    </w:p>
    <w:p w14:paraId="20A2FACF" w14:textId="3B3EB151" w:rsidR="001A7CDB" w:rsidRPr="00365884" w:rsidRDefault="001A7CDB" w:rsidP="00365884">
      <w:pPr>
        <w:pStyle w:val="Prrafodelista"/>
        <w:numPr>
          <w:ilvl w:val="0"/>
          <w:numId w:val="1"/>
        </w:numPr>
        <w:spacing w:after="0" w:line="240" w:lineRule="auto"/>
        <w:jc w:val="both"/>
        <w:rPr>
          <w:sz w:val="24"/>
        </w:rPr>
      </w:pPr>
      <w:r w:rsidRPr="00365884">
        <w:rPr>
          <w:sz w:val="24"/>
        </w:rPr>
        <w:t xml:space="preserve">Times Higher Education (THE) publicó la edición del ranking de universidades </w:t>
      </w:r>
      <w:r w:rsidR="00A4254A" w:rsidRPr="00365884">
        <w:rPr>
          <w:sz w:val="24"/>
        </w:rPr>
        <w:t xml:space="preserve">de los países en BRICS y </w:t>
      </w:r>
      <w:r w:rsidR="00B829F6" w:rsidRPr="00365884">
        <w:rPr>
          <w:sz w:val="24"/>
        </w:rPr>
        <w:t>Economías Emergentes</w:t>
      </w:r>
      <w:r w:rsidRPr="00365884">
        <w:rPr>
          <w:sz w:val="24"/>
        </w:rPr>
        <w:t xml:space="preserve">. </w:t>
      </w:r>
    </w:p>
    <w:p w14:paraId="1ACF18D8" w14:textId="77777777" w:rsidR="006D2A38" w:rsidRPr="00365884" w:rsidRDefault="006D2A38" w:rsidP="00365884">
      <w:pPr>
        <w:pStyle w:val="Prrafodelista"/>
        <w:spacing w:after="0" w:line="240" w:lineRule="auto"/>
        <w:jc w:val="both"/>
        <w:rPr>
          <w:sz w:val="24"/>
        </w:rPr>
      </w:pPr>
    </w:p>
    <w:p w14:paraId="7B11B483" w14:textId="41EE8743" w:rsidR="00F972F9" w:rsidRPr="00365884" w:rsidRDefault="008D6D0B" w:rsidP="00365884">
      <w:pPr>
        <w:pStyle w:val="Prrafodelista"/>
        <w:numPr>
          <w:ilvl w:val="0"/>
          <w:numId w:val="1"/>
        </w:numPr>
        <w:spacing w:after="0" w:line="240" w:lineRule="auto"/>
        <w:jc w:val="both"/>
        <w:rPr>
          <w:sz w:val="24"/>
        </w:rPr>
      </w:pPr>
      <w:r w:rsidRPr="00365884">
        <w:rPr>
          <w:sz w:val="24"/>
        </w:rPr>
        <w:t>En la edición del ranking THE BRICS y economías emergentes 202</w:t>
      </w:r>
      <w:r w:rsidR="008331B2" w:rsidRPr="00365884">
        <w:rPr>
          <w:sz w:val="24"/>
        </w:rPr>
        <w:t>1</w:t>
      </w:r>
      <w:r w:rsidRPr="00365884">
        <w:rPr>
          <w:sz w:val="24"/>
        </w:rPr>
        <w:t xml:space="preserve">, la </w:t>
      </w:r>
      <w:r w:rsidR="001A7CDB" w:rsidRPr="00365884">
        <w:rPr>
          <w:sz w:val="24"/>
        </w:rPr>
        <w:t xml:space="preserve">UNAM </w:t>
      </w:r>
      <w:r w:rsidRPr="00365884">
        <w:rPr>
          <w:sz w:val="24"/>
        </w:rPr>
        <w:t xml:space="preserve">fue clasificada en el lugar </w:t>
      </w:r>
      <w:r w:rsidR="004D75DD" w:rsidRPr="00365884">
        <w:rPr>
          <w:sz w:val="24"/>
        </w:rPr>
        <w:t>129</w:t>
      </w:r>
      <w:r w:rsidRPr="00365884">
        <w:rPr>
          <w:sz w:val="24"/>
        </w:rPr>
        <w:t xml:space="preserve"> a nivel mundial</w:t>
      </w:r>
      <w:r w:rsidR="00F972F9" w:rsidRPr="00365884">
        <w:rPr>
          <w:sz w:val="24"/>
        </w:rPr>
        <w:t>.</w:t>
      </w:r>
    </w:p>
    <w:p w14:paraId="4DCFC1D2" w14:textId="77777777" w:rsidR="00F972F9" w:rsidRPr="00365884" w:rsidRDefault="00F972F9" w:rsidP="00365884">
      <w:pPr>
        <w:pStyle w:val="Prrafodelista"/>
        <w:spacing w:after="0" w:line="240" w:lineRule="auto"/>
        <w:rPr>
          <w:sz w:val="24"/>
        </w:rPr>
      </w:pPr>
    </w:p>
    <w:p w14:paraId="277C970A" w14:textId="4156B810" w:rsidR="001A7CDB" w:rsidRPr="00365884" w:rsidRDefault="004D75DD" w:rsidP="00365884">
      <w:pPr>
        <w:pStyle w:val="Prrafodelista"/>
        <w:spacing w:after="0" w:line="240" w:lineRule="auto"/>
        <w:jc w:val="both"/>
        <w:rPr>
          <w:sz w:val="24"/>
        </w:rPr>
      </w:pPr>
      <w:r w:rsidRPr="00365884">
        <w:rPr>
          <w:sz w:val="24"/>
        </w:rPr>
        <w:t xml:space="preserve">En la región de América Latina </w:t>
      </w:r>
      <w:r w:rsidR="00F972F9" w:rsidRPr="00365884">
        <w:rPr>
          <w:sz w:val="24"/>
        </w:rPr>
        <w:t xml:space="preserve">se ubicó en el </w:t>
      </w:r>
      <w:r w:rsidR="004A70A5" w:rsidRPr="00365884">
        <w:rPr>
          <w:sz w:val="24"/>
        </w:rPr>
        <w:t>8</w:t>
      </w:r>
      <w:r w:rsidR="009015AC" w:rsidRPr="00365884">
        <w:rPr>
          <w:sz w:val="24"/>
        </w:rPr>
        <w:t>º</w:t>
      </w:r>
      <w:r w:rsidRPr="00365884">
        <w:rPr>
          <w:sz w:val="24"/>
        </w:rPr>
        <w:t xml:space="preserve"> </w:t>
      </w:r>
      <w:r w:rsidR="00F972F9" w:rsidRPr="00365884">
        <w:rPr>
          <w:sz w:val="24"/>
        </w:rPr>
        <w:t xml:space="preserve">lugar, </w:t>
      </w:r>
      <w:r w:rsidR="008D6D0B" w:rsidRPr="00365884">
        <w:rPr>
          <w:sz w:val="24"/>
        </w:rPr>
        <w:t xml:space="preserve">por detrás de </w:t>
      </w:r>
      <w:r w:rsidR="00F972F9" w:rsidRPr="00365884">
        <w:rPr>
          <w:sz w:val="24"/>
        </w:rPr>
        <w:t xml:space="preserve">la </w:t>
      </w:r>
      <w:r w:rsidRPr="00365884">
        <w:rPr>
          <w:sz w:val="24"/>
        </w:rPr>
        <w:t>Universidad de São Paulo (1º), la Universidad de Campinas (2º), la Pontificia Universidad Católica de Chile (3º), la Pontificia Universidad Católica de Río de Janeiro (4º), la Universidad del Desarrollo (5º), la Universidad Diego Portales (</w:t>
      </w:r>
      <w:r w:rsidR="004A70A5" w:rsidRPr="00365884">
        <w:rPr>
          <w:sz w:val="24"/>
        </w:rPr>
        <w:t>5</w:t>
      </w:r>
      <w:r w:rsidRPr="00365884">
        <w:rPr>
          <w:sz w:val="24"/>
        </w:rPr>
        <w:t>º), la Pontificia Universidad Javeriana (</w:t>
      </w:r>
      <w:r w:rsidR="004A70A5" w:rsidRPr="00365884">
        <w:rPr>
          <w:sz w:val="24"/>
        </w:rPr>
        <w:t>6</w:t>
      </w:r>
      <w:r w:rsidRPr="00365884">
        <w:rPr>
          <w:sz w:val="24"/>
        </w:rPr>
        <w:t>º), y la Universidad Peruana Cayetano Heredia (</w:t>
      </w:r>
      <w:r w:rsidR="004A70A5" w:rsidRPr="00365884">
        <w:rPr>
          <w:sz w:val="24"/>
        </w:rPr>
        <w:t>7</w:t>
      </w:r>
      <w:r w:rsidRPr="00365884">
        <w:rPr>
          <w:sz w:val="24"/>
        </w:rPr>
        <w:t>º)</w:t>
      </w:r>
      <w:r w:rsidR="00F972F9" w:rsidRPr="00365884">
        <w:rPr>
          <w:sz w:val="24"/>
        </w:rPr>
        <w:t>.</w:t>
      </w:r>
    </w:p>
    <w:p w14:paraId="596A247F" w14:textId="77777777" w:rsidR="002E5C8D" w:rsidRPr="00365884" w:rsidRDefault="002E5C8D" w:rsidP="00365884">
      <w:pPr>
        <w:pStyle w:val="Prrafodelista"/>
        <w:spacing w:after="0" w:line="240" w:lineRule="auto"/>
        <w:rPr>
          <w:sz w:val="24"/>
        </w:rPr>
      </w:pPr>
    </w:p>
    <w:p w14:paraId="346563DE" w14:textId="74A48705" w:rsidR="002E3C48" w:rsidRPr="00365884" w:rsidRDefault="00501AE5" w:rsidP="00365884">
      <w:pPr>
        <w:pStyle w:val="Prrafodelista"/>
        <w:numPr>
          <w:ilvl w:val="0"/>
          <w:numId w:val="1"/>
        </w:numPr>
        <w:spacing w:after="0" w:line="240" w:lineRule="auto"/>
        <w:jc w:val="both"/>
        <w:rPr>
          <w:b/>
          <w:sz w:val="24"/>
        </w:rPr>
      </w:pPr>
      <w:r w:rsidRPr="00365884">
        <w:rPr>
          <w:b/>
          <w:sz w:val="24"/>
        </w:rPr>
        <w:t>Metodología e Indicadores</w:t>
      </w:r>
    </w:p>
    <w:p w14:paraId="01248E7F" w14:textId="311AC13A" w:rsidR="00236AB1" w:rsidRPr="00365884" w:rsidRDefault="00236AB1" w:rsidP="00365884">
      <w:pPr>
        <w:pStyle w:val="Prrafodelista"/>
        <w:spacing w:after="0" w:line="240" w:lineRule="auto"/>
        <w:jc w:val="both"/>
        <w:rPr>
          <w:sz w:val="24"/>
        </w:rPr>
      </w:pPr>
    </w:p>
    <w:tbl>
      <w:tblPr>
        <w:tblW w:w="9559" w:type="dxa"/>
        <w:jc w:val="center"/>
        <w:tblCellMar>
          <w:left w:w="70" w:type="dxa"/>
          <w:right w:w="70" w:type="dxa"/>
        </w:tblCellMar>
        <w:tblLook w:val="04A0" w:firstRow="1" w:lastRow="0" w:firstColumn="1" w:lastColumn="0" w:noHBand="0" w:noVBand="1"/>
      </w:tblPr>
      <w:tblGrid>
        <w:gridCol w:w="1866"/>
        <w:gridCol w:w="6624"/>
        <w:gridCol w:w="1126"/>
      </w:tblGrid>
      <w:tr w:rsidR="00501AE5" w:rsidRPr="00365884" w14:paraId="3B322442" w14:textId="77777777" w:rsidTr="007F6BCB">
        <w:trPr>
          <w:trHeight w:val="92"/>
          <w:jc w:val="center"/>
        </w:trPr>
        <w:tc>
          <w:tcPr>
            <w:tcW w:w="1866" w:type="dxa"/>
            <w:tcBorders>
              <w:top w:val="single" w:sz="4" w:space="0" w:color="000000"/>
              <w:left w:val="single" w:sz="4" w:space="0" w:color="000000"/>
              <w:bottom w:val="single" w:sz="4" w:space="0" w:color="auto"/>
              <w:right w:val="single" w:sz="4" w:space="0" w:color="000000"/>
            </w:tcBorders>
            <w:shd w:val="clear" w:color="auto" w:fill="BDD6EE" w:themeFill="accent1" w:themeFillTint="66"/>
            <w:noWrap/>
            <w:vAlign w:val="center"/>
            <w:hideMark/>
          </w:tcPr>
          <w:p w14:paraId="6A6FEC0A" w14:textId="77777777" w:rsidR="00501AE5" w:rsidRPr="00365884" w:rsidRDefault="00501AE5" w:rsidP="00365884">
            <w:pPr>
              <w:spacing w:after="0" w:line="240" w:lineRule="auto"/>
              <w:jc w:val="center"/>
              <w:rPr>
                <w:b/>
                <w:sz w:val="20"/>
              </w:rPr>
            </w:pPr>
            <w:r w:rsidRPr="00365884">
              <w:rPr>
                <w:b/>
                <w:sz w:val="20"/>
              </w:rPr>
              <w:t>Indicador</w:t>
            </w:r>
          </w:p>
        </w:tc>
        <w:tc>
          <w:tcPr>
            <w:tcW w:w="6624" w:type="dxa"/>
            <w:tcBorders>
              <w:top w:val="single" w:sz="4" w:space="0" w:color="000000"/>
              <w:left w:val="nil"/>
              <w:bottom w:val="single" w:sz="4" w:space="0" w:color="auto"/>
              <w:right w:val="single" w:sz="4" w:space="0" w:color="000000"/>
            </w:tcBorders>
            <w:shd w:val="clear" w:color="auto" w:fill="BDD6EE" w:themeFill="accent1" w:themeFillTint="66"/>
            <w:noWrap/>
            <w:vAlign w:val="center"/>
            <w:hideMark/>
          </w:tcPr>
          <w:p w14:paraId="62BF1C10" w14:textId="77777777" w:rsidR="00501AE5" w:rsidRPr="00365884" w:rsidRDefault="00501AE5" w:rsidP="00365884">
            <w:pPr>
              <w:spacing w:after="0" w:line="240" w:lineRule="auto"/>
              <w:jc w:val="center"/>
              <w:rPr>
                <w:b/>
                <w:sz w:val="20"/>
              </w:rPr>
            </w:pPr>
            <w:r w:rsidRPr="00365884">
              <w:rPr>
                <w:b/>
                <w:sz w:val="20"/>
              </w:rPr>
              <w:t>Descripción</w:t>
            </w:r>
          </w:p>
        </w:tc>
        <w:tc>
          <w:tcPr>
            <w:tcW w:w="1069" w:type="dxa"/>
            <w:tcBorders>
              <w:top w:val="single" w:sz="4" w:space="0" w:color="000000"/>
              <w:left w:val="nil"/>
              <w:bottom w:val="single" w:sz="4" w:space="0" w:color="auto"/>
              <w:right w:val="single" w:sz="4" w:space="0" w:color="000000"/>
            </w:tcBorders>
            <w:shd w:val="clear" w:color="auto" w:fill="BDD6EE" w:themeFill="accent1" w:themeFillTint="66"/>
            <w:noWrap/>
            <w:vAlign w:val="center"/>
            <w:hideMark/>
          </w:tcPr>
          <w:p w14:paraId="58A4893F" w14:textId="77777777" w:rsidR="00501AE5" w:rsidRPr="00365884" w:rsidRDefault="00501AE5" w:rsidP="00365884">
            <w:pPr>
              <w:spacing w:after="0" w:line="240" w:lineRule="auto"/>
              <w:jc w:val="center"/>
              <w:rPr>
                <w:b/>
                <w:sz w:val="20"/>
              </w:rPr>
            </w:pPr>
            <w:r w:rsidRPr="00365884">
              <w:rPr>
                <w:b/>
                <w:sz w:val="20"/>
              </w:rPr>
              <w:t>Ponderador</w:t>
            </w:r>
          </w:p>
        </w:tc>
      </w:tr>
      <w:tr w:rsidR="00501AE5" w:rsidRPr="00365884" w14:paraId="74ED7EA7" w14:textId="77777777" w:rsidTr="007F6BCB">
        <w:trPr>
          <w:trHeight w:val="629"/>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0DA5C0CF" w14:textId="4D9823D7" w:rsidR="00501AE5" w:rsidRPr="00365884" w:rsidRDefault="00501AE5" w:rsidP="00365884">
            <w:pPr>
              <w:spacing w:after="0" w:line="240" w:lineRule="auto"/>
              <w:jc w:val="center"/>
              <w:rPr>
                <w:sz w:val="20"/>
              </w:rPr>
            </w:pPr>
            <w:r w:rsidRPr="00365884">
              <w:rPr>
                <w:rFonts w:ascii="Calibri" w:hAnsi="Calibri" w:cs="Calibri"/>
                <w:b/>
                <w:bCs/>
                <w:color w:val="000000"/>
                <w:sz w:val="20"/>
              </w:rPr>
              <w:t xml:space="preserve">Citas </w:t>
            </w:r>
            <w:r w:rsidRPr="00365884">
              <w:rPr>
                <w:rFonts w:ascii="Calibri" w:hAnsi="Calibri" w:cs="Calibri"/>
                <w:b/>
                <w:bCs/>
                <w:color w:val="000000"/>
                <w:sz w:val="20"/>
              </w:rPr>
              <w:br/>
            </w:r>
            <w:r w:rsidRPr="00365884">
              <w:rPr>
                <w:rFonts w:ascii="Calibri" w:hAnsi="Calibri" w:cs="Calibri"/>
                <w:color w:val="000000"/>
                <w:sz w:val="20"/>
              </w:rPr>
              <w:t>(20%)</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2AE28DF5" w14:textId="77777777" w:rsidR="00501AE5" w:rsidRPr="00365884" w:rsidRDefault="00501AE5" w:rsidP="00365884">
            <w:pPr>
              <w:spacing w:after="0" w:line="240" w:lineRule="auto"/>
              <w:rPr>
                <w:sz w:val="20"/>
              </w:rPr>
            </w:pPr>
            <w:r w:rsidRPr="00365884">
              <w:rPr>
                <w:rFonts w:ascii="Calibri" w:hAnsi="Calibri" w:cs="Calibri"/>
                <w:color w:val="000000"/>
                <w:sz w:val="20"/>
              </w:rPr>
              <w:t>Promedio de citas a los artículos en revistas indexadas en Elsevier Scopus entre la planta académica, en un periodo de 5 años.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506CB1CA" w14:textId="04BD1079" w:rsidR="00501AE5" w:rsidRPr="00365884" w:rsidRDefault="00501AE5" w:rsidP="00365884">
            <w:pPr>
              <w:spacing w:after="0" w:line="240" w:lineRule="auto"/>
              <w:jc w:val="center"/>
              <w:rPr>
                <w:sz w:val="20"/>
              </w:rPr>
            </w:pPr>
            <w:r w:rsidRPr="00365884">
              <w:rPr>
                <w:rFonts w:ascii="Calibri" w:hAnsi="Calibri" w:cs="Calibri"/>
                <w:color w:val="000000"/>
                <w:sz w:val="20"/>
              </w:rPr>
              <w:t>20%</w:t>
            </w:r>
          </w:p>
        </w:tc>
      </w:tr>
      <w:tr w:rsidR="00501AE5" w:rsidRPr="00365884" w14:paraId="76E38D01" w14:textId="77777777" w:rsidTr="007F6BCB">
        <w:trPr>
          <w:trHeight w:val="306"/>
          <w:jc w:val="center"/>
        </w:trPr>
        <w:tc>
          <w:tcPr>
            <w:tcW w:w="1866" w:type="dxa"/>
            <w:vMerge w:val="restart"/>
            <w:tcBorders>
              <w:top w:val="single" w:sz="4" w:space="0" w:color="auto"/>
              <w:left w:val="single" w:sz="4" w:space="0" w:color="auto"/>
              <w:right w:val="single" w:sz="4" w:space="0" w:color="auto"/>
            </w:tcBorders>
            <w:shd w:val="clear" w:color="auto" w:fill="auto"/>
            <w:vAlign w:val="center"/>
          </w:tcPr>
          <w:p w14:paraId="5620B890" w14:textId="77777777" w:rsidR="00501AE5" w:rsidRPr="00365884" w:rsidRDefault="00501AE5" w:rsidP="00365884">
            <w:pPr>
              <w:spacing w:after="0" w:line="240" w:lineRule="auto"/>
              <w:jc w:val="center"/>
              <w:rPr>
                <w:sz w:val="20"/>
              </w:rPr>
            </w:pPr>
            <w:r w:rsidRPr="00365884">
              <w:rPr>
                <w:rFonts w:ascii="Calibri" w:hAnsi="Calibri" w:cs="Calibri"/>
                <w:b/>
                <w:bCs/>
                <w:color w:val="000000"/>
                <w:sz w:val="20"/>
              </w:rPr>
              <w:t xml:space="preserve">Docencia </w:t>
            </w:r>
            <w:r w:rsidRPr="00365884">
              <w:rPr>
                <w:rFonts w:ascii="Calibri" w:hAnsi="Calibri" w:cs="Calibri"/>
                <w:b/>
                <w:bCs/>
                <w:color w:val="000000"/>
                <w:sz w:val="20"/>
              </w:rPr>
              <w:br/>
            </w:r>
            <w:r w:rsidRPr="00365884">
              <w:rPr>
                <w:rFonts w:ascii="Calibri" w:hAnsi="Calibri" w:cs="Calibri"/>
                <w:color w:val="000000"/>
                <w:sz w:val="20"/>
              </w:rPr>
              <w:t>(30%)</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40555BBB" w14:textId="77777777" w:rsidR="00501AE5" w:rsidRPr="00365884" w:rsidRDefault="00501AE5" w:rsidP="00365884">
            <w:pPr>
              <w:spacing w:after="0" w:line="240" w:lineRule="auto"/>
              <w:rPr>
                <w:sz w:val="20"/>
              </w:rPr>
            </w:pPr>
            <w:r w:rsidRPr="00365884">
              <w:rPr>
                <w:rFonts w:ascii="Calibri" w:hAnsi="Calibri" w:cs="Calibri"/>
                <w:color w:val="000000"/>
                <w:sz w:val="20"/>
              </w:rPr>
              <w:t>Encuesta de reputación sobre docencia aplicada a académicos.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25ACF299" w14:textId="77777777" w:rsidR="00501AE5" w:rsidRPr="00365884" w:rsidRDefault="00501AE5" w:rsidP="00365884">
            <w:pPr>
              <w:spacing w:after="0" w:line="240" w:lineRule="auto"/>
              <w:jc w:val="center"/>
              <w:rPr>
                <w:sz w:val="20"/>
              </w:rPr>
            </w:pPr>
            <w:r w:rsidRPr="00365884">
              <w:rPr>
                <w:rFonts w:ascii="Calibri" w:hAnsi="Calibri" w:cs="Calibri"/>
                <w:color w:val="000000"/>
                <w:sz w:val="20"/>
              </w:rPr>
              <w:t>15%</w:t>
            </w:r>
          </w:p>
        </w:tc>
      </w:tr>
      <w:tr w:rsidR="00501AE5" w:rsidRPr="00365884" w14:paraId="3AC1BE8A" w14:textId="77777777" w:rsidTr="007F6BCB">
        <w:trPr>
          <w:trHeight w:val="306"/>
          <w:jc w:val="center"/>
        </w:trPr>
        <w:tc>
          <w:tcPr>
            <w:tcW w:w="1866" w:type="dxa"/>
            <w:vMerge/>
            <w:tcBorders>
              <w:left w:val="single" w:sz="4" w:space="0" w:color="auto"/>
              <w:right w:val="single" w:sz="4" w:space="0" w:color="auto"/>
            </w:tcBorders>
            <w:shd w:val="clear" w:color="auto" w:fill="auto"/>
            <w:vAlign w:val="center"/>
          </w:tcPr>
          <w:p w14:paraId="12A54CC3" w14:textId="77777777" w:rsidR="00501AE5" w:rsidRPr="00365884" w:rsidRDefault="00501AE5" w:rsidP="00365884">
            <w:pPr>
              <w:spacing w:after="0" w:line="240" w:lineRule="auto"/>
              <w:jc w:val="center"/>
              <w:rPr>
                <w:sz w:val="20"/>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6A7E8FCE" w14:textId="77777777" w:rsidR="00501AE5" w:rsidRPr="00365884" w:rsidRDefault="00501AE5" w:rsidP="00365884">
            <w:pPr>
              <w:spacing w:after="0" w:line="240" w:lineRule="auto"/>
              <w:rPr>
                <w:sz w:val="20"/>
              </w:rPr>
            </w:pPr>
            <w:r w:rsidRPr="00365884">
              <w:rPr>
                <w:rFonts w:ascii="Calibri" w:hAnsi="Calibri" w:cs="Calibri"/>
                <w:color w:val="000000"/>
                <w:sz w:val="20"/>
              </w:rPr>
              <w:t>Proporción de estudiantes entre número de académicos.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145FD02B" w14:textId="77777777" w:rsidR="00501AE5" w:rsidRPr="00365884" w:rsidRDefault="00501AE5" w:rsidP="00365884">
            <w:pPr>
              <w:spacing w:after="0" w:line="240" w:lineRule="auto"/>
              <w:jc w:val="center"/>
              <w:rPr>
                <w:sz w:val="20"/>
              </w:rPr>
            </w:pPr>
            <w:r w:rsidRPr="00365884">
              <w:rPr>
                <w:rFonts w:ascii="Calibri" w:hAnsi="Calibri" w:cs="Calibri"/>
                <w:color w:val="000000"/>
                <w:sz w:val="20"/>
              </w:rPr>
              <w:t>4.5%</w:t>
            </w:r>
          </w:p>
        </w:tc>
      </w:tr>
      <w:tr w:rsidR="00501AE5" w:rsidRPr="00365884" w14:paraId="5320379A" w14:textId="77777777" w:rsidTr="007F6BCB">
        <w:trPr>
          <w:trHeight w:val="306"/>
          <w:jc w:val="center"/>
        </w:trPr>
        <w:tc>
          <w:tcPr>
            <w:tcW w:w="1866" w:type="dxa"/>
            <w:vMerge/>
            <w:tcBorders>
              <w:left w:val="single" w:sz="4" w:space="0" w:color="auto"/>
              <w:right w:val="single" w:sz="4" w:space="0" w:color="auto"/>
            </w:tcBorders>
            <w:shd w:val="clear" w:color="auto" w:fill="auto"/>
            <w:vAlign w:val="center"/>
          </w:tcPr>
          <w:p w14:paraId="35B78176" w14:textId="77777777" w:rsidR="00501AE5" w:rsidRPr="00365884" w:rsidRDefault="00501AE5" w:rsidP="00365884">
            <w:pPr>
              <w:spacing w:after="0" w:line="240" w:lineRule="auto"/>
              <w:jc w:val="center"/>
              <w:rPr>
                <w:sz w:val="20"/>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5BEE50BA" w14:textId="77777777" w:rsidR="00501AE5" w:rsidRPr="00365884" w:rsidRDefault="00501AE5" w:rsidP="00365884">
            <w:pPr>
              <w:spacing w:after="0" w:line="240" w:lineRule="auto"/>
              <w:rPr>
                <w:sz w:val="20"/>
              </w:rPr>
            </w:pPr>
            <w:r w:rsidRPr="00365884">
              <w:rPr>
                <w:rFonts w:ascii="Calibri" w:hAnsi="Calibri" w:cs="Calibri"/>
                <w:color w:val="000000"/>
                <w:sz w:val="20"/>
              </w:rPr>
              <w:t>Doctorados otorgados entre licenciaturas otorgadas.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609BC6A3" w14:textId="77777777" w:rsidR="00501AE5" w:rsidRPr="00365884" w:rsidRDefault="00501AE5" w:rsidP="00365884">
            <w:pPr>
              <w:spacing w:after="0" w:line="240" w:lineRule="auto"/>
              <w:jc w:val="center"/>
              <w:rPr>
                <w:sz w:val="20"/>
              </w:rPr>
            </w:pPr>
            <w:r w:rsidRPr="00365884">
              <w:rPr>
                <w:rFonts w:ascii="Calibri" w:hAnsi="Calibri" w:cs="Calibri"/>
                <w:color w:val="000000"/>
                <w:sz w:val="20"/>
              </w:rPr>
              <w:t>2.25%</w:t>
            </w:r>
          </w:p>
        </w:tc>
      </w:tr>
      <w:tr w:rsidR="00501AE5" w:rsidRPr="00365884" w14:paraId="4D14DBAC" w14:textId="77777777" w:rsidTr="007F6BCB">
        <w:trPr>
          <w:trHeight w:val="306"/>
          <w:jc w:val="center"/>
        </w:trPr>
        <w:tc>
          <w:tcPr>
            <w:tcW w:w="1866" w:type="dxa"/>
            <w:vMerge/>
            <w:tcBorders>
              <w:left w:val="single" w:sz="4" w:space="0" w:color="auto"/>
              <w:right w:val="single" w:sz="4" w:space="0" w:color="auto"/>
            </w:tcBorders>
            <w:shd w:val="clear" w:color="auto" w:fill="auto"/>
            <w:vAlign w:val="center"/>
          </w:tcPr>
          <w:p w14:paraId="1601E75D" w14:textId="77777777" w:rsidR="00501AE5" w:rsidRPr="00365884" w:rsidRDefault="00501AE5" w:rsidP="00365884">
            <w:pPr>
              <w:spacing w:after="0" w:line="240" w:lineRule="auto"/>
              <w:jc w:val="center"/>
              <w:rPr>
                <w:sz w:val="20"/>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62159B26" w14:textId="77777777" w:rsidR="00501AE5" w:rsidRPr="00365884" w:rsidRDefault="00501AE5" w:rsidP="00365884">
            <w:pPr>
              <w:spacing w:after="0" w:line="240" w:lineRule="auto"/>
              <w:rPr>
                <w:sz w:val="20"/>
              </w:rPr>
            </w:pPr>
            <w:r w:rsidRPr="00365884">
              <w:rPr>
                <w:rFonts w:ascii="Calibri" w:hAnsi="Calibri" w:cs="Calibri"/>
                <w:color w:val="000000"/>
                <w:sz w:val="20"/>
              </w:rPr>
              <w:t>Doctorados otorgados entre número de académicos.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71EDDBC4" w14:textId="77777777" w:rsidR="00501AE5" w:rsidRPr="00365884" w:rsidRDefault="00501AE5" w:rsidP="00365884">
            <w:pPr>
              <w:spacing w:after="0" w:line="240" w:lineRule="auto"/>
              <w:jc w:val="center"/>
              <w:rPr>
                <w:sz w:val="20"/>
              </w:rPr>
            </w:pPr>
            <w:r w:rsidRPr="00365884">
              <w:rPr>
                <w:rFonts w:ascii="Calibri" w:hAnsi="Calibri" w:cs="Calibri"/>
                <w:color w:val="000000"/>
                <w:sz w:val="20"/>
              </w:rPr>
              <w:t>6%</w:t>
            </w:r>
          </w:p>
        </w:tc>
      </w:tr>
      <w:tr w:rsidR="00501AE5" w:rsidRPr="00365884" w14:paraId="4590C78F" w14:textId="77777777" w:rsidTr="007F6BCB">
        <w:trPr>
          <w:trHeight w:val="306"/>
          <w:jc w:val="center"/>
        </w:trPr>
        <w:tc>
          <w:tcPr>
            <w:tcW w:w="1866" w:type="dxa"/>
            <w:vMerge/>
            <w:tcBorders>
              <w:left w:val="single" w:sz="4" w:space="0" w:color="auto"/>
              <w:bottom w:val="single" w:sz="4" w:space="0" w:color="auto"/>
              <w:right w:val="single" w:sz="4" w:space="0" w:color="auto"/>
            </w:tcBorders>
            <w:shd w:val="clear" w:color="auto" w:fill="auto"/>
            <w:vAlign w:val="center"/>
          </w:tcPr>
          <w:p w14:paraId="343C3DDC" w14:textId="77777777" w:rsidR="00501AE5" w:rsidRPr="00365884" w:rsidRDefault="00501AE5" w:rsidP="00365884">
            <w:pPr>
              <w:spacing w:after="0" w:line="240" w:lineRule="auto"/>
              <w:jc w:val="center"/>
              <w:rPr>
                <w:sz w:val="20"/>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061DFBBD" w14:textId="77777777" w:rsidR="00501AE5" w:rsidRPr="00365884" w:rsidRDefault="00501AE5" w:rsidP="00365884">
            <w:pPr>
              <w:spacing w:after="0" w:line="240" w:lineRule="auto"/>
              <w:rPr>
                <w:sz w:val="20"/>
              </w:rPr>
            </w:pPr>
            <w:r w:rsidRPr="00365884">
              <w:rPr>
                <w:rFonts w:ascii="Calibri" w:hAnsi="Calibri" w:cs="Calibri"/>
                <w:color w:val="000000"/>
                <w:sz w:val="20"/>
              </w:rPr>
              <w:t>Presupuesto para docencia entre número de académicos.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74F3AD5" w14:textId="77777777" w:rsidR="00501AE5" w:rsidRPr="00365884" w:rsidRDefault="00501AE5" w:rsidP="00365884">
            <w:pPr>
              <w:spacing w:after="0" w:line="240" w:lineRule="auto"/>
              <w:jc w:val="center"/>
              <w:rPr>
                <w:sz w:val="20"/>
              </w:rPr>
            </w:pPr>
            <w:r w:rsidRPr="00365884">
              <w:rPr>
                <w:rFonts w:ascii="Calibri" w:hAnsi="Calibri" w:cs="Calibri"/>
                <w:color w:val="000000"/>
                <w:sz w:val="20"/>
              </w:rPr>
              <w:t>2.25%</w:t>
            </w:r>
          </w:p>
        </w:tc>
      </w:tr>
      <w:tr w:rsidR="00501AE5" w:rsidRPr="00365884" w14:paraId="0BDBB74D" w14:textId="77777777" w:rsidTr="007F6BCB">
        <w:trPr>
          <w:trHeight w:val="364"/>
          <w:jc w:val="center"/>
        </w:trPr>
        <w:tc>
          <w:tcPr>
            <w:tcW w:w="1866" w:type="dxa"/>
            <w:vMerge w:val="restart"/>
            <w:tcBorders>
              <w:top w:val="single" w:sz="4" w:space="0" w:color="auto"/>
              <w:left w:val="single" w:sz="4" w:space="0" w:color="auto"/>
              <w:right w:val="single" w:sz="4" w:space="0" w:color="auto"/>
            </w:tcBorders>
            <w:shd w:val="clear" w:color="auto" w:fill="auto"/>
            <w:vAlign w:val="center"/>
          </w:tcPr>
          <w:p w14:paraId="5E448C0B" w14:textId="77777777" w:rsidR="00501AE5" w:rsidRPr="00365884" w:rsidRDefault="00501AE5" w:rsidP="00365884">
            <w:pPr>
              <w:spacing w:after="0" w:line="240" w:lineRule="auto"/>
              <w:jc w:val="center"/>
              <w:rPr>
                <w:sz w:val="20"/>
              </w:rPr>
            </w:pPr>
            <w:r w:rsidRPr="00365884">
              <w:rPr>
                <w:rFonts w:ascii="Calibri" w:hAnsi="Calibri" w:cs="Calibri"/>
                <w:b/>
                <w:bCs/>
                <w:color w:val="000000"/>
                <w:sz w:val="20"/>
              </w:rPr>
              <w:t xml:space="preserve">Investigación </w:t>
            </w:r>
            <w:r w:rsidRPr="00365884">
              <w:rPr>
                <w:rFonts w:ascii="Calibri" w:hAnsi="Calibri" w:cs="Calibri"/>
                <w:b/>
                <w:bCs/>
                <w:color w:val="000000"/>
                <w:sz w:val="20"/>
              </w:rPr>
              <w:br/>
            </w:r>
            <w:r w:rsidRPr="00365884">
              <w:rPr>
                <w:rFonts w:ascii="Calibri" w:hAnsi="Calibri" w:cs="Calibri"/>
                <w:color w:val="000000"/>
                <w:sz w:val="20"/>
              </w:rPr>
              <w:t>(30%)</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06BD6CB3" w14:textId="77777777" w:rsidR="00501AE5" w:rsidRPr="00365884" w:rsidRDefault="00501AE5" w:rsidP="00365884">
            <w:pPr>
              <w:spacing w:after="0" w:line="240" w:lineRule="auto"/>
              <w:rPr>
                <w:sz w:val="20"/>
              </w:rPr>
            </w:pPr>
            <w:r w:rsidRPr="00365884">
              <w:rPr>
                <w:rFonts w:ascii="Calibri" w:hAnsi="Calibri" w:cs="Calibri"/>
                <w:color w:val="000000"/>
                <w:sz w:val="20"/>
              </w:rPr>
              <w:t>Encuesta de reputación sobre investigación aplicada a académicos.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2BFFB551" w14:textId="77777777" w:rsidR="00501AE5" w:rsidRPr="00365884" w:rsidRDefault="00501AE5" w:rsidP="00365884">
            <w:pPr>
              <w:spacing w:after="0" w:line="240" w:lineRule="auto"/>
              <w:jc w:val="center"/>
              <w:rPr>
                <w:sz w:val="20"/>
              </w:rPr>
            </w:pPr>
            <w:r w:rsidRPr="00365884">
              <w:rPr>
                <w:rFonts w:ascii="Calibri" w:hAnsi="Calibri" w:cs="Calibri"/>
                <w:color w:val="000000"/>
                <w:sz w:val="20"/>
              </w:rPr>
              <w:t>18%</w:t>
            </w:r>
          </w:p>
        </w:tc>
      </w:tr>
      <w:tr w:rsidR="00501AE5" w:rsidRPr="00365884" w14:paraId="1A59C2E6" w14:textId="77777777" w:rsidTr="007F6BCB">
        <w:trPr>
          <w:trHeight w:val="364"/>
          <w:jc w:val="center"/>
        </w:trPr>
        <w:tc>
          <w:tcPr>
            <w:tcW w:w="1866" w:type="dxa"/>
            <w:vMerge/>
            <w:tcBorders>
              <w:left w:val="single" w:sz="4" w:space="0" w:color="auto"/>
              <w:right w:val="single" w:sz="4" w:space="0" w:color="auto"/>
            </w:tcBorders>
            <w:shd w:val="clear" w:color="auto" w:fill="auto"/>
            <w:vAlign w:val="center"/>
          </w:tcPr>
          <w:p w14:paraId="0713B468" w14:textId="77777777" w:rsidR="00501AE5" w:rsidRPr="00365884" w:rsidRDefault="00501AE5" w:rsidP="00365884">
            <w:pPr>
              <w:spacing w:after="0" w:line="240" w:lineRule="auto"/>
              <w:jc w:val="center"/>
              <w:rPr>
                <w:sz w:val="20"/>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19FCAC6F" w14:textId="77777777" w:rsidR="00501AE5" w:rsidRPr="00365884" w:rsidRDefault="00501AE5" w:rsidP="00365884">
            <w:pPr>
              <w:spacing w:after="0" w:line="240" w:lineRule="auto"/>
              <w:rPr>
                <w:rFonts w:ascii="Calibri" w:hAnsi="Calibri" w:cs="Calibri"/>
                <w:color w:val="000000"/>
                <w:sz w:val="20"/>
              </w:rPr>
            </w:pPr>
            <w:r w:rsidRPr="00365884">
              <w:rPr>
                <w:rFonts w:ascii="Calibri" w:hAnsi="Calibri" w:cs="Calibri"/>
                <w:color w:val="000000"/>
                <w:sz w:val="20"/>
              </w:rPr>
              <w:t>Promedio de artículos publicados en revistas indexadas en Elsevier Scopus entre el número de académicos.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0D6FF013" w14:textId="77777777" w:rsidR="00501AE5" w:rsidRPr="00365884" w:rsidRDefault="00501AE5" w:rsidP="00365884">
            <w:pPr>
              <w:spacing w:after="0" w:line="240" w:lineRule="auto"/>
              <w:jc w:val="center"/>
              <w:rPr>
                <w:sz w:val="20"/>
              </w:rPr>
            </w:pPr>
            <w:r w:rsidRPr="00365884">
              <w:rPr>
                <w:rFonts w:ascii="Calibri" w:hAnsi="Calibri" w:cs="Calibri"/>
                <w:color w:val="000000"/>
                <w:sz w:val="20"/>
              </w:rPr>
              <w:t>6%</w:t>
            </w:r>
          </w:p>
        </w:tc>
      </w:tr>
      <w:tr w:rsidR="00501AE5" w:rsidRPr="00365884" w14:paraId="53AB5D7E" w14:textId="77777777" w:rsidTr="007F6BCB">
        <w:trPr>
          <w:trHeight w:val="364"/>
          <w:jc w:val="center"/>
        </w:trPr>
        <w:tc>
          <w:tcPr>
            <w:tcW w:w="1866" w:type="dxa"/>
            <w:vMerge/>
            <w:tcBorders>
              <w:left w:val="single" w:sz="4" w:space="0" w:color="auto"/>
              <w:bottom w:val="single" w:sz="4" w:space="0" w:color="auto"/>
              <w:right w:val="single" w:sz="4" w:space="0" w:color="auto"/>
            </w:tcBorders>
            <w:shd w:val="clear" w:color="auto" w:fill="auto"/>
            <w:vAlign w:val="center"/>
          </w:tcPr>
          <w:p w14:paraId="0096BBAA" w14:textId="77777777" w:rsidR="00501AE5" w:rsidRPr="00365884" w:rsidRDefault="00501AE5" w:rsidP="00365884">
            <w:pPr>
              <w:spacing w:after="0" w:line="240" w:lineRule="auto"/>
              <w:jc w:val="center"/>
              <w:rPr>
                <w:sz w:val="20"/>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31AA0E86" w14:textId="77777777" w:rsidR="00501AE5" w:rsidRPr="00365884" w:rsidRDefault="00501AE5" w:rsidP="00365884">
            <w:pPr>
              <w:spacing w:after="0" w:line="240" w:lineRule="auto"/>
              <w:rPr>
                <w:sz w:val="20"/>
              </w:rPr>
            </w:pPr>
            <w:r w:rsidRPr="00365884">
              <w:rPr>
                <w:rFonts w:ascii="Calibri" w:hAnsi="Calibri" w:cs="Calibri"/>
                <w:color w:val="000000"/>
                <w:sz w:val="20"/>
              </w:rPr>
              <w:t>Financiamiento para investigación entre número de académicos.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63FBF322" w14:textId="77777777" w:rsidR="00501AE5" w:rsidRPr="00365884" w:rsidRDefault="00501AE5" w:rsidP="00365884">
            <w:pPr>
              <w:spacing w:after="0" w:line="240" w:lineRule="auto"/>
              <w:jc w:val="center"/>
              <w:rPr>
                <w:sz w:val="20"/>
              </w:rPr>
            </w:pPr>
            <w:r w:rsidRPr="00365884">
              <w:rPr>
                <w:rFonts w:ascii="Calibri" w:hAnsi="Calibri" w:cs="Calibri"/>
                <w:color w:val="000000"/>
                <w:sz w:val="20"/>
              </w:rPr>
              <w:t>6%</w:t>
            </w:r>
          </w:p>
        </w:tc>
      </w:tr>
      <w:tr w:rsidR="00501AE5" w:rsidRPr="00365884" w14:paraId="51AD81E5" w14:textId="77777777" w:rsidTr="007F6BCB">
        <w:trPr>
          <w:trHeight w:val="364"/>
          <w:jc w:val="center"/>
        </w:trPr>
        <w:tc>
          <w:tcPr>
            <w:tcW w:w="1866" w:type="dxa"/>
            <w:vMerge w:val="restart"/>
            <w:tcBorders>
              <w:top w:val="single" w:sz="4" w:space="0" w:color="auto"/>
              <w:left w:val="single" w:sz="4" w:space="0" w:color="auto"/>
              <w:right w:val="single" w:sz="4" w:space="0" w:color="auto"/>
            </w:tcBorders>
            <w:shd w:val="clear" w:color="auto" w:fill="auto"/>
            <w:vAlign w:val="center"/>
          </w:tcPr>
          <w:p w14:paraId="702E8FC6" w14:textId="77777777" w:rsidR="00501AE5" w:rsidRPr="00365884" w:rsidRDefault="00501AE5" w:rsidP="00365884">
            <w:pPr>
              <w:spacing w:after="0" w:line="240" w:lineRule="auto"/>
              <w:jc w:val="center"/>
              <w:rPr>
                <w:rFonts w:ascii="Calibri" w:hAnsi="Calibri" w:cs="Calibri"/>
                <w:color w:val="000000"/>
                <w:sz w:val="20"/>
              </w:rPr>
            </w:pPr>
            <w:r w:rsidRPr="00365884">
              <w:rPr>
                <w:rFonts w:ascii="Calibri" w:hAnsi="Calibri" w:cs="Calibri"/>
                <w:b/>
                <w:bCs/>
                <w:color w:val="000000"/>
                <w:sz w:val="20"/>
              </w:rPr>
              <w:t>Perspectiva internacional</w:t>
            </w:r>
            <w:r w:rsidRPr="00365884">
              <w:rPr>
                <w:rFonts w:ascii="Calibri" w:hAnsi="Calibri" w:cs="Calibri"/>
                <w:color w:val="000000"/>
                <w:sz w:val="20"/>
              </w:rPr>
              <w:t xml:space="preserve"> </w:t>
            </w:r>
          </w:p>
          <w:p w14:paraId="454E9970" w14:textId="3AFAB154" w:rsidR="00501AE5" w:rsidRPr="00365884" w:rsidRDefault="00501AE5" w:rsidP="00365884">
            <w:pPr>
              <w:spacing w:after="0" w:line="240" w:lineRule="auto"/>
              <w:jc w:val="center"/>
              <w:rPr>
                <w:sz w:val="20"/>
              </w:rPr>
            </w:pPr>
            <w:r w:rsidRPr="00365884">
              <w:rPr>
                <w:rFonts w:ascii="Calibri" w:hAnsi="Calibri" w:cs="Calibri"/>
                <w:color w:val="000000"/>
                <w:sz w:val="20"/>
              </w:rPr>
              <w:t>(10%)</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736136ED" w14:textId="77777777" w:rsidR="00501AE5" w:rsidRPr="00365884" w:rsidRDefault="00501AE5" w:rsidP="00365884">
            <w:pPr>
              <w:spacing w:after="0" w:line="240" w:lineRule="auto"/>
              <w:rPr>
                <w:sz w:val="20"/>
              </w:rPr>
            </w:pPr>
            <w:r w:rsidRPr="00365884">
              <w:rPr>
                <w:rFonts w:ascii="Calibri" w:hAnsi="Calibri" w:cs="Calibri"/>
                <w:color w:val="000000"/>
                <w:sz w:val="20"/>
              </w:rPr>
              <w:t>Proporción de académicos internacionales entre académicos nacionales.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738508BF" w14:textId="7ADF4BFC" w:rsidR="00501AE5" w:rsidRPr="00365884" w:rsidRDefault="00501AE5" w:rsidP="00365884">
            <w:pPr>
              <w:spacing w:after="0" w:line="240" w:lineRule="auto"/>
              <w:jc w:val="center"/>
              <w:rPr>
                <w:sz w:val="20"/>
              </w:rPr>
            </w:pPr>
            <w:r w:rsidRPr="00365884">
              <w:rPr>
                <w:rFonts w:ascii="Calibri" w:hAnsi="Calibri" w:cs="Calibri"/>
                <w:color w:val="000000"/>
                <w:sz w:val="20"/>
              </w:rPr>
              <w:t>3.33%</w:t>
            </w:r>
          </w:p>
        </w:tc>
      </w:tr>
      <w:tr w:rsidR="00501AE5" w:rsidRPr="00365884" w14:paraId="127A2236" w14:textId="77777777" w:rsidTr="007F6BCB">
        <w:trPr>
          <w:trHeight w:val="364"/>
          <w:jc w:val="center"/>
        </w:trPr>
        <w:tc>
          <w:tcPr>
            <w:tcW w:w="1866" w:type="dxa"/>
            <w:vMerge/>
            <w:tcBorders>
              <w:left w:val="single" w:sz="4" w:space="0" w:color="auto"/>
              <w:right w:val="single" w:sz="4" w:space="0" w:color="auto"/>
            </w:tcBorders>
            <w:shd w:val="clear" w:color="auto" w:fill="auto"/>
            <w:vAlign w:val="center"/>
          </w:tcPr>
          <w:p w14:paraId="085D076F" w14:textId="77777777" w:rsidR="00501AE5" w:rsidRPr="00365884" w:rsidRDefault="00501AE5" w:rsidP="00365884">
            <w:pPr>
              <w:spacing w:after="0" w:line="240" w:lineRule="auto"/>
              <w:jc w:val="center"/>
              <w:rPr>
                <w:sz w:val="20"/>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73F2ED9C" w14:textId="7CE2D8B2" w:rsidR="00501AE5" w:rsidRPr="00365884" w:rsidRDefault="00501AE5" w:rsidP="00365884">
            <w:pPr>
              <w:spacing w:after="0" w:line="240" w:lineRule="auto"/>
              <w:rPr>
                <w:sz w:val="20"/>
              </w:rPr>
            </w:pPr>
            <w:r w:rsidRPr="00365884">
              <w:rPr>
                <w:rFonts w:ascii="Calibri" w:hAnsi="Calibri" w:cs="Calibri"/>
                <w:color w:val="000000"/>
                <w:sz w:val="20"/>
              </w:rPr>
              <w:t>Proporción de estudiantes internacionales entre estudiantes nacionales</w:t>
            </w:r>
            <w:r w:rsidR="008D6D0B" w:rsidRPr="00365884">
              <w:rPr>
                <w:rFonts w:ascii="Calibri" w:hAnsi="Calibri" w:cs="Calibri"/>
                <w:color w:val="000000"/>
                <w:sz w:val="20"/>
              </w:rPr>
              <w:t>.</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9927408" w14:textId="1C96403F" w:rsidR="00501AE5" w:rsidRPr="00365884" w:rsidRDefault="00501AE5" w:rsidP="00365884">
            <w:pPr>
              <w:spacing w:after="0" w:line="240" w:lineRule="auto"/>
              <w:jc w:val="center"/>
              <w:rPr>
                <w:sz w:val="20"/>
              </w:rPr>
            </w:pPr>
            <w:r w:rsidRPr="00365884">
              <w:rPr>
                <w:rFonts w:ascii="Calibri" w:hAnsi="Calibri" w:cs="Calibri"/>
                <w:color w:val="000000"/>
                <w:sz w:val="20"/>
              </w:rPr>
              <w:t>3.33%</w:t>
            </w:r>
          </w:p>
        </w:tc>
      </w:tr>
      <w:tr w:rsidR="00501AE5" w:rsidRPr="00365884" w14:paraId="39329DEB" w14:textId="77777777" w:rsidTr="007F6BCB">
        <w:trPr>
          <w:trHeight w:val="364"/>
          <w:jc w:val="center"/>
        </w:trPr>
        <w:tc>
          <w:tcPr>
            <w:tcW w:w="1866" w:type="dxa"/>
            <w:vMerge/>
            <w:tcBorders>
              <w:left w:val="single" w:sz="4" w:space="0" w:color="auto"/>
              <w:bottom w:val="single" w:sz="4" w:space="0" w:color="auto"/>
              <w:right w:val="single" w:sz="4" w:space="0" w:color="auto"/>
            </w:tcBorders>
            <w:shd w:val="clear" w:color="auto" w:fill="auto"/>
            <w:vAlign w:val="center"/>
          </w:tcPr>
          <w:p w14:paraId="727F3A25" w14:textId="77777777" w:rsidR="00501AE5" w:rsidRPr="00365884" w:rsidRDefault="00501AE5" w:rsidP="00365884">
            <w:pPr>
              <w:spacing w:after="0" w:line="240" w:lineRule="auto"/>
              <w:jc w:val="center"/>
              <w:rPr>
                <w:sz w:val="20"/>
              </w:rPr>
            </w:pP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15E6970E" w14:textId="77777777" w:rsidR="00501AE5" w:rsidRPr="00365884" w:rsidRDefault="00501AE5" w:rsidP="00365884">
            <w:pPr>
              <w:spacing w:after="0" w:line="240" w:lineRule="auto"/>
              <w:rPr>
                <w:sz w:val="20"/>
              </w:rPr>
            </w:pPr>
            <w:r w:rsidRPr="00365884">
              <w:rPr>
                <w:rFonts w:ascii="Calibri" w:hAnsi="Calibri" w:cs="Calibri"/>
                <w:color w:val="000000"/>
                <w:sz w:val="20"/>
              </w:rPr>
              <w:t>Proporción de artículos publicados con coautores internacionales.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A3DA012" w14:textId="7AA7D593" w:rsidR="00501AE5" w:rsidRPr="00365884" w:rsidRDefault="00501AE5" w:rsidP="00365884">
            <w:pPr>
              <w:spacing w:after="0" w:line="240" w:lineRule="auto"/>
              <w:jc w:val="center"/>
              <w:rPr>
                <w:sz w:val="20"/>
              </w:rPr>
            </w:pPr>
            <w:r w:rsidRPr="00365884">
              <w:rPr>
                <w:rFonts w:ascii="Calibri" w:hAnsi="Calibri" w:cs="Calibri"/>
                <w:color w:val="000000"/>
                <w:sz w:val="20"/>
              </w:rPr>
              <w:t>3.34%</w:t>
            </w:r>
          </w:p>
        </w:tc>
      </w:tr>
      <w:tr w:rsidR="00501AE5" w:rsidRPr="00365884" w14:paraId="3DB255DD" w14:textId="77777777" w:rsidTr="007F6BCB">
        <w:trPr>
          <w:trHeight w:val="364"/>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14:paraId="65E10FDE" w14:textId="77777777" w:rsidR="00501AE5" w:rsidRPr="00365884" w:rsidRDefault="00501AE5" w:rsidP="00365884">
            <w:pPr>
              <w:spacing w:after="0" w:line="240" w:lineRule="auto"/>
              <w:jc w:val="center"/>
              <w:rPr>
                <w:rFonts w:ascii="Calibri" w:hAnsi="Calibri" w:cs="Calibri"/>
                <w:color w:val="000000"/>
                <w:sz w:val="20"/>
              </w:rPr>
            </w:pPr>
            <w:r w:rsidRPr="00365884">
              <w:rPr>
                <w:rFonts w:ascii="Calibri" w:hAnsi="Calibri" w:cs="Calibri"/>
                <w:b/>
                <w:bCs/>
                <w:color w:val="000000"/>
                <w:sz w:val="20"/>
              </w:rPr>
              <w:t>Financiamiento de la industria</w:t>
            </w:r>
            <w:r w:rsidRPr="00365884">
              <w:rPr>
                <w:rFonts w:ascii="Calibri" w:hAnsi="Calibri" w:cs="Calibri"/>
                <w:color w:val="000000"/>
                <w:sz w:val="20"/>
              </w:rPr>
              <w:t xml:space="preserve"> </w:t>
            </w:r>
          </w:p>
          <w:p w14:paraId="062AAD24" w14:textId="2BBF4623" w:rsidR="00501AE5" w:rsidRPr="00365884" w:rsidRDefault="00501AE5" w:rsidP="00365884">
            <w:pPr>
              <w:spacing w:after="0" w:line="240" w:lineRule="auto"/>
              <w:jc w:val="center"/>
              <w:rPr>
                <w:sz w:val="20"/>
              </w:rPr>
            </w:pPr>
            <w:r w:rsidRPr="00365884">
              <w:rPr>
                <w:rFonts w:ascii="Calibri" w:hAnsi="Calibri" w:cs="Calibri"/>
                <w:color w:val="000000"/>
                <w:sz w:val="20"/>
              </w:rPr>
              <w:t>(10%)</w:t>
            </w:r>
          </w:p>
        </w:tc>
        <w:tc>
          <w:tcPr>
            <w:tcW w:w="6624" w:type="dxa"/>
            <w:tcBorders>
              <w:top w:val="single" w:sz="4" w:space="0" w:color="auto"/>
              <w:left w:val="single" w:sz="4" w:space="0" w:color="auto"/>
              <w:bottom w:val="single" w:sz="4" w:space="0" w:color="auto"/>
              <w:right w:val="single" w:sz="4" w:space="0" w:color="auto"/>
            </w:tcBorders>
            <w:shd w:val="clear" w:color="auto" w:fill="auto"/>
            <w:vAlign w:val="center"/>
          </w:tcPr>
          <w:p w14:paraId="2E40EA5D" w14:textId="77777777" w:rsidR="00501AE5" w:rsidRPr="00365884" w:rsidRDefault="00501AE5" w:rsidP="00365884">
            <w:pPr>
              <w:spacing w:after="0" w:line="240" w:lineRule="auto"/>
              <w:rPr>
                <w:sz w:val="20"/>
              </w:rPr>
            </w:pPr>
            <w:r w:rsidRPr="00365884">
              <w:rPr>
                <w:rFonts w:ascii="Calibri" w:hAnsi="Calibri" w:cs="Calibri"/>
                <w:color w:val="000000"/>
                <w:sz w:val="20"/>
              </w:rPr>
              <w:t>Financiamiento proveniente de la industria dedicado a la investigación entre el número de académicos.</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0B6BB2AD" w14:textId="209A1956" w:rsidR="00501AE5" w:rsidRPr="00365884" w:rsidRDefault="00501AE5" w:rsidP="00365884">
            <w:pPr>
              <w:spacing w:after="0" w:line="240" w:lineRule="auto"/>
              <w:jc w:val="center"/>
              <w:rPr>
                <w:sz w:val="20"/>
              </w:rPr>
            </w:pPr>
            <w:r w:rsidRPr="00365884">
              <w:rPr>
                <w:rFonts w:ascii="Calibri" w:hAnsi="Calibri" w:cs="Calibri"/>
                <w:color w:val="000000"/>
                <w:sz w:val="20"/>
              </w:rPr>
              <w:t>10%</w:t>
            </w:r>
          </w:p>
        </w:tc>
      </w:tr>
    </w:tbl>
    <w:p w14:paraId="2073ABB2" w14:textId="77777777" w:rsidR="00236AB1" w:rsidRPr="00365884" w:rsidRDefault="00236AB1" w:rsidP="00365884">
      <w:pPr>
        <w:spacing w:after="0" w:line="240" w:lineRule="auto"/>
        <w:rPr>
          <w:sz w:val="19"/>
          <w:szCs w:val="19"/>
        </w:rPr>
      </w:pPr>
    </w:p>
    <w:p w14:paraId="115B1A96" w14:textId="7093379C" w:rsidR="002E3C48" w:rsidRPr="00365884" w:rsidRDefault="00501AE5" w:rsidP="00365884">
      <w:pPr>
        <w:pStyle w:val="Prrafodelista"/>
        <w:spacing w:after="0" w:line="240" w:lineRule="auto"/>
        <w:jc w:val="both"/>
        <w:rPr>
          <w:sz w:val="24"/>
        </w:rPr>
      </w:pPr>
      <w:r w:rsidRPr="00365884">
        <w:rPr>
          <w:sz w:val="24"/>
        </w:rPr>
        <w:t>Todos los puntajes del ranking se encuentran normalizados al 100% con respecto a las universidades con mejor desempeño en cada indicador.</w:t>
      </w:r>
    </w:p>
    <w:p w14:paraId="66E9DC33" w14:textId="76FB037D" w:rsidR="002E3C48" w:rsidRPr="00365884" w:rsidRDefault="002E3C48" w:rsidP="00365884">
      <w:pPr>
        <w:spacing w:after="0" w:line="240" w:lineRule="auto"/>
        <w:rPr>
          <w:sz w:val="19"/>
          <w:szCs w:val="19"/>
        </w:rPr>
      </w:pPr>
    </w:p>
    <w:p w14:paraId="541D78B4" w14:textId="755F772E" w:rsidR="00305498" w:rsidRPr="00365884" w:rsidRDefault="00305498" w:rsidP="00365884">
      <w:pPr>
        <w:pStyle w:val="Prrafodelista"/>
        <w:spacing w:after="0" w:line="240" w:lineRule="auto"/>
        <w:jc w:val="both"/>
        <w:rPr>
          <w:b/>
          <w:bCs/>
          <w:sz w:val="24"/>
        </w:rPr>
      </w:pPr>
      <w:r w:rsidRPr="00365884">
        <w:rPr>
          <w:b/>
          <w:bCs/>
          <w:sz w:val="24"/>
        </w:rPr>
        <w:lastRenderedPageBreak/>
        <w:t>Diferencias metodológicas entre los rankings de THE</w:t>
      </w:r>
    </w:p>
    <w:p w14:paraId="09AC6BFC" w14:textId="77777777" w:rsidR="00305498" w:rsidRPr="00365884" w:rsidRDefault="00305498" w:rsidP="00365884">
      <w:pPr>
        <w:pStyle w:val="Prrafodelista"/>
        <w:spacing w:after="0" w:line="240" w:lineRule="auto"/>
        <w:jc w:val="both"/>
        <w:rPr>
          <w:sz w:val="24"/>
        </w:rPr>
      </w:pPr>
      <w:r w:rsidRPr="00365884">
        <w:rPr>
          <w:sz w:val="24"/>
        </w:rPr>
        <w:t xml:space="preserve"> </w:t>
      </w:r>
    </w:p>
    <w:p w14:paraId="512E3716" w14:textId="384AC42C" w:rsidR="00305498" w:rsidRPr="00365884" w:rsidRDefault="00305498" w:rsidP="00365884">
      <w:pPr>
        <w:pStyle w:val="Prrafodelista"/>
        <w:numPr>
          <w:ilvl w:val="0"/>
          <w:numId w:val="1"/>
        </w:numPr>
        <w:spacing w:after="0" w:line="240" w:lineRule="auto"/>
        <w:jc w:val="both"/>
        <w:rPr>
          <w:sz w:val="24"/>
        </w:rPr>
      </w:pPr>
      <w:r w:rsidRPr="00365884">
        <w:rPr>
          <w:sz w:val="24"/>
        </w:rPr>
        <w:t>Los 3 principales rankings de THE (Mundial, Latinoamérica, BRICS y Economías Emergentes) han mantenido los mismos 5 indicadores a lo largo de los años</w:t>
      </w:r>
      <w:r w:rsidR="00BA5366">
        <w:rPr>
          <w:sz w:val="24"/>
        </w:rPr>
        <w:t>. S</w:t>
      </w:r>
      <w:r w:rsidR="00DA4889" w:rsidRPr="00365884">
        <w:rPr>
          <w:sz w:val="24"/>
        </w:rPr>
        <w:t>in embargo</w:t>
      </w:r>
      <w:r w:rsidR="00BA5366">
        <w:rPr>
          <w:sz w:val="24"/>
        </w:rPr>
        <w:t>,</w:t>
      </w:r>
      <w:r w:rsidR="00DA4889" w:rsidRPr="00365884">
        <w:rPr>
          <w:sz w:val="24"/>
        </w:rPr>
        <w:t xml:space="preserve"> </w:t>
      </w:r>
      <w:r w:rsidR="0023497B" w:rsidRPr="00365884">
        <w:rPr>
          <w:sz w:val="24"/>
        </w:rPr>
        <w:t xml:space="preserve">a cada ranking </w:t>
      </w:r>
      <w:r w:rsidR="00DA4889" w:rsidRPr="00365884">
        <w:rPr>
          <w:sz w:val="24"/>
        </w:rPr>
        <w:t xml:space="preserve">se </w:t>
      </w:r>
      <w:r w:rsidR="0023497B">
        <w:rPr>
          <w:sz w:val="24"/>
        </w:rPr>
        <w:t xml:space="preserve">le </w:t>
      </w:r>
      <w:r w:rsidR="00DA4889" w:rsidRPr="00365884">
        <w:rPr>
          <w:sz w:val="24"/>
        </w:rPr>
        <w:t>asigna una ponderación diferente para adecuarlo con las necesidades de cada región evaluada</w:t>
      </w:r>
      <w:r w:rsidRPr="00365884">
        <w:rPr>
          <w:sz w:val="24"/>
        </w:rPr>
        <w:t>.</w:t>
      </w:r>
    </w:p>
    <w:p w14:paraId="75041B82" w14:textId="593403DB" w:rsidR="00305498" w:rsidRPr="00365884" w:rsidRDefault="00305498" w:rsidP="00365884">
      <w:pPr>
        <w:pStyle w:val="Prrafodelista"/>
        <w:spacing w:after="0" w:line="240" w:lineRule="auto"/>
        <w:jc w:val="both"/>
        <w:rPr>
          <w:sz w:val="24"/>
        </w:rPr>
      </w:pPr>
    </w:p>
    <w:tbl>
      <w:tblPr>
        <w:tblW w:w="6946" w:type="dxa"/>
        <w:jc w:val="center"/>
        <w:tblCellMar>
          <w:left w:w="70" w:type="dxa"/>
          <w:right w:w="70" w:type="dxa"/>
        </w:tblCellMar>
        <w:tblLook w:val="04A0" w:firstRow="1" w:lastRow="0" w:firstColumn="1" w:lastColumn="0" w:noHBand="0" w:noVBand="1"/>
      </w:tblPr>
      <w:tblGrid>
        <w:gridCol w:w="2835"/>
        <w:gridCol w:w="1004"/>
        <w:gridCol w:w="1436"/>
        <w:gridCol w:w="1671"/>
      </w:tblGrid>
      <w:tr w:rsidR="00305498" w:rsidRPr="00365884" w14:paraId="1B12DD8A" w14:textId="77777777" w:rsidTr="00DA4889">
        <w:trPr>
          <w:trHeight w:val="131"/>
          <w:tblHeader/>
          <w:jc w:val="center"/>
        </w:trPr>
        <w:tc>
          <w:tcPr>
            <w:tcW w:w="6946" w:type="dxa"/>
            <w:gridSpan w:val="4"/>
            <w:tcBorders>
              <w:bottom w:val="single" w:sz="4" w:space="0" w:color="auto"/>
            </w:tcBorders>
            <w:shd w:val="clear" w:color="auto" w:fill="auto"/>
            <w:noWrap/>
            <w:vAlign w:val="center"/>
          </w:tcPr>
          <w:p w14:paraId="173D05C4" w14:textId="688224F6" w:rsidR="00305498" w:rsidRPr="00365884" w:rsidRDefault="00305498" w:rsidP="00365884">
            <w:pPr>
              <w:spacing w:after="0" w:line="240" w:lineRule="auto"/>
              <w:jc w:val="center"/>
              <w:rPr>
                <w:b/>
                <w:sz w:val="20"/>
                <w:szCs w:val="18"/>
              </w:rPr>
            </w:pPr>
            <w:r w:rsidRPr="00365884">
              <w:rPr>
                <w:b/>
                <w:sz w:val="20"/>
                <w:szCs w:val="18"/>
              </w:rPr>
              <w:t>Tabla 1. Indicadores y ponderadores considerados en los THE ranking mundial, Latinoamérica, y BRICS y Economías Emergentes, 2021.</w:t>
            </w:r>
          </w:p>
        </w:tc>
      </w:tr>
      <w:tr w:rsidR="00305498" w:rsidRPr="00365884" w14:paraId="0A94D682" w14:textId="77777777" w:rsidTr="00DA4889">
        <w:trPr>
          <w:trHeight w:val="131"/>
          <w:tblHeader/>
          <w:jc w:val="center"/>
        </w:trPr>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3DC9A67D" w14:textId="77777777" w:rsidR="00305498" w:rsidRPr="00365884" w:rsidRDefault="00305498" w:rsidP="00365884">
            <w:pPr>
              <w:spacing w:after="0" w:line="240" w:lineRule="auto"/>
              <w:jc w:val="center"/>
              <w:rPr>
                <w:rFonts w:cstheme="minorHAnsi"/>
                <w:b/>
                <w:sz w:val="18"/>
                <w:szCs w:val="18"/>
              </w:rPr>
            </w:pPr>
            <w:r w:rsidRPr="00365884">
              <w:rPr>
                <w:rFonts w:cstheme="minorHAnsi"/>
                <w:b/>
                <w:sz w:val="18"/>
                <w:szCs w:val="18"/>
              </w:rPr>
              <w:t>Indicadores</w:t>
            </w:r>
          </w:p>
        </w:tc>
        <w:tc>
          <w:tcPr>
            <w:tcW w:w="10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C04DB74" w14:textId="77777777" w:rsidR="00305498" w:rsidRPr="00365884" w:rsidRDefault="00305498" w:rsidP="00365884">
            <w:pPr>
              <w:spacing w:after="0" w:line="240" w:lineRule="auto"/>
              <w:jc w:val="center"/>
              <w:rPr>
                <w:rFonts w:cstheme="minorHAnsi"/>
                <w:b/>
                <w:sz w:val="18"/>
                <w:szCs w:val="18"/>
              </w:rPr>
            </w:pPr>
            <w:r w:rsidRPr="00365884">
              <w:rPr>
                <w:rFonts w:cstheme="minorHAnsi"/>
                <w:b/>
                <w:sz w:val="18"/>
                <w:szCs w:val="18"/>
              </w:rPr>
              <w:t>Mundial</w:t>
            </w:r>
            <w:r w:rsidRPr="00365884">
              <w:rPr>
                <w:rFonts w:cstheme="minorHAnsi"/>
                <w:b/>
                <w:sz w:val="18"/>
                <w:szCs w:val="18"/>
              </w:rPr>
              <w:br/>
              <w:t>2021</w:t>
            </w:r>
          </w:p>
        </w:tc>
        <w:tc>
          <w:tcPr>
            <w:tcW w:w="143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6163ED5F" w14:textId="7740B3D6" w:rsidR="00305498" w:rsidRPr="00365884" w:rsidRDefault="00305498" w:rsidP="00365884">
            <w:pPr>
              <w:spacing w:after="0" w:line="240" w:lineRule="auto"/>
              <w:jc w:val="center"/>
              <w:rPr>
                <w:rFonts w:cstheme="minorHAnsi"/>
                <w:b/>
                <w:sz w:val="18"/>
                <w:szCs w:val="18"/>
              </w:rPr>
            </w:pPr>
            <w:r w:rsidRPr="00365884">
              <w:rPr>
                <w:rFonts w:cstheme="minorHAnsi"/>
                <w:b/>
                <w:sz w:val="18"/>
                <w:szCs w:val="18"/>
              </w:rPr>
              <w:t>Latinoamérica</w:t>
            </w:r>
            <w:r w:rsidRPr="00365884">
              <w:rPr>
                <w:rFonts w:cstheme="minorHAnsi"/>
                <w:b/>
                <w:sz w:val="18"/>
                <w:szCs w:val="18"/>
              </w:rPr>
              <w:br/>
              <w:t>202</w:t>
            </w:r>
            <w:r w:rsidR="00DA4889" w:rsidRPr="00365884">
              <w:rPr>
                <w:rFonts w:cstheme="minorHAnsi"/>
                <w:b/>
                <w:sz w:val="18"/>
                <w:szCs w:val="18"/>
              </w:rPr>
              <w:t>0</w:t>
            </w:r>
          </w:p>
        </w:tc>
        <w:tc>
          <w:tcPr>
            <w:tcW w:w="167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EE80B" w14:textId="77777777" w:rsidR="00DA4889" w:rsidRPr="00365884" w:rsidRDefault="00305498" w:rsidP="00365884">
            <w:pPr>
              <w:spacing w:after="0" w:line="240" w:lineRule="auto"/>
              <w:jc w:val="center"/>
              <w:rPr>
                <w:rFonts w:cstheme="minorHAnsi"/>
                <w:b/>
                <w:sz w:val="18"/>
                <w:szCs w:val="18"/>
              </w:rPr>
            </w:pPr>
            <w:r w:rsidRPr="00365884">
              <w:rPr>
                <w:rFonts w:cstheme="minorHAnsi"/>
                <w:b/>
                <w:sz w:val="18"/>
                <w:szCs w:val="18"/>
              </w:rPr>
              <w:t>BRICS &amp; Economías Emergentes</w:t>
            </w:r>
            <w:r w:rsidR="00DA4889" w:rsidRPr="00365884">
              <w:rPr>
                <w:rFonts w:cstheme="minorHAnsi"/>
                <w:b/>
                <w:sz w:val="18"/>
                <w:szCs w:val="18"/>
              </w:rPr>
              <w:t xml:space="preserve"> </w:t>
            </w:r>
          </w:p>
          <w:p w14:paraId="519635A5" w14:textId="7985F683" w:rsidR="00305498" w:rsidRPr="00365884" w:rsidRDefault="00DA4889" w:rsidP="00365884">
            <w:pPr>
              <w:spacing w:after="0" w:line="240" w:lineRule="auto"/>
              <w:jc w:val="center"/>
              <w:rPr>
                <w:rFonts w:cstheme="minorHAnsi"/>
                <w:b/>
                <w:sz w:val="18"/>
                <w:szCs w:val="18"/>
              </w:rPr>
            </w:pPr>
            <w:r w:rsidRPr="00365884">
              <w:rPr>
                <w:rFonts w:cstheme="minorHAnsi"/>
                <w:b/>
                <w:sz w:val="18"/>
                <w:szCs w:val="18"/>
              </w:rPr>
              <w:t>2021</w:t>
            </w:r>
          </w:p>
        </w:tc>
      </w:tr>
      <w:tr w:rsidR="00305498" w:rsidRPr="00365884" w14:paraId="5E87D502" w14:textId="77777777" w:rsidTr="00DA4889">
        <w:trPr>
          <w:trHeight w:val="176"/>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5EB5B" w14:textId="6642D338" w:rsidR="00305498" w:rsidRPr="00365884" w:rsidRDefault="00305498" w:rsidP="00365884">
            <w:pPr>
              <w:spacing w:after="0" w:line="240" w:lineRule="auto"/>
              <w:rPr>
                <w:rFonts w:ascii="Calibri" w:eastAsia="Times New Roman" w:hAnsi="Calibri" w:cs="Calibri"/>
                <w:b/>
                <w:bCs/>
                <w:color w:val="251BED"/>
                <w:sz w:val="18"/>
                <w:szCs w:val="18"/>
                <w:lang w:eastAsia="es-MX"/>
              </w:rPr>
            </w:pPr>
            <w:r w:rsidRPr="00365884">
              <w:rPr>
                <w:rFonts w:ascii="Calibri" w:hAnsi="Calibri" w:cs="Calibri"/>
                <w:color w:val="000000"/>
                <w:sz w:val="18"/>
                <w:szCs w:val="18"/>
              </w:rPr>
              <w:t>Citas</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2C965" w14:textId="2CADEE40" w:rsidR="00305498" w:rsidRPr="00365884" w:rsidRDefault="00305498" w:rsidP="00365884">
            <w:pPr>
              <w:spacing w:after="0" w:line="240" w:lineRule="auto"/>
              <w:jc w:val="center"/>
              <w:rPr>
                <w:rFonts w:ascii="Calibri" w:eastAsia="Times New Roman" w:hAnsi="Calibri" w:cs="Calibri"/>
                <w:b/>
                <w:bCs/>
                <w:color w:val="251BED"/>
                <w:sz w:val="18"/>
                <w:szCs w:val="18"/>
                <w:lang w:eastAsia="es-MX"/>
              </w:rPr>
            </w:pPr>
            <w:r w:rsidRPr="00365884">
              <w:rPr>
                <w:rFonts w:ascii="Calibri" w:hAnsi="Calibri" w:cs="Calibri"/>
                <w:color w:val="000000"/>
                <w:sz w:val="18"/>
                <w:szCs w:val="18"/>
              </w:rPr>
              <w:t>30%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4D82B" w14:textId="2799DE19" w:rsidR="00305498" w:rsidRPr="00365884" w:rsidRDefault="00305498" w:rsidP="00365884">
            <w:pPr>
              <w:spacing w:after="0" w:line="240" w:lineRule="auto"/>
              <w:jc w:val="center"/>
              <w:rPr>
                <w:rFonts w:ascii="Calibri" w:eastAsia="Times New Roman" w:hAnsi="Calibri" w:cs="Calibri"/>
                <w:b/>
                <w:bCs/>
                <w:color w:val="251BED"/>
                <w:sz w:val="18"/>
                <w:szCs w:val="18"/>
                <w:lang w:eastAsia="es-MX"/>
              </w:rPr>
            </w:pPr>
            <w:r w:rsidRPr="00365884">
              <w:rPr>
                <w:rFonts w:ascii="Calibri" w:hAnsi="Calibri" w:cs="Calibri"/>
                <w:color w:val="000000"/>
                <w:sz w:val="18"/>
                <w:szCs w:val="18"/>
              </w:rPr>
              <w:t>20%</w:t>
            </w:r>
          </w:p>
        </w:tc>
        <w:tc>
          <w:tcPr>
            <w:tcW w:w="1671" w:type="dxa"/>
            <w:tcBorders>
              <w:top w:val="single" w:sz="4" w:space="0" w:color="auto"/>
              <w:left w:val="single" w:sz="4" w:space="0" w:color="auto"/>
              <w:bottom w:val="single" w:sz="4" w:space="0" w:color="auto"/>
              <w:right w:val="single" w:sz="4" w:space="0" w:color="auto"/>
            </w:tcBorders>
            <w:vAlign w:val="center"/>
          </w:tcPr>
          <w:p w14:paraId="7AE5D776" w14:textId="54EA3E8C" w:rsidR="00305498" w:rsidRPr="00365884" w:rsidRDefault="00305498" w:rsidP="00365884">
            <w:pPr>
              <w:spacing w:after="0" w:line="240" w:lineRule="auto"/>
              <w:jc w:val="center"/>
              <w:rPr>
                <w:rFonts w:ascii="Calibri" w:hAnsi="Calibri" w:cs="Calibri"/>
                <w:b/>
                <w:bCs/>
                <w:color w:val="251BED"/>
                <w:sz w:val="18"/>
                <w:szCs w:val="18"/>
              </w:rPr>
            </w:pPr>
            <w:r w:rsidRPr="00365884">
              <w:rPr>
                <w:rFonts w:ascii="Calibri" w:hAnsi="Calibri" w:cs="Calibri"/>
                <w:color w:val="000000"/>
                <w:sz w:val="18"/>
                <w:szCs w:val="18"/>
              </w:rPr>
              <w:t>20%</w:t>
            </w:r>
          </w:p>
        </w:tc>
      </w:tr>
      <w:tr w:rsidR="00305498" w:rsidRPr="00365884" w14:paraId="54A63F87" w14:textId="77777777" w:rsidTr="00DA4889">
        <w:trPr>
          <w:trHeight w:val="176"/>
          <w:jc w:val="center"/>
        </w:trPr>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039368" w14:textId="396E560E" w:rsidR="00305498" w:rsidRPr="00365884" w:rsidRDefault="00305498" w:rsidP="00365884">
            <w:pPr>
              <w:spacing w:after="0" w:line="240" w:lineRule="auto"/>
              <w:rPr>
                <w:rFonts w:ascii="Calibri" w:eastAsia="Times New Roman" w:hAnsi="Calibri" w:cs="Calibri"/>
                <w:b/>
                <w:bCs/>
                <w:color w:val="251BED"/>
                <w:sz w:val="18"/>
                <w:szCs w:val="18"/>
                <w:lang w:eastAsia="es-MX"/>
              </w:rPr>
            </w:pPr>
            <w:r w:rsidRPr="00365884">
              <w:rPr>
                <w:rFonts w:ascii="Calibri" w:hAnsi="Calibri" w:cs="Calibri"/>
                <w:color w:val="000000"/>
                <w:sz w:val="18"/>
                <w:szCs w:val="18"/>
              </w:rPr>
              <w:t>Docencia</w:t>
            </w:r>
          </w:p>
        </w:tc>
        <w:tc>
          <w:tcPr>
            <w:tcW w:w="10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3AC2EA" w14:textId="58E81EB7" w:rsidR="00305498" w:rsidRPr="00365884" w:rsidRDefault="00305498" w:rsidP="00365884">
            <w:pPr>
              <w:spacing w:after="0" w:line="240" w:lineRule="auto"/>
              <w:jc w:val="center"/>
              <w:rPr>
                <w:rFonts w:ascii="Calibri" w:eastAsia="Times New Roman" w:hAnsi="Calibri" w:cs="Calibri"/>
                <w:b/>
                <w:bCs/>
                <w:color w:val="251BED"/>
                <w:sz w:val="18"/>
                <w:szCs w:val="18"/>
                <w:lang w:eastAsia="es-MX"/>
              </w:rPr>
            </w:pPr>
            <w:r w:rsidRPr="00365884">
              <w:rPr>
                <w:rFonts w:ascii="Calibri" w:hAnsi="Calibri" w:cs="Calibri"/>
                <w:color w:val="000000"/>
                <w:sz w:val="18"/>
                <w:szCs w:val="18"/>
              </w:rPr>
              <w:t>30%</w:t>
            </w:r>
          </w:p>
        </w:tc>
        <w:tc>
          <w:tcPr>
            <w:tcW w:w="14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546571" w14:textId="5BEF4532" w:rsidR="00305498" w:rsidRPr="00365884" w:rsidRDefault="00305498" w:rsidP="00365884">
            <w:pPr>
              <w:spacing w:after="0" w:line="240" w:lineRule="auto"/>
              <w:jc w:val="center"/>
              <w:rPr>
                <w:rFonts w:ascii="Calibri" w:eastAsia="Times New Roman" w:hAnsi="Calibri" w:cs="Calibri"/>
                <w:b/>
                <w:bCs/>
                <w:color w:val="251BED"/>
                <w:sz w:val="18"/>
                <w:szCs w:val="18"/>
                <w:lang w:eastAsia="es-MX"/>
              </w:rPr>
            </w:pPr>
            <w:r w:rsidRPr="00365884">
              <w:rPr>
                <w:rFonts w:ascii="Calibri" w:hAnsi="Calibri" w:cs="Calibri"/>
                <w:color w:val="000000"/>
                <w:sz w:val="18"/>
                <w:szCs w:val="18"/>
              </w:rPr>
              <w:t>36%</w:t>
            </w:r>
          </w:p>
        </w:tc>
        <w:tc>
          <w:tcPr>
            <w:tcW w:w="16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C4A978" w14:textId="053E6C87" w:rsidR="00305498" w:rsidRPr="00365884" w:rsidRDefault="00305498" w:rsidP="00365884">
            <w:pPr>
              <w:spacing w:after="0" w:line="240" w:lineRule="auto"/>
              <w:jc w:val="center"/>
              <w:rPr>
                <w:rFonts w:ascii="Calibri" w:hAnsi="Calibri" w:cs="Calibri"/>
                <w:b/>
                <w:bCs/>
                <w:color w:val="251BED"/>
                <w:sz w:val="18"/>
                <w:szCs w:val="18"/>
              </w:rPr>
            </w:pPr>
            <w:r w:rsidRPr="00365884">
              <w:rPr>
                <w:rFonts w:ascii="Calibri" w:hAnsi="Calibri" w:cs="Calibri"/>
                <w:color w:val="000000"/>
                <w:sz w:val="18"/>
                <w:szCs w:val="18"/>
              </w:rPr>
              <w:t>30%</w:t>
            </w:r>
          </w:p>
        </w:tc>
      </w:tr>
      <w:tr w:rsidR="00305498" w:rsidRPr="00365884" w14:paraId="6FC55767" w14:textId="77777777" w:rsidTr="00DA4889">
        <w:trPr>
          <w:trHeight w:val="176"/>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DFFD35" w14:textId="46D636F5" w:rsidR="00305498" w:rsidRPr="00365884" w:rsidRDefault="00305498" w:rsidP="00365884">
            <w:pPr>
              <w:spacing w:after="0" w:line="240" w:lineRule="auto"/>
              <w:rPr>
                <w:rFonts w:ascii="Calibri" w:eastAsia="Times New Roman" w:hAnsi="Calibri" w:cs="Calibri"/>
                <w:b/>
                <w:bCs/>
                <w:color w:val="251BED"/>
                <w:sz w:val="18"/>
                <w:szCs w:val="18"/>
                <w:lang w:eastAsia="es-MX"/>
              </w:rPr>
            </w:pPr>
            <w:r w:rsidRPr="00365884">
              <w:rPr>
                <w:rFonts w:ascii="Calibri" w:hAnsi="Calibri" w:cs="Calibri"/>
                <w:color w:val="000000"/>
                <w:sz w:val="18"/>
                <w:szCs w:val="18"/>
              </w:rPr>
              <w:t>Investigación</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18198" w14:textId="23072C86" w:rsidR="00305498" w:rsidRPr="00365884" w:rsidRDefault="00305498" w:rsidP="00365884">
            <w:pPr>
              <w:spacing w:after="0" w:line="240" w:lineRule="auto"/>
              <w:jc w:val="center"/>
              <w:rPr>
                <w:rFonts w:ascii="Calibri" w:eastAsia="Times New Roman" w:hAnsi="Calibri" w:cs="Calibri"/>
                <w:b/>
                <w:bCs/>
                <w:color w:val="251BED"/>
                <w:sz w:val="18"/>
                <w:szCs w:val="18"/>
                <w:lang w:eastAsia="es-MX"/>
              </w:rPr>
            </w:pPr>
            <w:r w:rsidRPr="00365884">
              <w:rPr>
                <w:rFonts w:ascii="Calibri" w:hAnsi="Calibri" w:cs="Calibri"/>
                <w:color w:val="000000"/>
                <w:sz w:val="18"/>
                <w:szCs w:val="18"/>
              </w:rPr>
              <w:t>30%</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5658F" w14:textId="6543CA26" w:rsidR="00305498" w:rsidRPr="00365884" w:rsidRDefault="00305498" w:rsidP="00365884">
            <w:pPr>
              <w:spacing w:after="0" w:line="240" w:lineRule="auto"/>
              <w:jc w:val="center"/>
              <w:rPr>
                <w:rFonts w:ascii="Calibri" w:eastAsia="Times New Roman" w:hAnsi="Calibri" w:cs="Calibri"/>
                <w:b/>
                <w:bCs/>
                <w:color w:val="251BED"/>
                <w:sz w:val="18"/>
                <w:szCs w:val="18"/>
                <w:lang w:eastAsia="es-MX"/>
              </w:rPr>
            </w:pPr>
            <w:r w:rsidRPr="00365884">
              <w:rPr>
                <w:rFonts w:ascii="Calibri" w:hAnsi="Calibri" w:cs="Calibri"/>
                <w:color w:val="000000"/>
                <w:sz w:val="18"/>
                <w:szCs w:val="18"/>
              </w:rPr>
              <w:t>34%</w:t>
            </w:r>
          </w:p>
        </w:tc>
        <w:tc>
          <w:tcPr>
            <w:tcW w:w="1671" w:type="dxa"/>
            <w:tcBorders>
              <w:top w:val="single" w:sz="4" w:space="0" w:color="auto"/>
              <w:left w:val="single" w:sz="4" w:space="0" w:color="auto"/>
              <w:bottom w:val="single" w:sz="4" w:space="0" w:color="auto"/>
              <w:right w:val="single" w:sz="4" w:space="0" w:color="auto"/>
            </w:tcBorders>
            <w:vAlign w:val="center"/>
          </w:tcPr>
          <w:p w14:paraId="4DA5E169" w14:textId="74AEF9DB" w:rsidR="00305498" w:rsidRPr="00365884" w:rsidRDefault="00305498" w:rsidP="00365884">
            <w:pPr>
              <w:spacing w:after="0" w:line="240" w:lineRule="auto"/>
              <w:jc w:val="center"/>
              <w:rPr>
                <w:rFonts w:ascii="Calibri" w:hAnsi="Calibri" w:cs="Calibri"/>
                <w:b/>
                <w:bCs/>
                <w:color w:val="251BED"/>
                <w:sz w:val="18"/>
                <w:szCs w:val="18"/>
              </w:rPr>
            </w:pPr>
            <w:r w:rsidRPr="00365884">
              <w:rPr>
                <w:rFonts w:ascii="Calibri" w:hAnsi="Calibri" w:cs="Calibri"/>
                <w:color w:val="000000"/>
                <w:sz w:val="18"/>
                <w:szCs w:val="18"/>
              </w:rPr>
              <w:t>30%</w:t>
            </w:r>
          </w:p>
        </w:tc>
      </w:tr>
      <w:tr w:rsidR="00305498" w:rsidRPr="00365884" w14:paraId="57D9A220" w14:textId="77777777" w:rsidTr="00DA4889">
        <w:trPr>
          <w:trHeight w:val="176"/>
          <w:jc w:val="center"/>
        </w:trPr>
        <w:tc>
          <w:tcPr>
            <w:tcW w:w="283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B6F798" w14:textId="77B42F88" w:rsidR="00305498" w:rsidRPr="00365884" w:rsidRDefault="0030549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Perspectiva internacional</w:t>
            </w:r>
          </w:p>
        </w:tc>
        <w:tc>
          <w:tcPr>
            <w:tcW w:w="10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45285C" w14:textId="0FC02496" w:rsidR="00305498" w:rsidRPr="00365884" w:rsidRDefault="0030549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7.5%</w:t>
            </w:r>
          </w:p>
        </w:tc>
        <w:tc>
          <w:tcPr>
            <w:tcW w:w="14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2A165C" w14:textId="635A7925" w:rsidR="00305498" w:rsidRPr="00365884" w:rsidRDefault="0030549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7.5%</w:t>
            </w:r>
          </w:p>
        </w:tc>
        <w:tc>
          <w:tcPr>
            <w:tcW w:w="167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7A88A97" w14:textId="6A94204F" w:rsidR="00305498" w:rsidRPr="00365884" w:rsidRDefault="0030549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10%</w:t>
            </w:r>
          </w:p>
        </w:tc>
      </w:tr>
      <w:tr w:rsidR="00305498" w:rsidRPr="00365884" w14:paraId="318644D4" w14:textId="77777777" w:rsidTr="00DA4889">
        <w:trPr>
          <w:trHeight w:val="176"/>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D90EC" w14:textId="4FA8769A" w:rsidR="00305498" w:rsidRPr="00365884" w:rsidRDefault="0030549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Financiamiento de la industria</w:t>
            </w:r>
          </w:p>
        </w:tc>
        <w:tc>
          <w:tcPr>
            <w:tcW w:w="10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D8BC6" w14:textId="59484CC2" w:rsidR="00305498" w:rsidRPr="00365884" w:rsidRDefault="0030549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2.5%</w:t>
            </w:r>
          </w:p>
        </w:tc>
        <w:tc>
          <w:tcPr>
            <w:tcW w:w="14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DCD6" w14:textId="45B59D25" w:rsidR="00305498" w:rsidRPr="00365884" w:rsidRDefault="0030549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2.5%</w:t>
            </w:r>
          </w:p>
        </w:tc>
        <w:tc>
          <w:tcPr>
            <w:tcW w:w="1671" w:type="dxa"/>
            <w:tcBorders>
              <w:top w:val="single" w:sz="4" w:space="0" w:color="auto"/>
              <w:left w:val="single" w:sz="4" w:space="0" w:color="auto"/>
              <w:bottom w:val="single" w:sz="4" w:space="0" w:color="auto"/>
              <w:right w:val="single" w:sz="4" w:space="0" w:color="auto"/>
            </w:tcBorders>
            <w:vAlign w:val="center"/>
          </w:tcPr>
          <w:p w14:paraId="252FB02C" w14:textId="488FC54D" w:rsidR="00305498" w:rsidRPr="00365884" w:rsidRDefault="0030549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10%</w:t>
            </w:r>
          </w:p>
        </w:tc>
      </w:tr>
    </w:tbl>
    <w:p w14:paraId="275DFA07" w14:textId="77777777" w:rsidR="00305498" w:rsidRPr="00365884" w:rsidRDefault="00305498" w:rsidP="00365884">
      <w:pPr>
        <w:pStyle w:val="Prrafodelista"/>
        <w:spacing w:after="0" w:line="240" w:lineRule="auto"/>
        <w:jc w:val="both"/>
        <w:rPr>
          <w:sz w:val="24"/>
        </w:rPr>
      </w:pPr>
    </w:p>
    <w:p w14:paraId="39A0463C" w14:textId="73941D50" w:rsidR="00305498" w:rsidRPr="00F30A09" w:rsidRDefault="00F30A09" w:rsidP="00BA5366">
      <w:pPr>
        <w:pStyle w:val="Prrafodelista"/>
        <w:numPr>
          <w:ilvl w:val="0"/>
          <w:numId w:val="1"/>
        </w:numPr>
        <w:spacing w:after="0" w:line="240" w:lineRule="auto"/>
        <w:jc w:val="both"/>
        <w:rPr>
          <w:sz w:val="24"/>
        </w:rPr>
      </w:pPr>
      <w:r>
        <w:rPr>
          <w:sz w:val="24"/>
        </w:rPr>
        <w:t>E</w:t>
      </w:r>
      <w:r w:rsidRPr="00F30A09">
        <w:rPr>
          <w:sz w:val="24"/>
        </w:rPr>
        <w:t>xiste una variabilidad en el posicionamiento de las universidades</w:t>
      </w:r>
      <w:r>
        <w:rPr>
          <w:sz w:val="24"/>
        </w:rPr>
        <w:t xml:space="preserve"> e</w:t>
      </w:r>
      <w:r w:rsidRPr="00F30A09">
        <w:rPr>
          <w:sz w:val="24"/>
        </w:rPr>
        <w:t xml:space="preserve">n los diferentes rankings THE, </w:t>
      </w:r>
      <w:r>
        <w:rPr>
          <w:sz w:val="24"/>
        </w:rPr>
        <w:t>a causa de</w:t>
      </w:r>
      <w:r w:rsidR="00DA4889" w:rsidRPr="00F30A09">
        <w:rPr>
          <w:sz w:val="24"/>
        </w:rPr>
        <w:t xml:space="preserve">l número total de instituciones evaluadas en cada ranking, </w:t>
      </w:r>
      <w:r w:rsidR="00ED6E36" w:rsidRPr="00F30A09">
        <w:rPr>
          <w:sz w:val="24"/>
        </w:rPr>
        <w:t>y las diferencias en la ponderación de cada indicador</w:t>
      </w:r>
      <w:r w:rsidR="00DA4889" w:rsidRPr="00F30A09">
        <w:rPr>
          <w:sz w:val="24"/>
        </w:rPr>
        <w:t>.</w:t>
      </w:r>
    </w:p>
    <w:p w14:paraId="4E621D44" w14:textId="77777777" w:rsidR="00DA4889" w:rsidRPr="00365884" w:rsidRDefault="00DA4889" w:rsidP="00365884">
      <w:pPr>
        <w:pStyle w:val="Prrafodelista"/>
        <w:spacing w:after="0" w:line="240" w:lineRule="auto"/>
        <w:jc w:val="both"/>
        <w:rPr>
          <w:sz w:val="24"/>
        </w:rPr>
      </w:pPr>
    </w:p>
    <w:p w14:paraId="1D3434DF" w14:textId="52CF111F" w:rsidR="00305498" w:rsidRPr="00365884" w:rsidRDefault="00DA4889" w:rsidP="00365884">
      <w:pPr>
        <w:pStyle w:val="Prrafodelista"/>
        <w:numPr>
          <w:ilvl w:val="0"/>
          <w:numId w:val="1"/>
        </w:numPr>
        <w:spacing w:after="0" w:line="240" w:lineRule="auto"/>
        <w:jc w:val="both"/>
        <w:rPr>
          <w:sz w:val="24"/>
        </w:rPr>
      </w:pPr>
      <w:r w:rsidRPr="00365884">
        <w:rPr>
          <w:sz w:val="24"/>
        </w:rPr>
        <w:t xml:space="preserve">La </w:t>
      </w:r>
      <w:r w:rsidR="00305498" w:rsidRPr="00365884">
        <w:rPr>
          <w:sz w:val="24"/>
        </w:rPr>
        <w:t>UNAM fue clasificada en el Ranking Mundial en la posición 848</w:t>
      </w:r>
      <w:r w:rsidR="00F30A09">
        <w:rPr>
          <w:sz w:val="24"/>
        </w:rPr>
        <w:t>º</w:t>
      </w:r>
      <w:r w:rsidR="00305498" w:rsidRPr="00365884">
        <w:rPr>
          <w:sz w:val="24"/>
        </w:rPr>
        <w:t xml:space="preserve">, en el Ranking Latinoamérica en </w:t>
      </w:r>
      <w:r w:rsidR="00F30A09">
        <w:rPr>
          <w:sz w:val="24"/>
        </w:rPr>
        <w:t xml:space="preserve">el lugar </w:t>
      </w:r>
      <w:r w:rsidR="00305498" w:rsidRPr="00365884">
        <w:rPr>
          <w:sz w:val="24"/>
        </w:rPr>
        <w:t>17</w:t>
      </w:r>
      <w:r w:rsidR="00F30A09">
        <w:rPr>
          <w:sz w:val="24"/>
        </w:rPr>
        <w:t>º</w:t>
      </w:r>
      <w:r w:rsidR="00305498" w:rsidRPr="00365884">
        <w:rPr>
          <w:sz w:val="24"/>
        </w:rPr>
        <w:t xml:space="preserve">, mientras que </w:t>
      </w:r>
      <w:r w:rsidRPr="00365884">
        <w:rPr>
          <w:sz w:val="24"/>
        </w:rPr>
        <w:t xml:space="preserve">para </w:t>
      </w:r>
      <w:r w:rsidR="003439CC" w:rsidRPr="00365884">
        <w:rPr>
          <w:sz w:val="24"/>
        </w:rPr>
        <w:t xml:space="preserve">Ranking BRICS y Economías Emergentes </w:t>
      </w:r>
      <w:r w:rsidR="00D9391B" w:rsidRPr="00365884">
        <w:rPr>
          <w:sz w:val="24"/>
        </w:rPr>
        <w:t>fue clasificado en el 129</w:t>
      </w:r>
      <w:r w:rsidR="00F30A09">
        <w:rPr>
          <w:sz w:val="24"/>
        </w:rPr>
        <w:t>º</w:t>
      </w:r>
      <w:r w:rsidR="00305498" w:rsidRPr="00365884">
        <w:rPr>
          <w:sz w:val="24"/>
        </w:rPr>
        <w:t xml:space="preserve">. </w:t>
      </w:r>
      <w:r w:rsidR="00BA5366">
        <w:rPr>
          <w:sz w:val="24"/>
        </w:rPr>
        <w:t>Cabe resaltar que la UNAM fue</w:t>
      </w:r>
      <w:r w:rsidR="003439CC" w:rsidRPr="00365884">
        <w:rPr>
          <w:sz w:val="24"/>
        </w:rPr>
        <w:t xml:space="preserve"> superado por el ITESM en el Ranking Mundial (778º lugar), y en el Ranking Latinoamérica (4º lugar), pero no así en el actual Ranking BRICS y Economías Emergentes</w:t>
      </w:r>
      <w:r w:rsidR="00BA5366">
        <w:rPr>
          <w:sz w:val="24"/>
        </w:rPr>
        <w:t xml:space="preserve">, en donde el ITESM se colocó en el </w:t>
      </w:r>
      <w:r w:rsidR="003439CC" w:rsidRPr="00365884">
        <w:rPr>
          <w:sz w:val="24"/>
        </w:rPr>
        <w:t>131º lugar.</w:t>
      </w:r>
    </w:p>
    <w:p w14:paraId="7C321DDA" w14:textId="77777777" w:rsidR="003439CC" w:rsidRPr="00365884" w:rsidRDefault="003439CC" w:rsidP="00365884">
      <w:pPr>
        <w:pStyle w:val="Prrafodelista"/>
        <w:spacing w:after="0" w:line="240" w:lineRule="auto"/>
        <w:rPr>
          <w:sz w:val="24"/>
        </w:rPr>
      </w:pPr>
    </w:p>
    <w:p w14:paraId="2668B341" w14:textId="77777777" w:rsidR="00360DB0" w:rsidRPr="00365884" w:rsidRDefault="00360DB0" w:rsidP="00365884">
      <w:pPr>
        <w:pStyle w:val="Prrafodelista"/>
        <w:spacing w:after="0" w:line="240" w:lineRule="auto"/>
        <w:jc w:val="both"/>
        <w:rPr>
          <w:b/>
          <w:sz w:val="24"/>
        </w:rPr>
      </w:pPr>
      <w:r w:rsidRPr="00365884">
        <w:rPr>
          <w:b/>
          <w:sz w:val="24"/>
        </w:rPr>
        <w:t>Resultados</w:t>
      </w:r>
    </w:p>
    <w:p w14:paraId="20B7EDDC" w14:textId="60AAE59F" w:rsidR="00360DB0" w:rsidRPr="00365884" w:rsidRDefault="00360DB0" w:rsidP="00365884">
      <w:pPr>
        <w:pStyle w:val="Prrafodelista"/>
        <w:numPr>
          <w:ilvl w:val="0"/>
          <w:numId w:val="1"/>
        </w:numPr>
        <w:spacing w:after="0" w:line="240" w:lineRule="auto"/>
        <w:jc w:val="both"/>
        <w:rPr>
          <w:sz w:val="24"/>
        </w:rPr>
      </w:pPr>
      <w:r w:rsidRPr="00365884">
        <w:rPr>
          <w:sz w:val="24"/>
        </w:rPr>
        <w:t>E</w:t>
      </w:r>
      <w:r w:rsidR="00DF1252" w:rsidRPr="00365884">
        <w:rPr>
          <w:sz w:val="24"/>
        </w:rPr>
        <w:t>l ranking THE BRICS y Economías Emergentes 20</w:t>
      </w:r>
      <w:r w:rsidRPr="00365884">
        <w:rPr>
          <w:sz w:val="24"/>
        </w:rPr>
        <w:t xml:space="preserve">20 clasificó a </w:t>
      </w:r>
      <w:r w:rsidR="002B7783" w:rsidRPr="00365884">
        <w:rPr>
          <w:sz w:val="24"/>
        </w:rPr>
        <w:t xml:space="preserve">100 </w:t>
      </w:r>
      <w:r w:rsidR="00DF1252" w:rsidRPr="00365884">
        <w:rPr>
          <w:sz w:val="24"/>
        </w:rPr>
        <w:t>universidades iberoameri</w:t>
      </w:r>
      <w:r w:rsidRPr="00365884">
        <w:rPr>
          <w:sz w:val="24"/>
        </w:rPr>
        <w:t xml:space="preserve">canas </w:t>
      </w:r>
      <w:r w:rsidR="00DF1252" w:rsidRPr="00365884">
        <w:rPr>
          <w:sz w:val="24"/>
        </w:rPr>
        <w:t xml:space="preserve">de </w:t>
      </w:r>
      <w:r w:rsidR="002B7783" w:rsidRPr="00365884">
        <w:rPr>
          <w:sz w:val="24"/>
        </w:rPr>
        <w:t xml:space="preserve">5 </w:t>
      </w:r>
      <w:r w:rsidR="00DF1252" w:rsidRPr="00365884">
        <w:rPr>
          <w:sz w:val="24"/>
        </w:rPr>
        <w:t>países</w:t>
      </w:r>
      <w:r w:rsidRPr="00365884">
        <w:rPr>
          <w:sz w:val="24"/>
        </w:rPr>
        <w:t>. A continuación</w:t>
      </w:r>
      <w:r w:rsidR="00930264">
        <w:rPr>
          <w:sz w:val="24"/>
        </w:rPr>
        <w:t>,</w:t>
      </w:r>
      <w:r w:rsidRPr="00365884">
        <w:rPr>
          <w:sz w:val="24"/>
        </w:rPr>
        <w:t xml:space="preserve"> se presentan los datos del número de universidades por país, así como el puntaje obtenido por las universidades en los diferentes indicadores.</w:t>
      </w:r>
    </w:p>
    <w:p w14:paraId="72982946" w14:textId="77777777" w:rsidR="008D6D0B" w:rsidRPr="00365884" w:rsidRDefault="008D6D0B" w:rsidP="00365884">
      <w:pPr>
        <w:pStyle w:val="Prrafodelista"/>
        <w:spacing w:after="0" w:line="240" w:lineRule="auto"/>
        <w:jc w:val="both"/>
        <w:rPr>
          <w:sz w:val="24"/>
        </w:rPr>
      </w:pPr>
    </w:p>
    <w:tbl>
      <w:tblPr>
        <w:tblW w:w="8838" w:type="dxa"/>
        <w:jc w:val="center"/>
        <w:tblCellMar>
          <w:left w:w="70" w:type="dxa"/>
          <w:right w:w="70" w:type="dxa"/>
        </w:tblCellMar>
        <w:tblLook w:val="04A0" w:firstRow="1" w:lastRow="0" w:firstColumn="1" w:lastColumn="0" w:noHBand="0" w:noVBand="1"/>
      </w:tblPr>
      <w:tblGrid>
        <w:gridCol w:w="8838"/>
      </w:tblGrid>
      <w:tr w:rsidR="00BC7A0E" w:rsidRPr="00365884" w14:paraId="1B85A466" w14:textId="77777777" w:rsidTr="002B7783">
        <w:trPr>
          <w:trHeight w:val="427"/>
          <w:jc w:val="center"/>
        </w:trPr>
        <w:tc>
          <w:tcPr>
            <w:tcW w:w="8838" w:type="dxa"/>
            <w:shd w:val="clear" w:color="auto" w:fill="auto"/>
            <w:noWrap/>
            <w:vAlign w:val="center"/>
          </w:tcPr>
          <w:p w14:paraId="371AD5B7" w14:textId="239C9E78" w:rsidR="00BC7A0E" w:rsidRPr="00365884" w:rsidRDefault="00BC7A0E" w:rsidP="00365884">
            <w:pPr>
              <w:spacing w:after="0" w:line="240" w:lineRule="auto"/>
              <w:jc w:val="center"/>
              <w:rPr>
                <w:rFonts w:ascii="Calibri" w:eastAsia="Times New Roman" w:hAnsi="Calibri" w:cs="Times New Roman"/>
                <w:b/>
                <w:color w:val="050505"/>
                <w:sz w:val="20"/>
                <w:szCs w:val="24"/>
                <w:lang w:eastAsia="es-MX"/>
              </w:rPr>
            </w:pPr>
            <w:r w:rsidRPr="00365884">
              <w:rPr>
                <w:rFonts w:ascii="Calibri" w:eastAsia="Times New Roman" w:hAnsi="Calibri" w:cs="Times New Roman"/>
                <w:b/>
                <w:color w:val="050505"/>
                <w:sz w:val="20"/>
                <w:szCs w:val="24"/>
                <w:lang w:eastAsia="es-MX"/>
              </w:rPr>
              <w:t xml:space="preserve">Gráfico </w:t>
            </w:r>
            <w:r w:rsidR="00305498" w:rsidRPr="00365884">
              <w:rPr>
                <w:rFonts w:ascii="Calibri" w:eastAsia="Times New Roman" w:hAnsi="Calibri" w:cs="Times New Roman"/>
                <w:b/>
                <w:color w:val="050505"/>
                <w:sz w:val="20"/>
                <w:szCs w:val="24"/>
                <w:lang w:eastAsia="es-MX"/>
              </w:rPr>
              <w:t>2</w:t>
            </w:r>
            <w:r w:rsidRPr="00365884">
              <w:rPr>
                <w:rFonts w:ascii="Calibri" w:eastAsia="Times New Roman" w:hAnsi="Calibri" w:cs="Times New Roman"/>
                <w:b/>
                <w:color w:val="050505"/>
                <w:sz w:val="20"/>
                <w:szCs w:val="24"/>
                <w:lang w:eastAsia="es-MX"/>
              </w:rPr>
              <w:t>. Total de universidades iberoamericanas por país en el ranking THE B</w:t>
            </w:r>
            <w:r w:rsidR="00360DB0" w:rsidRPr="00365884">
              <w:rPr>
                <w:rFonts w:ascii="Calibri" w:eastAsia="Times New Roman" w:hAnsi="Calibri" w:cs="Times New Roman"/>
                <w:b/>
                <w:color w:val="050505"/>
                <w:sz w:val="20"/>
                <w:szCs w:val="24"/>
                <w:lang w:eastAsia="es-MX"/>
              </w:rPr>
              <w:t>RICS y Economías Emergentes, 202</w:t>
            </w:r>
            <w:r w:rsidR="002B7783" w:rsidRPr="00365884">
              <w:rPr>
                <w:rFonts w:ascii="Calibri" w:eastAsia="Times New Roman" w:hAnsi="Calibri" w:cs="Times New Roman"/>
                <w:b/>
                <w:color w:val="050505"/>
                <w:sz w:val="20"/>
                <w:szCs w:val="24"/>
                <w:lang w:eastAsia="es-MX"/>
              </w:rPr>
              <w:t>1</w:t>
            </w:r>
            <w:r w:rsidRPr="00365884">
              <w:rPr>
                <w:rFonts w:ascii="Calibri" w:eastAsia="Times New Roman" w:hAnsi="Calibri" w:cs="Times New Roman"/>
                <w:b/>
                <w:color w:val="050505"/>
                <w:sz w:val="20"/>
                <w:szCs w:val="24"/>
                <w:lang w:eastAsia="es-MX"/>
              </w:rPr>
              <w:t>.</w:t>
            </w:r>
          </w:p>
        </w:tc>
      </w:tr>
      <w:tr w:rsidR="002B7783" w:rsidRPr="00365884" w14:paraId="39495865" w14:textId="77777777" w:rsidTr="002B7783">
        <w:trPr>
          <w:trHeight w:val="427"/>
          <w:jc w:val="center"/>
        </w:trPr>
        <w:tc>
          <w:tcPr>
            <w:tcW w:w="8838" w:type="dxa"/>
            <w:shd w:val="clear" w:color="auto" w:fill="auto"/>
            <w:noWrap/>
            <w:vAlign w:val="center"/>
          </w:tcPr>
          <w:p w14:paraId="66FDFFC0" w14:textId="18F58C93" w:rsidR="002B7783" w:rsidRPr="00365884" w:rsidRDefault="002B7783" w:rsidP="00365884">
            <w:pPr>
              <w:spacing w:after="0" w:line="240" w:lineRule="auto"/>
              <w:jc w:val="center"/>
              <w:rPr>
                <w:noProof/>
                <w:lang w:eastAsia="es-MX"/>
              </w:rPr>
            </w:pPr>
            <w:r w:rsidRPr="00365884">
              <w:rPr>
                <w:noProof/>
              </w:rPr>
              <w:drawing>
                <wp:inline distT="0" distB="0" distL="0" distR="0" wp14:anchorId="1F1EA5F1" wp14:editId="1CE9BFB3">
                  <wp:extent cx="5376672" cy="1697126"/>
                  <wp:effectExtent l="0" t="0" r="0" b="0"/>
                  <wp:docPr id="2" name="Gráfico 2">
                    <a:extLst xmlns:a="http://schemas.openxmlformats.org/drawingml/2006/main">
                      <a:ext uri="{FF2B5EF4-FFF2-40B4-BE49-F238E27FC236}">
                        <a16:creationId xmlns:a16="http://schemas.microsoft.com/office/drawing/2014/main" id="{A134FD8C-29CC-4B03-912C-7711E67714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43EC8769" w14:textId="77777777" w:rsidR="00DF1252" w:rsidRPr="00365884" w:rsidRDefault="00DF1252" w:rsidP="00365884">
      <w:pPr>
        <w:pStyle w:val="Prrafodelista"/>
        <w:spacing w:after="0" w:line="240" w:lineRule="auto"/>
        <w:jc w:val="both"/>
        <w:rPr>
          <w:sz w:val="20"/>
          <w:szCs w:val="18"/>
        </w:rPr>
      </w:pPr>
    </w:p>
    <w:p w14:paraId="463CD837" w14:textId="77777777" w:rsidR="00C23E14" w:rsidRPr="00365884" w:rsidRDefault="00C23E14" w:rsidP="00365884">
      <w:pPr>
        <w:spacing w:after="0" w:line="240" w:lineRule="auto"/>
        <w:rPr>
          <w:sz w:val="2"/>
          <w:szCs w:val="4"/>
        </w:rPr>
      </w:pPr>
    </w:p>
    <w:p w14:paraId="219D3E13" w14:textId="77777777" w:rsidR="00C23E14" w:rsidRPr="00365884" w:rsidRDefault="00C23E14" w:rsidP="00365884">
      <w:pPr>
        <w:pStyle w:val="Prrafodelista"/>
        <w:spacing w:after="0" w:line="240" w:lineRule="auto"/>
        <w:jc w:val="both"/>
        <w:rPr>
          <w:sz w:val="2"/>
          <w:szCs w:val="2"/>
        </w:rPr>
      </w:pPr>
    </w:p>
    <w:p w14:paraId="4AAE71C8" w14:textId="77777777" w:rsidR="00C23E14" w:rsidRPr="00365884" w:rsidRDefault="00C23E14" w:rsidP="00365884">
      <w:pPr>
        <w:pStyle w:val="Prrafodelista"/>
        <w:spacing w:after="0" w:line="240" w:lineRule="auto"/>
        <w:jc w:val="both"/>
        <w:rPr>
          <w:sz w:val="2"/>
          <w:szCs w:val="2"/>
        </w:rPr>
      </w:pPr>
    </w:p>
    <w:tbl>
      <w:tblPr>
        <w:tblW w:w="11920" w:type="dxa"/>
        <w:jc w:val="center"/>
        <w:tblLayout w:type="fixed"/>
        <w:tblCellMar>
          <w:left w:w="70" w:type="dxa"/>
          <w:right w:w="70" w:type="dxa"/>
        </w:tblCellMar>
        <w:tblLook w:val="04A0" w:firstRow="1" w:lastRow="0" w:firstColumn="1" w:lastColumn="0" w:noHBand="0" w:noVBand="1"/>
      </w:tblPr>
      <w:tblGrid>
        <w:gridCol w:w="851"/>
        <w:gridCol w:w="3969"/>
        <w:gridCol w:w="851"/>
        <w:gridCol w:w="993"/>
        <w:gridCol w:w="849"/>
        <w:gridCol w:w="1137"/>
        <w:gridCol w:w="717"/>
        <w:gridCol w:w="1130"/>
        <w:gridCol w:w="1417"/>
        <w:gridCol w:w="6"/>
      </w:tblGrid>
      <w:tr w:rsidR="00592830" w:rsidRPr="00365884" w14:paraId="779F89F9" w14:textId="77777777" w:rsidTr="00A7502F">
        <w:trPr>
          <w:trHeight w:val="208"/>
          <w:tblHeader/>
          <w:jc w:val="center"/>
        </w:trPr>
        <w:tc>
          <w:tcPr>
            <w:tcW w:w="11920" w:type="dxa"/>
            <w:gridSpan w:val="10"/>
            <w:tcBorders>
              <w:bottom w:val="single" w:sz="4" w:space="0" w:color="auto"/>
            </w:tcBorders>
            <w:shd w:val="clear" w:color="auto" w:fill="auto"/>
            <w:noWrap/>
            <w:vAlign w:val="center"/>
          </w:tcPr>
          <w:p w14:paraId="20084082" w14:textId="7C06A29F" w:rsidR="00592830" w:rsidRPr="00365884" w:rsidRDefault="00592830" w:rsidP="00365884">
            <w:pPr>
              <w:spacing w:after="0" w:line="240" w:lineRule="auto"/>
              <w:jc w:val="center"/>
              <w:rPr>
                <w:rFonts w:ascii="Calibri" w:eastAsia="Times New Roman" w:hAnsi="Calibri" w:cs="Times New Roman"/>
                <w:b/>
                <w:color w:val="050505"/>
                <w:sz w:val="20"/>
                <w:lang w:eastAsia="es-MX"/>
              </w:rPr>
            </w:pPr>
            <w:r w:rsidRPr="00365884">
              <w:rPr>
                <w:rFonts w:ascii="Calibri" w:eastAsia="Times New Roman" w:hAnsi="Calibri" w:cs="Times New Roman"/>
                <w:b/>
                <w:color w:val="050505"/>
                <w:sz w:val="20"/>
                <w:lang w:eastAsia="es-MX"/>
              </w:rPr>
              <w:t xml:space="preserve">Tabla </w:t>
            </w:r>
            <w:r w:rsidR="00305498" w:rsidRPr="00365884">
              <w:rPr>
                <w:rFonts w:ascii="Calibri" w:eastAsia="Times New Roman" w:hAnsi="Calibri" w:cs="Times New Roman"/>
                <w:b/>
                <w:color w:val="050505"/>
                <w:sz w:val="20"/>
                <w:lang w:eastAsia="es-MX"/>
              </w:rPr>
              <w:t>3</w:t>
            </w:r>
            <w:r w:rsidRPr="00365884">
              <w:rPr>
                <w:rFonts w:ascii="Calibri" w:eastAsia="Times New Roman" w:hAnsi="Calibri" w:cs="Times New Roman"/>
                <w:b/>
                <w:color w:val="050505"/>
                <w:sz w:val="20"/>
                <w:lang w:eastAsia="es-MX"/>
              </w:rPr>
              <w:t>. Posición de las universidades iberoamericanas en el ranking THE BRICS y Economías Emergentes, 2021.</w:t>
            </w:r>
          </w:p>
        </w:tc>
      </w:tr>
      <w:tr w:rsidR="004E48B5" w:rsidRPr="00365884" w14:paraId="7CD9E4B3" w14:textId="77777777" w:rsidTr="00A7502F">
        <w:trPr>
          <w:gridAfter w:val="1"/>
          <w:wAfter w:w="6" w:type="dxa"/>
          <w:trHeight w:val="173"/>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1BF47430"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b/>
                <w:sz w:val="18"/>
                <w:szCs w:val="20"/>
              </w:rPr>
              <w:t>Posición</w:t>
            </w:r>
          </w:p>
        </w:tc>
        <w:tc>
          <w:tcPr>
            <w:tcW w:w="3969"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0C1A2816"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b/>
                <w:sz w:val="18"/>
                <w:szCs w:val="20"/>
              </w:rPr>
              <w:t>Institución</w:t>
            </w:r>
          </w:p>
        </w:tc>
        <w:tc>
          <w:tcPr>
            <w:tcW w:w="851"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628094E1"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b/>
                <w:sz w:val="18"/>
                <w:szCs w:val="20"/>
              </w:rPr>
              <w:t>País</w:t>
            </w:r>
          </w:p>
        </w:tc>
        <w:tc>
          <w:tcPr>
            <w:tcW w:w="993"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9DC611D" w14:textId="77777777" w:rsidR="007D5832" w:rsidRPr="00365884" w:rsidRDefault="007D5832" w:rsidP="00365884">
            <w:pPr>
              <w:spacing w:after="0" w:line="240" w:lineRule="auto"/>
              <w:jc w:val="center"/>
              <w:rPr>
                <w:b/>
                <w:sz w:val="18"/>
                <w:szCs w:val="20"/>
              </w:rPr>
            </w:pPr>
            <w:r w:rsidRPr="00365884">
              <w:rPr>
                <w:b/>
                <w:sz w:val="18"/>
                <w:szCs w:val="20"/>
              </w:rPr>
              <w:t>Puntaje</w:t>
            </w:r>
          </w:p>
          <w:p w14:paraId="16868C86"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b/>
                <w:sz w:val="18"/>
                <w:szCs w:val="20"/>
              </w:rPr>
              <w:t>General</w:t>
            </w:r>
          </w:p>
        </w:tc>
        <w:tc>
          <w:tcPr>
            <w:tcW w:w="849"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42C9B53D"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b/>
                <w:sz w:val="18"/>
                <w:szCs w:val="20"/>
              </w:rPr>
              <w:t>Docencia</w:t>
            </w:r>
          </w:p>
        </w:tc>
        <w:tc>
          <w:tcPr>
            <w:tcW w:w="113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4F3AC6B7"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rFonts w:ascii="Calibri" w:eastAsia="Times New Roman" w:hAnsi="Calibri" w:cs="Times New Roman"/>
                <w:b/>
                <w:color w:val="050505"/>
                <w:sz w:val="18"/>
                <w:szCs w:val="20"/>
                <w:lang w:eastAsia="es-MX"/>
              </w:rPr>
              <w:t>Investigación</w:t>
            </w:r>
          </w:p>
        </w:tc>
        <w:tc>
          <w:tcPr>
            <w:tcW w:w="71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1CE6475B"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rFonts w:ascii="Calibri" w:eastAsia="Times New Roman" w:hAnsi="Calibri" w:cs="Times New Roman"/>
                <w:b/>
                <w:color w:val="050505"/>
                <w:sz w:val="18"/>
                <w:szCs w:val="20"/>
                <w:lang w:eastAsia="es-MX"/>
              </w:rPr>
              <w:t>Citas</w:t>
            </w:r>
          </w:p>
        </w:tc>
        <w:tc>
          <w:tcPr>
            <w:tcW w:w="1130"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494C1E9D"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rFonts w:ascii="Calibri" w:eastAsia="Times New Roman" w:hAnsi="Calibri" w:cs="Times New Roman"/>
                <w:b/>
                <w:color w:val="050505"/>
                <w:sz w:val="18"/>
                <w:szCs w:val="20"/>
                <w:lang w:eastAsia="es-MX"/>
              </w:rPr>
              <w:t>Perspectiva internacional</w:t>
            </w:r>
          </w:p>
        </w:tc>
        <w:tc>
          <w:tcPr>
            <w:tcW w:w="1417" w:type="dxa"/>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083F3B7D" w14:textId="77777777" w:rsidR="007D5832" w:rsidRPr="00365884" w:rsidRDefault="007D5832" w:rsidP="00365884">
            <w:pPr>
              <w:spacing w:after="0" w:line="240" w:lineRule="auto"/>
              <w:jc w:val="center"/>
              <w:rPr>
                <w:rFonts w:ascii="Calibri" w:eastAsia="Times New Roman" w:hAnsi="Calibri" w:cs="Times New Roman"/>
                <w:b/>
                <w:color w:val="050505"/>
                <w:sz w:val="18"/>
                <w:szCs w:val="20"/>
                <w:lang w:eastAsia="es-MX"/>
              </w:rPr>
            </w:pPr>
            <w:r w:rsidRPr="00365884">
              <w:rPr>
                <w:rFonts w:ascii="Calibri" w:eastAsia="Times New Roman" w:hAnsi="Calibri" w:cs="Times New Roman"/>
                <w:b/>
                <w:color w:val="050505"/>
                <w:sz w:val="18"/>
                <w:szCs w:val="20"/>
                <w:lang w:eastAsia="es-MX"/>
              </w:rPr>
              <w:t>Financiamiento de la industria</w:t>
            </w:r>
          </w:p>
        </w:tc>
      </w:tr>
      <w:tr w:rsidR="006F2E18" w:rsidRPr="00365884" w14:paraId="7844FE09"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7B35E" w14:textId="0566452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8FF3A" w14:textId="3F7732FF"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São Paulo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44B5C" w14:textId="5AEC2DF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BC27D" w14:textId="31AC219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51.2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F12CD9" w14:textId="339174E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56.6</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248FD" w14:textId="6E3F5E1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58.9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6E8AE" w14:textId="100AA3A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44.2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91BB9" w14:textId="03360A9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9711C" w14:textId="4B40845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41.7</w:t>
            </w:r>
          </w:p>
        </w:tc>
      </w:tr>
      <w:tr w:rsidR="006F2E18" w:rsidRPr="00365884" w14:paraId="507AD7F6"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D28853" w14:textId="0522D14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48</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C47EBD" w14:textId="23C2A9EB"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Campinas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3F0767" w14:textId="7DFD672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0BE63E" w14:textId="7D6B014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8C9A9C" w14:textId="0D1D175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45.3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143474" w14:textId="3014A1D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43.9</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2D21A2" w14:textId="2291BB6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6FEF03" w14:textId="4BCE3EE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32</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31118C" w14:textId="424FBC0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45.7</w:t>
            </w:r>
          </w:p>
        </w:tc>
      </w:tr>
      <w:tr w:rsidR="006F2E18" w:rsidRPr="00365884" w14:paraId="4E433DD5"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BE9BD" w14:textId="07EDDE9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53</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2A452" w14:textId="4B804215"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Pontificia Universidad Católica de Chile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69B28" w14:textId="1273FE9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B1E4E" w14:textId="06F9B97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41.3</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668D5" w14:textId="354D24A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25.1</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108CB2" w14:textId="6B8428B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24FEC" w14:textId="481B76C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55.4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0E09C" w14:textId="60A7CEC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58.1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58C47" w14:textId="20B5CF5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77</w:t>
            </w:r>
          </w:p>
        </w:tc>
      </w:tr>
      <w:tr w:rsidR="006F2E18" w:rsidRPr="00365884" w14:paraId="1B1DD715"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A7FD82" w14:textId="79E004E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84</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B511A2" w14:textId="2229435A"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Pontificia Universidad Católica de Río de Janeiro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72508A" w14:textId="24098BF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888C0F" w14:textId="1D4B6C6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71F1B1" w14:textId="7189A36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28.7</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51EFC3" w14:textId="484F4C7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25.5</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67EB3A" w14:textId="2534353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B7CC4F" w14:textId="5EEB22C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41.5</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25F467" w14:textId="7DA1056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99.8</w:t>
            </w:r>
          </w:p>
        </w:tc>
      </w:tr>
      <w:tr w:rsidR="006F2E18" w:rsidRPr="00365884" w14:paraId="1DF05717"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D0F4ED" w14:textId="255A131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512010" w14:textId="0B9B5A29"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del Desarrollo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7B1E0" w14:textId="61DE939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7F8A5C" w14:textId="32D0C04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BB6CD" w14:textId="0D6D350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0A5F9" w14:textId="3197B06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C1095" w14:textId="2356F9A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99.5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4F6C7" w14:textId="5AB3F87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BF12F" w14:textId="454F0E8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35.8</w:t>
            </w:r>
          </w:p>
        </w:tc>
      </w:tr>
      <w:tr w:rsidR="006F2E18" w:rsidRPr="00365884" w14:paraId="54145D4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49DDFB" w14:textId="04ECEDB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D5AABE" w14:textId="10695B4E"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Diego Portales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041C96" w14:textId="34E08B8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C946A3" w14:textId="2555FC8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35.5</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A7B222" w14:textId="6EC6C21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6990CC" w14:textId="5A115C9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10.5</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E4E921" w14:textId="67195A6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96.4</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D07D1F" w14:textId="52AEFE6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51.3</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5CB18D" w14:textId="1E63C55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16FCA2E1"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4AE65A" w14:textId="7495517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94</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73CCB5" w14:textId="1F64614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Pontificia Universidad Javeriana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11692" w14:textId="68F3FF0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B9836" w14:textId="738AEE5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35.4</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B19CC" w14:textId="33E6F1D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97A34" w14:textId="3DD8F51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20797" w14:textId="474026D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99.3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9F882" w14:textId="031FB12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45.1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F6619" w14:textId="71DBAF8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33.8</w:t>
            </w:r>
          </w:p>
        </w:tc>
      </w:tr>
      <w:tr w:rsidR="006F2E18" w:rsidRPr="00365884" w14:paraId="7310AC39"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014463" w14:textId="13E8EA9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122</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A98213" w14:textId="697D7874"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Peruana Cayetano Heredia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EFF356" w14:textId="0D82D7C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Perú</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56FB51" w14:textId="6F9DAF4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33.5</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F41A6F" w14:textId="0F59646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A6DD29" w14:textId="736C71D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12.2</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7F104A" w14:textId="2258437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80.8</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0A0A8AB" w14:textId="2F1FDCC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48.1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739465" w14:textId="7464B36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w:t>
            </w:r>
          </w:p>
        </w:tc>
      </w:tr>
      <w:tr w:rsidR="006F2E18" w:rsidRPr="00365884" w14:paraId="1A5157F5"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BF620" w14:textId="56424CDB" w:rsidR="006F2E18" w:rsidRPr="00365884" w:rsidRDefault="006F2E18" w:rsidP="00365884">
            <w:pPr>
              <w:spacing w:after="0" w:line="240" w:lineRule="auto"/>
              <w:jc w:val="center"/>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129</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E075D" w14:textId="488B4573" w:rsidR="006F2E18" w:rsidRPr="00365884" w:rsidRDefault="006F2E18" w:rsidP="00365884">
            <w:pPr>
              <w:spacing w:after="0" w:line="240" w:lineRule="auto"/>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Universidad Nacional Autónoma de México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D372E" w14:textId="21F42917" w:rsidR="006F2E18" w:rsidRPr="00365884" w:rsidRDefault="006F2E18" w:rsidP="00365884">
            <w:pPr>
              <w:spacing w:after="0" w:line="240" w:lineRule="auto"/>
              <w:jc w:val="center"/>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AA29F" w14:textId="2ED928CE" w:rsidR="006F2E18" w:rsidRPr="00365884" w:rsidRDefault="006F2E18" w:rsidP="00365884">
            <w:pPr>
              <w:spacing w:after="0" w:line="240" w:lineRule="auto"/>
              <w:jc w:val="center"/>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32.9</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BD8F77" w14:textId="5BFF2B52" w:rsidR="006F2E18" w:rsidRPr="00365884" w:rsidRDefault="006F2E18" w:rsidP="00365884">
            <w:pPr>
              <w:spacing w:after="0" w:line="240" w:lineRule="auto"/>
              <w:jc w:val="center"/>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31.2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5C30A" w14:textId="672DC360" w:rsidR="006F2E18" w:rsidRPr="00365884" w:rsidRDefault="006F2E18" w:rsidP="00365884">
            <w:pPr>
              <w:spacing w:after="0" w:line="240" w:lineRule="auto"/>
              <w:jc w:val="center"/>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29.5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82562" w14:textId="61AD2ADD" w:rsidR="006F2E18" w:rsidRPr="00365884" w:rsidRDefault="006F2E18" w:rsidP="00365884">
            <w:pPr>
              <w:spacing w:after="0" w:line="240" w:lineRule="auto"/>
              <w:jc w:val="center"/>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18.2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EF6C6" w14:textId="4B525D31" w:rsidR="006F2E18" w:rsidRPr="00365884" w:rsidRDefault="006F2E18" w:rsidP="00365884">
            <w:pPr>
              <w:spacing w:after="0" w:line="240" w:lineRule="auto"/>
              <w:jc w:val="center"/>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49.7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DB910" w14:textId="31CDF2C6" w:rsidR="006F2E18" w:rsidRPr="00365884" w:rsidRDefault="006F2E18" w:rsidP="00365884">
            <w:pPr>
              <w:spacing w:after="0" w:line="240" w:lineRule="auto"/>
              <w:jc w:val="center"/>
              <w:rPr>
                <w:rFonts w:ascii="Calibri" w:eastAsia="Times New Roman" w:hAnsi="Calibri" w:cs="Times New Roman"/>
                <w:b/>
                <w:bCs/>
                <w:color w:val="000000"/>
                <w:sz w:val="18"/>
                <w:szCs w:val="18"/>
                <w:lang w:eastAsia="es-MX"/>
              </w:rPr>
            </w:pPr>
            <w:r w:rsidRPr="00365884">
              <w:rPr>
                <w:rFonts w:ascii="Calibri" w:hAnsi="Calibri" w:cs="Calibri"/>
                <w:b/>
                <w:bCs/>
                <w:color w:val="000000"/>
                <w:sz w:val="18"/>
                <w:szCs w:val="18"/>
              </w:rPr>
              <w:t>60.6</w:t>
            </w:r>
          </w:p>
        </w:tc>
      </w:tr>
      <w:tr w:rsidR="006F2E18" w:rsidRPr="00365884" w14:paraId="76834F13"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A80DDF" w14:textId="44E764D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2902DE" w14:textId="7C13FD1E"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Instituto Tecnológico y de Estudios Superiores de Monterrey</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5FFD35" w14:textId="25E25B8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8185CA" w14:textId="77DD94E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32.8</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F65E50" w14:textId="0AA6DD8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8D0B49" w14:textId="3E8D5C1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17.6</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F6E2D5" w14:textId="50127BE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45.4</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68F420" w14:textId="70272FF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57.5</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6A3516" w14:textId="2A671C2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66</w:t>
            </w:r>
          </w:p>
        </w:tc>
      </w:tr>
      <w:tr w:rsidR="006F2E18" w:rsidRPr="00365884" w14:paraId="6168F91A" w14:textId="77777777" w:rsidTr="00EB4D5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D940D" w14:textId="50AFB15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56BD9" w14:textId="7F339179" w:rsidR="006F2E18" w:rsidRPr="00BA5366" w:rsidRDefault="006F2E18" w:rsidP="00365884">
            <w:pPr>
              <w:spacing w:after="0" w:line="240" w:lineRule="auto"/>
              <w:rPr>
                <w:rFonts w:ascii="Calibri" w:eastAsia="Times New Roman" w:hAnsi="Calibri" w:cs="Times New Roman"/>
                <w:color w:val="000000"/>
                <w:sz w:val="18"/>
                <w:szCs w:val="18"/>
                <w:lang w:val="pt-BR" w:eastAsia="es-MX"/>
              </w:rPr>
            </w:pPr>
            <w:proofErr w:type="spellStart"/>
            <w:r w:rsidRPr="00BA5366">
              <w:rPr>
                <w:rFonts w:ascii="Calibri" w:hAnsi="Calibri" w:cs="Calibri"/>
                <w:color w:val="000000"/>
                <w:sz w:val="18"/>
                <w:szCs w:val="18"/>
                <w:lang w:val="pt-BR"/>
              </w:rPr>
              <w:t>Universidad</w:t>
            </w:r>
            <w:proofErr w:type="spellEnd"/>
            <w:r w:rsidRPr="00BA5366">
              <w:rPr>
                <w:rFonts w:ascii="Calibri" w:hAnsi="Calibri" w:cs="Calibri"/>
                <w:color w:val="000000"/>
                <w:sz w:val="18"/>
                <w:szCs w:val="18"/>
                <w:lang w:val="pt-BR"/>
              </w:rPr>
              <w:t xml:space="preserve"> Federal de Minas Gerais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7355A" w14:textId="7860CF9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6AF83" w14:textId="350968D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32.5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80B21" w14:textId="4508D45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31</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FE953" w14:textId="7EC77A6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6E433" w14:textId="45AEB47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52.8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DD6A92" w14:textId="5A4E930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E2832" w14:textId="136C0E5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39.2</w:t>
            </w:r>
          </w:p>
        </w:tc>
      </w:tr>
      <w:tr w:rsidR="006F2E18" w:rsidRPr="00365884" w14:paraId="6111974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294CB7" w14:textId="336E4D4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270BC08" w14:textId="2996C547"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Río Grande del Sur</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EA578C" w14:textId="181B08A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2D6B21" w14:textId="602738D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32.5</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F739F96" w14:textId="5BBD8CD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28.9</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BE2C17" w14:textId="11D0048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18.4</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AE25BB" w14:textId="744B216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56.9</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EA3354" w14:textId="014E907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BFE06D" w14:textId="3E0909D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41.5</w:t>
            </w:r>
          </w:p>
        </w:tc>
      </w:tr>
      <w:tr w:rsidR="006F2E18" w:rsidRPr="00365884" w14:paraId="37C20B6C"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65FC7" w14:textId="7BCC149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54A54" w14:textId="5F3EB7B9"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de Chile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16E3A" w14:textId="041B308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E8EB2" w14:textId="2220F88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32.2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52486" w14:textId="65EBB60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6E4B3" w14:textId="1EB1FF1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06D76" w14:textId="2D94983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84.9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417D1" w14:textId="38A0FF1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27F80" w14:textId="13666E7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00D4045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3CF15F" w14:textId="5BA8C10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158</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0499C2" w14:textId="7401A4F8"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Santa Catarina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8B95EB" w14:textId="7E22BB3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034EAE" w14:textId="157560B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31.2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EE6239" w14:textId="530CDCD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3AE5AB" w14:textId="2F812E6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89BD77" w14:textId="09DECAE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56</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367118" w14:textId="431B392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9D9117" w14:textId="066BF48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42.2</w:t>
            </w:r>
          </w:p>
        </w:tc>
      </w:tr>
      <w:tr w:rsidR="006F2E18" w:rsidRPr="00365884" w14:paraId="4A101D7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81191" w14:textId="76904F0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169</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6C0D8" w14:textId="1933DE8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Metropolitana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0E341" w14:textId="75EC18E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B04B6" w14:textId="7D83995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09A9F" w14:textId="3C9FDAB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17.1</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A8C42A" w14:textId="5B961BB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A6982" w14:textId="28B1D34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72.8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E696E" w14:textId="49044E6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F8C8F" w14:textId="45406A9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35.2</w:t>
            </w:r>
          </w:p>
        </w:tc>
      </w:tr>
      <w:tr w:rsidR="006F2E18" w:rsidRPr="00365884" w14:paraId="5851822C" w14:textId="77777777" w:rsidTr="00EB4D5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4858EA" w14:textId="5345B39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184</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8809A9" w14:textId="3406888F" w:rsidR="006F2E18" w:rsidRPr="00BA5366" w:rsidRDefault="006F2E18" w:rsidP="00365884">
            <w:pPr>
              <w:spacing w:after="0" w:line="240" w:lineRule="auto"/>
              <w:rPr>
                <w:rFonts w:ascii="Calibri" w:eastAsia="Times New Roman" w:hAnsi="Calibri" w:cs="Times New Roman"/>
                <w:color w:val="000000"/>
                <w:sz w:val="18"/>
                <w:szCs w:val="18"/>
                <w:lang w:val="pt-BR" w:eastAsia="es-MX"/>
              </w:rPr>
            </w:pPr>
            <w:proofErr w:type="spellStart"/>
            <w:r w:rsidRPr="00BA5366">
              <w:rPr>
                <w:rFonts w:ascii="Calibri" w:hAnsi="Calibri" w:cs="Calibri"/>
                <w:color w:val="000000"/>
                <w:sz w:val="18"/>
                <w:szCs w:val="18"/>
                <w:lang w:val="pt-BR"/>
              </w:rPr>
              <w:t>Universidad</w:t>
            </w:r>
            <w:proofErr w:type="spellEnd"/>
            <w:r w:rsidRPr="00BA5366">
              <w:rPr>
                <w:rFonts w:ascii="Calibri" w:hAnsi="Calibri" w:cs="Calibri"/>
                <w:color w:val="000000"/>
                <w:sz w:val="18"/>
                <w:szCs w:val="18"/>
                <w:lang w:val="pt-BR"/>
              </w:rPr>
              <w:t xml:space="preserve"> Federal de São Paulo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E76D83" w14:textId="79B1A95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61219E" w14:textId="2FBA752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29.6</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537AE0" w14:textId="1F2E21E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9D9A00" w14:textId="47D6891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15.2</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29B570" w14:textId="0C56BEE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47.8</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224F73" w14:textId="76E5910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30.2</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4EA661" w14:textId="5FFAC5B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34.6</w:t>
            </w:r>
          </w:p>
        </w:tc>
      </w:tr>
      <w:tr w:rsidR="006F2E18" w:rsidRPr="00365884" w14:paraId="358E2211"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BAEE5" w14:textId="327ED7A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187</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16A05" w14:textId="47246FB8"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Río de Janeiro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D320F" w14:textId="5BDED35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64708" w14:textId="0E5D8C5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29.5</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8FF918" w14:textId="35DE9FA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31.8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3B283" w14:textId="389EC72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4062E" w14:textId="3E4AA03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9E1490" w14:textId="4FF2678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7A9E8" w14:textId="217998C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65</w:t>
            </w:r>
          </w:p>
        </w:tc>
      </w:tr>
      <w:tr w:rsidR="006F2E18" w:rsidRPr="00365884" w14:paraId="62179716" w14:textId="77777777" w:rsidTr="00EB4D5F">
        <w:trPr>
          <w:gridAfter w:val="1"/>
          <w:wAfter w:w="6" w:type="dxa"/>
          <w:trHeight w:val="99"/>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BDB886" w14:textId="50E7E19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5CB810" w14:textId="6AC7288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los Andes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0DE6F3" w14:textId="756A19A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61C768" w14:textId="02681E3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29.4</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2B8D11" w14:textId="6F5C4DD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CF8611" w14:textId="432328D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16.3</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056F931" w14:textId="36E2BB1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43.2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A29D6D" w14:textId="332F316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55.7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7E2328" w14:textId="3487E98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38.1</w:t>
            </w:r>
          </w:p>
        </w:tc>
      </w:tr>
      <w:tr w:rsidR="006F2E18" w:rsidRPr="00365884" w14:paraId="3F89D597" w14:textId="77777777" w:rsidTr="00EB4D5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C13DD" w14:textId="5D17C6F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195</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62DC33" w14:textId="7438345D"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Antofagasta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68558" w14:textId="2B3DB6B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63B56" w14:textId="7996752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F3F30" w14:textId="1C190C4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7F254" w14:textId="07F8886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8247B" w14:textId="6495F9B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69.5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C63B8" w14:textId="6899A59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A45F0" w14:textId="69726FF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1799EDB1"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D3CDAF" w14:textId="663E35F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201–250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868585" w14:textId="7BA91965"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Brasilia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BD1C14" w14:textId="214041A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EB0029" w14:textId="3922CD2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27.0–29.1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71F704" w14:textId="0724265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26.7</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1E314B" w14:textId="10DF5F5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14.8</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55BFBF" w14:textId="6458C1D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39.4</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A9D063" w14:textId="3C10B13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32.1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AC432E" w14:textId="676B649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41.3</w:t>
            </w:r>
          </w:p>
        </w:tc>
      </w:tr>
      <w:tr w:rsidR="006F2E18" w:rsidRPr="00365884" w14:paraId="6D4E0166"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058B3" w14:textId="1DFEFE5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201–250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783BF" w14:textId="5A708215"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Chile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237C" w14:textId="293B531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C1181" w14:textId="63EF960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27.0–29.1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86A50" w14:textId="795BBAB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23.6</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360D7" w14:textId="4F16404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719E2" w14:textId="23AD3A0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8BDA8" w14:textId="47976AD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0A59B" w14:textId="16EAAD9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38.3</w:t>
            </w:r>
          </w:p>
        </w:tc>
      </w:tr>
      <w:tr w:rsidR="006F2E18" w:rsidRPr="00365884" w14:paraId="510F171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989AF1" w14:textId="4411905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201–250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7CF72D" w14:textId="70DBD67C"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Sergipe</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235B34" w14:textId="3CC054A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6EBC46" w14:textId="397D2D9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27.0–29.1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398FDC" w14:textId="124BC5C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16.5</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50E13C" w14:textId="7FEFA37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7.9</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DD8D5E" w14:textId="275FA25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82.2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852F6F" w14:textId="1AE4AD3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797875" w14:textId="51D5F23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33.3</w:t>
            </w:r>
          </w:p>
        </w:tc>
      </w:tr>
      <w:tr w:rsidR="006F2E18" w:rsidRPr="00365884" w14:paraId="592D800C"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6A1FB" w14:textId="17BB178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201–250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B0E9FB" w14:textId="7F8187AD"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Estatal Paulista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D2D2F" w14:textId="273EF38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B263C" w14:textId="3512643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27.0–29.1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6B48D" w14:textId="1D9BF68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9364E" w14:textId="034CD99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24.1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500D6" w14:textId="3643E26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E076B" w14:textId="65504E0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28.2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F64DF" w14:textId="54CE222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39.2</w:t>
            </w:r>
          </w:p>
        </w:tc>
      </w:tr>
      <w:tr w:rsidR="006F2E18" w:rsidRPr="00365884" w14:paraId="0EC03F1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963FAD" w14:textId="03013A8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251–300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15983B" w14:textId="612F8A16"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Río Grande del Sur</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7DD4BF" w14:textId="77D1528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57578A" w14:textId="3458AC9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24.7–26.9</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C60CCC" w14:textId="48E0D2C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E5A268" w14:textId="7402D43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11.2</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9467BF" w14:textId="2B93229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42.6</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5CB686" w14:textId="46A3872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DD2E5A2" w14:textId="0A858E4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44.6</w:t>
            </w:r>
          </w:p>
        </w:tc>
      </w:tr>
      <w:tr w:rsidR="006F2E18" w:rsidRPr="00365884" w14:paraId="54F9B391" w14:textId="77777777" w:rsidTr="00EB4D5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1E50D" w14:textId="40B03E3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CC8F5" w14:textId="444EB611"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Adolfo Ibáñez</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669C6" w14:textId="1AAB82F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4A214" w14:textId="40CC20F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CAA83E" w14:textId="72185D8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A5173B" w14:textId="2BC98CD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921ED" w14:textId="6E2CEAF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765BA" w14:textId="4C3E33C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58.8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6683C" w14:textId="09547E6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35.4</w:t>
            </w:r>
          </w:p>
        </w:tc>
      </w:tr>
      <w:tr w:rsidR="006F2E18" w:rsidRPr="00365884" w14:paraId="37B415B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6A9F7D" w14:textId="098228F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7541C6" w14:textId="616A1C4A"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Concepción</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6907B9" w14:textId="3ECC223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59FFEC" w14:textId="38488D7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BBF804" w14:textId="5266E12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126B841" w14:textId="4FD8320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12.1</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774066" w14:textId="34039AA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23.5</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AEE5809" w14:textId="09517C7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49.7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B3FB14" w14:textId="161FF19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56</w:t>
            </w:r>
          </w:p>
        </w:tc>
      </w:tr>
      <w:tr w:rsidR="006F2E18" w:rsidRPr="00365884" w14:paraId="72170F17"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B2EE05" w14:textId="6283EEF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2010B" w14:textId="7A73740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Lavras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EEAEC" w14:textId="3A3681B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17372D" w14:textId="581B0F3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C9237" w14:textId="2124751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20BCA" w14:textId="0EADF79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B2CFC" w14:textId="42FF05D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99FE8" w14:textId="4C90ABC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85163" w14:textId="6519D4F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53.9</w:t>
            </w:r>
          </w:p>
        </w:tc>
      </w:tr>
      <w:tr w:rsidR="006F2E18" w:rsidRPr="00365884" w14:paraId="527D9800"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AAD42C" w14:textId="2B0CF1D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9A8EB4" w14:textId="2AA759BE"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Pelotas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614677" w14:textId="712A992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D90A1E" w14:textId="0A43344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65CDEF" w14:textId="4F3A6FF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18.7</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49A03AB" w14:textId="0FE682E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11.5</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8B99A6" w14:textId="1939349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45.4</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927009" w14:textId="42A30F5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E0F756" w14:textId="04908D4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79DB638A"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D1849" w14:textId="3889466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96BA8" w14:textId="055F5E5A" w:rsidR="006F2E18" w:rsidRPr="00BA5366" w:rsidRDefault="006F2E18" w:rsidP="00365884">
            <w:pPr>
              <w:spacing w:after="0" w:line="240" w:lineRule="auto"/>
              <w:rPr>
                <w:rFonts w:ascii="Calibri" w:eastAsia="Times New Roman" w:hAnsi="Calibri" w:cs="Times New Roman"/>
                <w:color w:val="000000"/>
                <w:sz w:val="18"/>
                <w:szCs w:val="18"/>
                <w:lang w:val="pt-BR" w:eastAsia="es-MX"/>
              </w:rPr>
            </w:pPr>
            <w:proofErr w:type="spellStart"/>
            <w:r w:rsidRPr="00BA5366">
              <w:rPr>
                <w:rFonts w:ascii="Calibri" w:hAnsi="Calibri" w:cs="Calibri"/>
                <w:color w:val="000000"/>
                <w:sz w:val="18"/>
                <w:szCs w:val="18"/>
                <w:lang w:val="pt-BR"/>
              </w:rPr>
              <w:t>Universidad</w:t>
            </w:r>
            <w:proofErr w:type="spellEnd"/>
            <w:r w:rsidRPr="00BA5366">
              <w:rPr>
                <w:rFonts w:ascii="Calibri" w:hAnsi="Calibri" w:cs="Calibri"/>
                <w:color w:val="000000"/>
                <w:sz w:val="18"/>
                <w:szCs w:val="18"/>
                <w:lang w:val="pt-BR"/>
              </w:rPr>
              <w:t xml:space="preserve"> Federal de São Carlos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3DC47" w14:textId="36B3504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67E3E" w14:textId="181A91E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C5B9F5" w14:textId="4E5B040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BD700" w14:textId="14B78A7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40387" w14:textId="6046E67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8146E" w14:textId="1B04662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749741" w14:textId="12CEE65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41.9</w:t>
            </w:r>
          </w:p>
        </w:tc>
      </w:tr>
      <w:tr w:rsidR="006F2E18" w:rsidRPr="00365884" w14:paraId="6BC07B11"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86978C" w14:textId="2667761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70BDC8" w14:textId="6A2A2C11"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Técnica Federico Santa María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2D9F76" w14:textId="6EE96E9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4B4ACF" w14:textId="0C44EF6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81B1FA" w14:textId="4BA0F3C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13.8</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95A84D" w14:textId="78B5A77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8665BB3" w14:textId="6BE719B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35.8</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D8D80A" w14:textId="1BD32B7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59.2</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E4D4B2" w14:textId="0F37834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43.6</w:t>
            </w:r>
          </w:p>
        </w:tc>
      </w:tr>
      <w:tr w:rsidR="006F2E18" w:rsidRPr="00365884" w14:paraId="3A5AED7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E232D" w14:textId="5FB3BE6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D853AF" w14:textId="0D9BD162"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Fortaleza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F2E59" w14:textId="2DBC41E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1FB00" w14:textId="2A39996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713B5" w14:textId="7EBE033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BBF06" w14:textId="5A8F35A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C32D5" w14:textId="430ABA5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48</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6CD33" w14:textId="0D9C421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CB03BB" w14:textId="3E9FA6E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33.7</w:t>
            </w:r>
          </w:p>
        </w:tc>
      </w:tr>
      <w:tr w:rsidR="006F2E18" w:rsidRPr="00365884" w14:paraId="4425E5E5"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556BA3" w14:textId="0DD290C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0F31E4" w14:textId="62093094"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La Frontera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F9E454" w14:textId="15999B8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B91E97" w14:textId="40EF290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D769EA" w14:textId="3206063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14.9</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06EE95" w14:textId="2C28BAC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17.7</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FB82EC" w14:textId="31914AF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31.9</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DA8BCD" w14:textId="2DF6B3B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47.3</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31F8E3" w14:textId="6C58305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33.9</w:t>
            </w:r>
          </w:p>
        </w:tc>
      </w:tr>
      <w:tr w:rsidR="006F2E18" w:rsidRPr="00365884" w14:paraId="6683905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15C54" w14:textId="0E44604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6FF00F" w14:textId="702EBE2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Nacional de Colombia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595EDF" w14:textId="4C413AF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94850" w14:textId="7D7F6E6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77DA7C" w14:textId="1CBAE4A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5B472" w14:textId="48E3552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83462" w14:textId="54469B9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E6B92" w14:textId="33CD168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17CF4" w14:textId="5DE604D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33.9</w:t>
            </w:r>
          </w:p>
        </w:tc>
      </w:tr>
      <w:tr w:rsidR="006F2E18" w:rsidRPr="00365884" w14:paraId="3A89E12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044D1BD" w14:textId="5C55B1F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2F16BA" w14:textId="5E98E0C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Pontificia Universidad Católica del Perú</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87B9F4" w14:textId="29F3941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Perú</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F5C46C" w14:textId="0085553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7D239A" w14:textId="162288B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20.5</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CB7F8B" w14:textId="45E4236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8.9</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E8E4F7" w14:textId="5C3032D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36.6</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A4C01B" w14:textId="401AB48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45.9</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6AA6B2" w14:textId="5B8D4E4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34.7</w:t>
            </w:r>
          </w:p>
        </w:tc>
      </w:tr>
      <w:tr w:rsidR="006F2E18" w:rsidRPr="00365884" w14:paraId="737468F0"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FF4AE" w14:textId="5700D77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A8AAE" w14:textId="565658ED"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Pontificia Universidad Católica de Valparaíso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71C64" w14:textId="499E697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28E074" w14:textId="5D41E81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7777D" w14:textId="44722BC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FDCD6" w14:textId="6B062E3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7E332" w14:textId="67279AF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3CCC2" w14:textId="756FFAC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2EEEA" w14:textId="63F454F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47.4</w:t>
            </w:r>
          </w:p>
        </w:tc>
      </w:tr>
      <w:tr w:rsidR="006F2E18" w:rsidRPr="00365884" w14:paraId="7FB1D78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EAA889" w14:textId="2F6D972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301–350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507898" w14:textId="4A76A3B1"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del Valle de Rio de Sinos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2F3D7A" w14:textId="246916B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565EA4" w14:textId="6E99B94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22.9–24.6</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7993F1" w14:textId="1A65E59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2D60A4" w14:textId="52256AA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12.7</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E1301F" w14:textId="00798D9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27.8</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FFE61B" w14:textId="5239BC8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2B99A4" w14:textId="0C02B61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50.4</w:t>
            </w:r>
          </w:p>
        </w:tc>
      </w:tr>
      <w:tr w:rsidR="006F2E18" w:rsidRPr="00365884" w14:paraId="3B7BA5A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75E84" w14:textId="5F0FE83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D894" w14:textId="004B9238"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los Andes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E6B74" w14:textId="6E352FD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CF1C6" w14:textId="0978CEC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3E7FC" w14:textId="7AA18CC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16.7</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78B15" w14:textId="22A251A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F8AFA" w14:textId="4823900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39DAB" w14:textId="1759D30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5484E8" w14:textId="6C02B0D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36.2</w:t>
            </w:r>
          </w:p>
        </w:tc>
      </w:tr>
      <w:tr w:rsidR="006F2E18" w:rsidRPr="00365884" w14:paraId="5F0DCF0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8FBF2F" w14:textId="3E47833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A61FAD" w14:textId="5880F37F"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Austral de Chile</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1A1321" w14:textId="660A434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55CA650" w14:textId="32C3C31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653649" w14:textId="1B207AC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E06595" w14:textId="48134FA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12.7</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A607E0" w14:textId="27E3A35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21.8</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891B3A" w14:textId="62FD389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51.6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E66DC3" w14:textId="27719EE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45.4</w:t>
            </w:r>
          </w:p>
        </w:tc>
      </w:tr>
      <w:tr w:rsidR="006F2E18" w:rsidRPr="00365884" w14:paraId="0F0CC695"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CC6EB" w14:textId="4CE8C7E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7EAC1" w14:textId="194A8CB1"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Católica del Norte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5CF99" w14:textId="5C04219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9E020" w14:textId="258A708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7E04D" w14:textId="4B0BEBD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14.6</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4B80D" w14:textId="2363A08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58889" w14:textId="4012137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3EA5A" w14:textId="10818D7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54.5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25ED4" w14:textId="551C711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34.3</w:t>
            </w:r>
          </w:p>
        </w:tc>
      </w:tr>
      <w:tr w:rsidR="006F2E18" w:rsidRPr="00365884" w14:paraId="2D2D6E9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2AF441" w14:textId="3F2B199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E94F4F" w14:textId="738132A1"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del ABC</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B94608A" w14:textId="3E8051F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487BFB" w14:textId="5BD50D6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C90AC0" w14:textId="1770FE3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17.2</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AE34ED" w14:textId="64D65CB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12.9</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314563" w14:textId="0EB01AF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29.3</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3F9FE9" w14:textId="150870C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35.3</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E68948" w14:textId="7FDBF28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33.8</w:t>
            </w:r>
          </w:p>
        </w:tc>
      </w:tr>
      <w:tr w:rsidR="006F2E18" w:rsidRPr="00365884" w14:paraId="16753C0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9669C" w14:textId="33F3727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245E3" w14:textId="1D7B2835"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Bahía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FFFCA" w14:textId="18C23F1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4B8A2" w14:textId="6EFB13E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BE6EE" w14:textId="313811E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72EA0" w14:textId="4F13F51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474C2" w14:textId="4BADED8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01F01" w14:textId="6A7D8DF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22BC1" w14:textId="6DBCDCC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33.3</w:t>
            </w:r>
          </w:p>
        </w:tc>
      </w:tr>
      <w:tr w:rsidR="006F2E18" w:rsidRPr="00365884" w14:paraId="42F97990"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8D3CED" w14:textId="016DBAA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671C27" w14:textId="699E2062"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Viçosa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AFC5A8" w14:textId="724D44A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73E8E6F" w14:textId="194F223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EAE7FC" w14:textId="0BE1764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D24FBE" w14:textId="6383156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16.1</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49F168" w14:textId="36D9C0B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BF0443" w14:textId="5AC2858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13643E" w14:textId="738907C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46.5</w:t>
            </w:r>
          </w:p>
        </w:tc>
      </w:tr>
      <w:tr w:rsidR="006F2E18" w:rsidRPr="00365884" w14:paraId="594BCD7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95762" w14:textId="6AFC033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5A5525" w14:textId="6113DECB"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Industrial de Santander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140BC" w14:textId="52570A2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D5367" w14:textId="702D766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5477E" w14:textId="1B24070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4AC01" w14:textId="502ED85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76653" w14:textId="302E1C9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D4E53" w14:textId="740B429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2ADA1" w14:textId="6F06791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38C19127"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A8497A" w14:textId="66613AD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17AD74" w14:textId="3B1BBDFF"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Pontificia Universidad Católica de Paraná</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6616C8" w14:textId="3254C2B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84AFC0" w14:textId="78BDDF1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574252" w14:textId="2724203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98415E" w14:textId="2FF4B3E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11.3</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109D79" w14:textId="59A74BA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30.9</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75FB22" w14:textId="020F687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27.9</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300876" w14:textId="2426982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36.3</w:t>
            </w:r>
          </w:p>
        </w:tc>
      </w:tr>
      <w:tr w:rsidR="006F2E18" w:rsidRPr="00365884" w14:paraId="7467399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A496D" w14:textId="77A81FF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351–400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FC6A5" w14:textId="07DEDA4A"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Talca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47F16" w14:textId="0B690C1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CC2BFB" w14:textId="5801CBE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21.2–22.8</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036D7" w14:textId="57F97A2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4BD35" w14:textId="18CFD3F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B71B3" w14:textId="7804054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59288" w14:textId="4D4C088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F32F38" w14:textId="78F00DA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37.8</w:t>
            </w:r>
          </w:p>
        </w:tc>
      </w:tr>
      <w:tr w:rsidR="006F2E18" w:rsidRPr="00365884" w14:paraId="562994FA"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18D27C" w14:textId="2C491EC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4FB24B" w14:textId="0C2F9BFB"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Andrés Bello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77B984" w14:textId="197FA92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14E7BA" w14:textId="5189F7A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0A9E32" w14:textId="34EE35A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14.2</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638C8D" w14:textId="318E2BA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8.4</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13D364" w14:textId="362D7E8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30.3</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A178D2" w14:textId="0A5C119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48.1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FA4F3CB" w14:textId="091B435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33.5</w:t>
            </w:r>
          </w:p>
        </w:tc>
      </w:tr>
      <w:tr w:rsidR="006F2E18" w:rsidRPr="00365884" w14:paraId="00F39741"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519AF" w14:textId="75F4368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70067" w14:textId="34DBC609"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Antioquia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7413D" w14:textId="6E4912B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EA87E" w14:textId="046019A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28964" w14:textId="75C5CCF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DB431" w14:textId="405659F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6A72C" w14:textId="4BC5E7A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827FC" w14:textId="02545E0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E90D" w14:textId="79A868D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41.3</w:t>
            </w:r>
          </w:p>
        </w:tc>
      </w:tr>
      <w:tr w:rsidR="006F2E18" w:rsidRPr="00365884" w14:paraId="7AA3EC1C"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FE5216" w14:textId="4CCAFDB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9FD5B0" w14:textId="227323FA"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del Rosario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D568B0" w14:textId="3637FBE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1DFC6B" w14:textId="1CC7645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697A2D" w14:textId="286264B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16.2</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80DA00" w14:textId="61BF3A1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9.9</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38210C" w14:textId="002379B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588453" w14:textId="6C02202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48.6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CD9627B" w14:textId="28983F8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36.2</w:t>
            </w:r>
          </w:p>
        </w:tc>
      </w:tr>
      <w:tr w:rsidR="006F2E18" w:rsidRPr="00365884" w14:paraId="11824E21"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5EFCB" w14:textId="73C8F6B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D483D" w14:textId="7FAE269E"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del Ceará</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931FC" w14:textId="570C6EB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FF8AFC" w14:textId="13002AF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39161" w14:textId="087C057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D1A0B" w14:textId="18EA7CA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CFB33" w14:textId="76BBCA2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DC040" w14:textId="1D475E0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5203B" w14:textId="55EF62B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36.7</w:t>
            </w:r>
          </w:p>
        </w:tc>
      </w:tr>
      <w:tr w:rsidR="006F2E18" w:rsidRPr="00365884" w14:paraId="1B5F784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FC0188" w14:textId="5BAA484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lastRenderedPageBreak/>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D3AB6E" w14:textId="2EA421DD"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Espíritu Santo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645974" w14:textId="69B3F31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C87D5A" w14:textId="378201C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7DA0BD" w14:textId="118B77F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18.5</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8C5199" w14:textId="2E858FC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9.1</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231362" w14:textId="54E896D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AB3DF1" w14:textId="79F0552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23.5</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17407E3" w14:textId="13FFB43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35.7</w:t>
            </w:r>
          </w:p>
        </w:tc>
      </w:tr>
      <w:tr w:rsidR="006F2E18" w:rsidRPr="00365884" w14:paraId="62CA4B55"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68D25" w14:textId="53B0EC4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18B41" w14:textId="0B3B2319"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 xml:space="preserve">Universidad Federal de </w:t>
            </w:r>
            <w:r w:rsidR="005D5076" w:rsidRPr="00365884">
              <w:rPr>
                <w:rFonts w:ascii="Calibri" w:hAnsi="Calibri" w:cs="Calibri"/>
                <w:color w:val="000000"/>
                <w:sz w:val="18"/>
                <w:szCs w:val="18"/>
              </w:rPr>
              <w:t>Itajubà</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7E2AD" w14:textId="3946483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EB2E" w14:textId="584E723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E1682" w14:textId="547FFC2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2480D" w14:textId="4CF90DA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2F7DD" w14:textId="098E97D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B844C" w14:textId="3E62EAF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AF1521" w14:textId="73DCEED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36.4</w:t>
            </w:r>
          </w:p>
        </w:tc>
      </w:tr>
      <w:tr w:rsidR="006F2E18" w:rsidRPr="00365884" w14:paraId="3E2EC00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B8EC80" w14:textId="7DC41B5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2559E34" w14:textId="6759425A"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Maranhão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9A2F11B" w14:textId="665352A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0865D7" w14:textId="2595E5D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379217" w14:textId="029E826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25.5</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AEC63E8" w14:textId="15FC9BF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C1962C" w14:textId="16F7BBE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18.4</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2AAD61F" w14:textId="38EF883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18.2</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E54FAE" w14:textId="5849B23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w:t>
            </w:r>
          </w:p>
        </w:tc>
      </w:tr>
      <w:tr w:rsidR="006F2E18" w:rsidRPr="00365884" w14:paraId="7FF200E3"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A4D53" w14:textId="1E47F5E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52F23" w14:textId="49B2532C"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Paraná</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E1E37" w14:textId="592DA32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A0F46" w14:textId="46D9567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8F4D5" w14:textId="1AD7667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25.9</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5415A" w14:textId="54824BB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91FD2" w14:textId="259F10E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67429" w14:textId="6257756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31D91" w14:textId="5040FA2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w:t>
            </w:r>
          </w:p>
        </w:tc>
      </w:tr>
      <w:tr w:rsidR="006F2E18" w:rsidRPr="00365884" w14:paraId="09C6FC5A"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191408" w14:textId="67CA0B1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222B49" w14:textId="4D18C939"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Pernambuco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E341BA" w14:textId="4AEC754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D5D3B82" w14:textId="6C5D3D3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CC0DA3F" w14:textId="5002B8A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26.1</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816BA3" w14:textId="1371DB5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9.7</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0B5ABA" w14:textId="11F7A2A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A47DFD" w14:textId="642857B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21.5</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824CBF" w14:textId="7AB98F9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35.2</w:t>
            </w:r>
          </w:p>
        </w:tc>
      </w:tr>
      <w:tr w:rsidR="006F2E18" w:rsidRPr="00365884" w14:paraId="5E225ACA"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BCEAE" w14:textId="3BC5C58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4B5B6" w14:textId="2D38B99F"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Río Grande del Norte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BF269" w14:textId="7435C4D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FAA8B" w14:textId="4DCDD2F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E6ED6" w14:textId="6C22F34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EE781" w14:textId="13DB77F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3F896" w14:textId="6596B0D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20.4</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4593A" w14:textId="610A63E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E288" w14:textId="66A8235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36.9</w:t>
            </w:r>
          </w:p>
        </w:tc>
      </w:tr>
      <w:tr w:rsidR="006F2E18" w:rsidRPr="00365884" w14:paraId="2EBE959C"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01DA10" w14:textId="5B60627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D177A1E" w14:textId="1BAE99B2"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Uberlandia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B4B6BB" w14:textId="144AFE0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D2D1A3" w14:textId="1C01485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C152C7" w14:textId="7841D32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9159BD" w14:textId="104D6D7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2C590B" w14:textId="056C0A1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19.5</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60A302" w14:textId="1CCB511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5A5D6B" w14:textId="3EF1F50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41.1</w:t>
            </w:r>
          </w:p>
        </w:tc>
      </w:tr>
      <w:tr w:rsidR="006F2E18" w:rsidRPr="00365884" w14:paraId="67B9E9AC"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E3CF0" w14:textId="6352176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4B706" w14:textId="5F58F960"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Fluminense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5A56" w14:textId="7363B6B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C8A6E" w14:textId="5366227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7B19" w14:textId="1045E74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21.1</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A3F75" w14:textId="64C789A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12906" w14:textId="55F7CDB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F8386" w14:textId="1E9BB25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59C4D" w14:textId="561634D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33.9</w:t>
            </w:r>
          </w:p>
        </w:tc>
      </w:tr>
      <w:tr w:rsidR="006F2E18" w:rsidRPr="00365884" w14:paraId="382AC4E9"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46520F" w14:textId="2CF5BF2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C6FCD7" w14:textId="6AB3D51F"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Estatal de Londrina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2DE9374" w14:textId="1003F3C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FCBB0B1" w14:textId="02AD151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465157" w14:textId="450F7C8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21.9</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AB44AE" w14:textId="7E29516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13.4</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76AB64" w14:textId="122612F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99EF8C" w14:textId="59B2B9D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19.4</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87ADFD" w14:textId="38904FB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33.3</w:t>
            </w:r>
          </w:p>
        </w:tc>
      </w:tr>
      <w:tr w:rsidR="006F2E18" w:rsidRPr="00365884" w14:paraId="4BABDF9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0FE1A" w14:textId="134ED47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11504" w14:textId="52395017"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del Norte, Colombia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03808" w14:textId="7BC2560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2753A" w14:textId="696C067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8289C" w14:textId="703FEF1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AA9EF" w14:textId="5FC467F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617AE" w14:textId="0CD4B56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75097" w14:textId="574058B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B9DA8" w14:textId="5A97F03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35.1</w:t>
            </w:r>
          </w:p>
        </w:tc>
      </w:tr>
      <w:tr w:rsidR="006F2E18" w:rsidRPr="00365884" w14:paraId="39E8D55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AE82F9" w14:textId="11E8683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E34461" w14:textId="1BF30330"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del Estado de Río de Janeiro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C3005F" w14:textId="54CE0FE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F2331F" w14:textId="00458F2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A01AC9" w14:textId="07918A6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F30416D" w14:textId="75779D4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11.4</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4AB31C" w14:textId="08DACCA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15.6</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1C62212" w14:textId="4CE957F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15F1C4" w14:textId="2EE074E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38.9</w:t>
            </w:r>
          </w:p>
        </w:tc>
      </w:tr>
      <w:tr w:rsidR="006F2E18" w:rsidRPr="00365884" w14:paraId="694DFE2C"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CCB49" w14:textId="73F1710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F8C36" w14:textId="108ABCDE"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Estatal de Santa Catarina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29B2E" w14:textId="357C4C8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809F5" w14:textId="7C9042C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42BD9C" w14:textId="455FFDC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0AAFB" w14:textId="0E96A70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C1BD8" w14:textId="4491E60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23.7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4E63B" w14:textId="2C32360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11C78" w14:textId="1D5010E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34.1</w:t>
            </w:r>
          </w:p>
        </w:tc>
      </w:tr>
      <w:tr w:rsidR="006F2E18" w:rsidRPr="00365884" w14:paraId="0A14CF2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1CC695" w14:textId="23A422C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FB31D9" w14:textId="6AD768CF"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Santiago de Chile</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B42514" w14:textId="64DCCDB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FF4289" w14:textId="05CC39A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A86C8A" w14:textId="06CC652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58E41D" w14:textId="6A52615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15.3</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3421A6" w14:textId="756C1E7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FBB38D" w14:textId="4FD9A45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47.7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B23DE52" w14:textId="6B830AE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35.9</w:t>
            </w:r>
          </w:p>
        </w:tc>
      </w:tr>
      <w:tr w:rsidR="006F2E18" w:rsidRPr="00365884" w14:paraId="2663CE4F"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CAD97" w14:textId="1D46239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C5532" w14:textId="26CF885C"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Estatal de Ponta Grossa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D22BF" w14:textId="02AEEF9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AF372" w14:textId="0C2B2AB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A3235" w14:textId="6F1339D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20.7</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4F445" w14:textId="4F9E481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BCCD0" w14:textId="064022A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24.6</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D27EB" w14:textId="657F008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152D7" w14:textId="5444A91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1C8DEFF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EE7C1F" w14:textId="6917B3F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1C9FC8" w14:textId="4D5FF80D"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Tarapacá</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2A926C" w14:textId="75BBE51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40201D" w14:textId="4450591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1CBB13" w14:textId="5976373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13.8</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4186C5" w14:textId="273243B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15.9</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DBF641" w14:textId="4E5C25B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13.8</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82E86A" w14:textId="402072D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52.4</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1B0B52" w14:textId="37E372C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35.3</w:t>
            </w:r>
          </w:p>
        </w:tc>
      </w:tr>
      <w:tr w:rsidR="006F2E18" w:rsidRPr="00365884" w14:paraId="241B99E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3C2397" w14:textId="2BB65A9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401–500</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DFC31" w14:textId="0DBE0BBB"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Valparaíso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0E7AD" w14:textId="4ED4B33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4A5B2" w14:textId="50ED0EB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18.3–21.1</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5934D" w14:textId="315B51D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16.5</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0D18E" w14:textId="17603FA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413AB" w14:textId="62770EF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37438" w14:textId="0C85C1A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49.2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9E4DCE" w14:textId="02638FD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33.5</w:t>
            </w:r>
          </w:p>
        </w:tc>
      </w:tr>
      <w:tr w:rsidR="006F2E18" w:rsidRPr="00365884" w14:paraId="0312749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ECD484" w14:textId="4092195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5A1A75F" w14:textId="3FE26669"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de Baja California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9E8BB4" w14:textId="6B7FB22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6247F7" w14:textId="1CE213C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6FA4D3" w14:textId="281D872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13.7</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13012D" w14:textId="0FD665B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7.7</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52102F8" w14:textId="2F08FE1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9.1</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7BEC64" w14:textId="07078AD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32.3</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287B64" w14:textId="4765806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33.8</w:t>
            </w:r>
          </w:p>
        </w:tc>
      </w:tr>
      <w:tr w:rsidR="006F2E18" w:rsidRPr="00365884" w14:paraId="74CB907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050DF" w14:textId="1BFC527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B70CD" w14:textId="39F3EDDA"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del Estado de Hidalgo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347B5" w14:textId="5DF8A97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2BF80" w14:textId="278B5D2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955AF" w14:textId="2881903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14.6</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8FFA8" w14:textId="0D8648C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484C7" w14:textId="73A3AA8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10.6</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6C1B4" w14:textId="68D0DC0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1D029" w14:textId="2F959ED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35.2</w:t>
            </w:r>
          </w:p>
        </w:tc>
      </w:tr>
      <w:tr w:rsidR="006F2E18" w:rsidRPr="00365884" w14:paraId="3E372EE3"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71B0FF" w14:textId="19FB244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49FEE0B" w14:textId="52AA810B"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de Nuevo León</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7BF9CE" w14:textId="72255C0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D2B3D8F" w14:textId="1E47B0D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E57C1A" w14:textId="3F57E22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D6D388" w14:textId="298CA96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7DB2F7" w14:textId="144C5C3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11.3</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478E2A" w14:textId="507B7F5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30.5</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25B255" w14:textId="2CD18ED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w:t>
            </w:r>
          </w:p>
        </w:tc>
      </w:tr>
      <w:tr w:rsidR="006F2E18" w:rsidRPr="00365884" w14:paraId="48D178F0"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E834B" w14:textId="7E60A9B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FC35D" w14:textId="5D5B976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Benemérita Universidad Autónoma de Puebla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6AEF0" w14:textId="1DCB9CF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1F319" w14:textId="2750733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07CB9D" w14:textId="5460B82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B3573" w14:textId="1D85B2B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DE80E1" w14:textId="2D251A2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02F434" w14:textId="0369FD1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F5F22" w14:textId="141E9BB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33.6</w:t>
            </w:r>
          </w:p>
        </w:tc>
      </w:tr>
      <w:tr w:rsidR="006F2E18" w:rsidRPr="00365884" w14:paraId="1FF33B6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7196402" w14:textId="754999B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1E6BE2" w14:textId="239A1B0E"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de Querétaro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1D77B1" w14:textId="6A0CB66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85C326" w14:textId="04BDC6B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9C80C4" w14:textId="7F7C15C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04B1B2" w14:textId="565CEE0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21F957" w14:textId="46236D8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16.8</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676C39" w14:textId="582D099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AFBD04" w14:textId="52D4C46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39</w:t>
            </w:r>
          </w:p>
        </w:tc>
      </w:tr>
      <w:tr w:rsidR="006F2E18" w:rsidRPr="00365884" w14:paraId="6D362758"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A2566" w14:textId="477ED31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B98B21" w14:textId="67752458"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de San Luis Potosí</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B38FE" w14:textId="1400420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5779" w14:textId="68F0C16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65F5A" w14:textId="7738909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18.9</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4C17C" w14:textId="500FDA9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AF8EF5" w14:textId="0B4144F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C2FD6" w14:textId="6200AD5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27.3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3EE9F" w14:textId="4F0615F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33.5</w:t>
            </w:r>
          </w:p>
        </w:tc>
      </w:tr>
      <w:tr w:rsidR="006F2E18" w:rsidRPr="00365884" w14:paraId="3580B837"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905626" w14:textId="3785127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45E153" w14:textId="07219355"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del Estado de México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E1E7BE" w14:textId="2E1DD74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8465E1" w14:textId="49D8AFD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4513F9" w14:textId="18DF686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1C09E2" w14:textId="4DB6382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8.6</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B3CF16" w14:textId="6295E59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6.7</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1C4A5F" w14:textId="2B96E55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24.7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5DEE03" w14:textId="56E93FF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37.8</w:t>
            </w:r>
          </w:p>
        </w:tc>
      </w:tr>
      <w:tr w:rsidR="006F2E18" w:rsidRPr="00365884" w14:paraId="07B510FC"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7E8A1" w14:textId="4D483FF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42960" w14:textId="67CA16DB"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Autónoma de Yucatán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42D40" w14:textId="4EDBB7A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8E73D" w14:textId="5E20A72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5BD3B8" w14:textId="25B9733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16.2</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61B67" w14:textId="5684C11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9.7</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60514" w14:textId="3DF17D1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D8EC2" w14:textId="745858A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A6EB0" w14:textId="7C4E108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42.5</w:t>
            </w:r>
          </w:p>
        </w:tc>
      </w:tr>
      <w:tr w:rsidR="006F2E18" w:rsidRPr="00365884" w14:paraId="204C4CD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594C1E" w14:textId="59DDE43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C9FA0F" w14:textId="3089CB1B"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del Bío-Bío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8ADF26" w14:textId="3141A79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19F9C82" w14:textId="3EC660E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43E9B0" w14:textId="5B8182F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13.7</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68E332" w14:textId="12895AC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10.8</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E0E256" w14:textId="3A6B539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6.1</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57C9BF" w14:textId="42737C0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46.6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5E36953" w14:textId="636A427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37.1</w:t>
            </w:r>
          </w:p>
        </w:tc>
      </w:tr>
      <w:tr w:rsidR="006F2E18" w:rsidRPr="00365884" w14:paraId="4EB16037"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C12EB" w14:textId="7E85410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E9A28" w14:textId="591C62F0"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Caxias del Sur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CCFA1A" w14:textId="310C706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37DCE" w14:textId="4541B3E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E10D1" w14:textId="049F888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14.1</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7F89E" w14:textId="7744595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9A54F" w14:textId="142412F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78E5C" w14:textId="46F8FFD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D1DEA" w14:textId="597B16E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33.9</w:t>
            </w:r>
          </w:p>
        </w:tc>
      </w:tr>
      <w:tr w:rsidR="006F2E18" w:rsidRPr="00365884" w14:paraId="240F8665" w14:textId="77777777" w:rsidTr="00A7502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7F44A4E" w14:textId="622B2A5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1D370BF" w14:textId="2D03ED79"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Estatal de Ceará</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7992422" w14:textId="0ABA18B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0BF08A" w14:textId="2052210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A179CD9" w14:textId="09CAFF5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6E90BF1" w14:textId="4BB34E2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8.9</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57C17F6" w14:textId="38C91C6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5.7</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4AFF210" w14:textId="16549D0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17.4</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E62467" w14:textId="4717D83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34.7</w:t>
            </w:r>
          </w:p>
        </w:tc>
      </w:tr>
      <w:tr w:rsidR="006F2E18" w:rsidRPr="00365884" w14:paraId="05347FA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397A7" w14:textId="78CDF62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D95AB" w14:textId="1068A636"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Alagoas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639D37" w14:textId="19BD251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92F429" w14:textId="08446AB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DB709" w14:textId="43BE273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3D512" w14:textId="70F3998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F6AC" w14:textId="4C550E5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0E3E1" w14:textId="7613A15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2D57A" w14:textId="6A20F42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33.3</w:t>
            </w:r>
          </w:p>
        </w:tc>
      </w:tr>
      <w:tr w:rsidR="006F2E18" w:rsidRPr="00365884" w14:paraId="5497AA5D"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A1173A5" w14:textId="0D44221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A8E5C35" w14:textId="09DD7C1E"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Goiás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7419DE" w14:textId="10EF4C9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B1157D5" w14:textId="475AE1F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363355D" w14:textId="049BFD7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20.8</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02DFFE" w14:textId="6F57FA0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10.1</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57D762" w14:textId="1D1EB32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14.9</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EEA8B7" w14:textId="3DCCDC2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3CB2D59" w14:textId="77279CD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38.6</w:t>
            </w:r>
          </w:p>
        </w:tc>
      </w:tr>
      <w:tr w:rsidR="006F2E18" w:rsidRPr="00365884" w14:paraId="5E361EC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6F9583" w14:textId="45B8AC9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C7B9BA" w14:textId="58C0DCAA"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Ciencias de la Salud de Porto Alegre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CE712" w14:textId="79DE431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9507F" w14:textId="5EC1BC2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1B908" w14:textId="495CE1F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18.1</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437C8" w14:textId="0B549AF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10.8</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CD644" w14:textId="47CABDD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4A3AD" w14:textId="47E1CA7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26.3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80DCD" w14:textId="3C20ACD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000CE935"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489A8D" w14:textId="4C929E4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55E0BA2" w14:textId="2FCDCC4D" w:rsidR="006F2E18" w:rsidRPr="00BA5366" w:rsidRDefault="006F2E18" w:rsidP="00365884">
            <w:pPr>
              <w:spacing w:after="0" w:line="240" w:lineRule="auto"/>
              <w:rPr>
                <w:rFonts w:ascii="Calibri" w:eastAsia="Times New Roman" w:hAnsi="Calibri" w:cs="Times New Roman"/>
                <w:color w:val="000000"/>
                <w:sz w:val="18"/>
                <w:szCs w:val="18"/>
                <w:lang w:val="pt-BR" w:eastAsia="es-MX"/>
              </w:rPr>
            </w:pPr>
            <w:proofErr w:type="spellStart"/>
            <w:r w:rsidRPr="00BA5366">
              <w:rPr>
                <w:rFonts w:ascii="Calibri" w:hAnsi="Calibri" w:cs="Calibri"/>
                <w:color w:val="000000"/>
                <w:sz w:val="18"/>
                <w:szCs w:val="18"/>
                <w:lang w:val="pt-BR"/>
              </w:rPr>
              <w:t>Universidad</w:t>
            </w:r>
            <w:proofErr w:type="spellEnd"/>
            <w:r w:rsidRPr="00BA5366">
              <w:rPr>
                <w:rFonts w:ascii="Calibri" w:hAnsi="Calibri" w:cs="Calibri"/>
                <w:color w:val="000000"/>
                <w:sz w:val="18"/>
                <w:szCs w:val="18"/>
                <w:lang w:val="pt-BR"/>
              </w:rPr>
              <w:t xml:space="preserve"> Federal de Juiz de Fora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3F11BB8" w14:textId="052371A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C141D4" w14:textId="3BCBD8A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8072FA3" w14:textId="164449D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16.2</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BB874F" w14:textId="54D2045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7.6</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42CEB9" w14:textId="17FD56C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25.5</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014DB2" w14:textId="6CF6A33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20.2</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0E923D" w14:textId="4CE1A65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35.4</w:t>
            </w:r>
          </w:p>
        </w:tc>
      </w:tr>
      <w:tr w:rsidR="006F2E18" w:rsidRPr="00365884" w14:paraId="3870D8D2"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B4ED4" w14:textId="07B82F0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EBD3CF" w14:textId="3FEFFE7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Mato Grosso del Sur</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9ADEB" w14:textId="7501476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1F29A" w14:textId="4D1C70F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C4DCCE" w14:textId="5727737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57A308" w14:textId="1F84DEF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6155D" w14:textId="4769871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E781D" w14:textId="366F3D8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2B685" w14:textId="6498B0F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35.6</w:t>
            </w:r>
          </w:p>
        </w:tc>
      </w:tr>
      <w:tr w:rsidR="006F2E18" w:rsidRPr="00365884" w14:paraId="73DC090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C3AB539" w14:textId="50CA122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34729BE" w14:textId="73265560"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Ouro Preto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C193649" w14:textId="20A6387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448DAD" w14:textId="23D0F8F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FBE2C4" w14:textId="22ECA78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17.5</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8374687" w14:textId="6BE3A08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9.8</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999445" w14:textId="169388D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20.1</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D9CBC6" w14:textId="34F5290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6B20F4" w14:textId="3C33964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37.4</w:t>
            </w:r>
          </w:p>
        </w:tc>
      </w:tr>
      <w:tr w:rsidR="006F2E18" w:rsidRPr="00365884" w14:paraId="156BA2F8"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5444D0" w14:textId="22183BF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E0BA9A" w14:textId="16C15258"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Pará</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37406" w14:textId="1180A4C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6C7FF" w14:textId="0F3D4F1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55DB" w14:textId="3E0FEA1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18.9</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192B2" w14:textId="0393574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11.4</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56BDC" w14:textId="46892FF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13.7</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37D5C7" w14:textId="1801EE6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24.1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0FAA0" w14:textId="1D23867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35.3</w:t>
            </w:r>
          </w:p>
        </w:tc>
      </w:tr>
      <w:tr w:rsidR="006F2E18" w:rsidRPr="00365884" w14:paraId="53423A1A"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D57CB93" w14:textId="76EA3AA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29AB2F" w14:textId="12D9E893"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Paraíba</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98E951" w14:textId="4CBC0E4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3B8797" w14:textId="657C2FC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CD8A69" w14:textId="6840CBE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43E731" w14:textId="18DBB0D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7.4</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408FED2" w14:textId="3F1B0F7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10.3</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82484BA" w14:textId="0C2D951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20.4</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C047D27" w14:textId="4BBD37B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34.1</w:t>
            </w:r>
          </w:p>
        </w:tc>
      </w:tr>
      <w:tr w:rsidR="006F2E18" w:rsidRPr="00365884" w14:paraId="089CE751"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BD7E1" w14:textId="350E852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5A3CF" w14:textId="0917DD34"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Piauí</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A2A92" w14:textId="738DBCC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FEBF3" w14:textId="1F90E50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B72A3" w14:textId="14B0292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F9BB3F" w14:textId="452843B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9.3</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1262C" w14:textId="34BAAF4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7227FF" w14:textId="78E4056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53C74" w14:textId="5EB0E20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34.3</w:t>
            </w:r>
          </w:p>
        </w:tc>
      </w:tr>
      <w:tr w:rsidR="006F2E18" w:rsidRPr="00365884" w14:paraId="18A4378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62B23F" w14:textId="42DB8EF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35CC79F" w14:textId="7C078512"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Rural del Semiárido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962E318" w14:textId="4788F55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AF02BD" w14:textId="6C397A9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208B92C" w14:textId="742137E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21.8</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3B47C6B" w14:textId="396B016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E15C786" w14:textId="592257F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2.2</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494486F" w14:textId="159650E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14.5</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AB7B41" w14:textId="42A9F55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333FDFE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39B8C" w14:textId="0D362BD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331B7" w14:textId="723D1FD6"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Federal de Santa María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B6E3AB" w14:textId="2DFB462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8D4B7" w14:textId="1BC0533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152FCC" w14:textId="3C452C2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21.4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76B3D" w14:textId="44BC102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A03F7" w14:textId="7DC4EAF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6D780" w14:textId="0677833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19.3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608E5" w14:textId="31F19B5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34.2</w:t>
            </w:r>
          </w:p>
        </w:tc>
      </w:tr>
      <w:tr w:rsidR="006F2E18" w:rsidRPr="00365884" w14:paraId="31ACCD55"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47E83C8" w14:textId="1CE1219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924CB8" w14:textId="03D24E30"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Tecnológica Federal de Paraná</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B963079" w14:textId="360E40F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BCE4EB9" w14:textId="5BDFCA3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AEF4F5" w14:textId="335D11B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6F84E77" w14:textId="147E929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9.4</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EE727FD" w14:textId="56CAB2A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9.9</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F5D904" w14:textId="3933830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20.2</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9372EE" w14:textId="0837B59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36.8</w:t>
            </w:r>
          </w:p>
        </w:tc>
      </w:tr>
      <w:tr w:rsidR="006F2E18" w:rsidRPr="00365884" w14:paraId="0E8774EC"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E0A8C" w14:textId="5C3EEF5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78070" w14:textId="7571F736"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Guadalajara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731E3" w14:textId="3025BB7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11AC35" w14:textId="3294BC6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81F74" w14:textId="0F0BEFB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15.7</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B99CE" w14:textId="57F9145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8.1</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846A2" w14:textId="098DBF3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A83AD" w14:textId="1DEDA5F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28.6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A60FD" w14:textId="4105517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33.3</w:t>
            </w:r>
          </w:p>
        </w:tc>
      </w:tr>
      <w:tr w:rsidR="006F2E18" w:rsidRPr="00365884" w14:paraId="4E791F34"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D9D3F3F" w14:textId="041346C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49058F6" w14:textId="728F267E"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Guanajuato</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0B19FA0" w14:textId="78C4A6A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94570D4" w14:textId="2B3B6B9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806353B" w14:textId="219BDFA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16.1</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134F0EC" w14:textId="73E06C1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8.3</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70B7B6E" w14:textId="039FF82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11.3</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E8B01CE" w14:textId="2AFF36B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34.8</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5D10351" w14:textId="1BE23EA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35.7</w:t>
            </w:r>
          </w:p>
        </w:tc>
      </w:tr>
      <w:tr w:rsidR="006F2E18" w:rsidRPr="00365884" w14:paraId="7A34C97E"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EF37F" w14:textId="518A6D6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00E4D" w14:textId="4693CF00"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Michoacana de San Nicolás de Hidalgo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17E88" w14:textId="2F7910E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00A16" w14:textId="52899EC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DFD04C" w14:textId="049DB2C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15.3</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6D970" w14:textId="30E05EC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9.9</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071C1" w14:textId="2A9FB92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9.6</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8F1AD" w14:textId="4C8ED8F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29.4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C375E" w14:textId="1F27819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34.3</w:t>
            </w:r>
          </w:p>
        </w:tc>
      </w:tr>
      <w:tr w:rsidR="006F2E18" w:rsidRPr="00365884" w14:paraId="3E552F88"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22D764" w14:textId="49A30DE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1ADF178" w14:textId="0F58B8BA"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Instituto Politécnico Nacional</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9154FC6" w14:textId="59B3635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1A24E33" w14:textId="51F66A5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A9ECA40" w14:textId="755ADA8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17.4</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C1DD47" w14:textId="397F6DF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8.7</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52D970" w14:textId="68A9E09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14.9</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56C8610" w14:textId="5818D39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24.6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5FEEB4" w14:textId="4B7B566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w:t>
            </w:r>
          </w:p>
        </w:tc>
      </w:tr>
      <w:tr w:rsidR="006F2E18" w:rsidRPr="00365884" w14:paraId="0AF5B457" w14:textId="77777777" w:rsidTr="00A7502F">
        <w:trPr>
          <w:gridAfter w:val="1"/>
          <w:wAfter w:w="6" w:type="dxa"/>
          <w:trHeight w:val="84"/>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D3A76" w14:textId="55AE668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8BAB3" w14:textId="1E9F992B"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Pontificia Bolivariana (Medellín)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F4C34" w14:textId="6BC3B77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B454D" w14:textId="4E62874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E6FB7" w14:textId="34ECA56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16.9</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0AA08" w14:textId="75924ED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9.2</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7B3C5" w14:textId="08E8441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7.9</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8759F" w14:textId="5188C4B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37.5</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4FB33" w14:textId="06EEF68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33.7</w:t>
            </w:r>
          </w:p>
        </w:tc>
      </w:tr>
      <w:tr w:rsidR="006F2E18" w:rsidRPr="00365884" w14:paraId="785C1D88" w14:textId="77777777" w:rsidTr="00A7502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F1414CC" w14:textId="187430F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06E8983" w14:textId="3C868B95"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Pontificia Universidad Católica de Minas Gerais</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9E314A" w14:textId="10A59A8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ED5E7C1" w14:textId="3C26579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28CB53" w14:textId="25FAB27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B0D24DE" w14:textId="1D9E4A91"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8.3</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24C19EA" w14:textId="5C9F586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C8AE181" w14:textId="680EEB9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20.7</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F9CDE1" w14:textId="1F71C67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33.7</w:t>
            </w:r>
          </w:p>
        </w:tc>
      </w:tr>
      <w:tr w:rsidR="006F2E18" w:rsidRPr="00365884" w14:paraId="1B79E022" w14:textId="77777777" w:rsidTr="00A7502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5E0B9" w14:textId="6AD7BAA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AC57E" w14:textId="7120FA20"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La Sabana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733AB" w14:textId="19288CE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Colombia</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5CB46" w14:textId="43B1FCFD"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41BB4" w14:textId="1E4360E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15.9</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7A453" w14:textId="19E98CC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9.6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7FF7C" w14:textId="2FCBA39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11149" w14:textId="324F88C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40.7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1042C" w14:textId="303F51F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33.8</w:t>
            </w:r>
          </w:p>
        </w:tc>
      </w:tr>
      <w:tr w:rsidR="006F2E18" w:rsidRPr="00365884" w14:paraId="626E552C" w14:textId="77777777" w:rsidTr="00A7502F">
        <w:trPr>
          <w:gridAfter w:val="1"/>
          <w:wAfter w:w="6" w:type="dxa"/>
          <w:trHeight w:val="81"/>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8A4340C" w14:textId="0837A355"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E6D7ECF" w14:textId="5981B55D"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San Sebastián</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9A6ABDC" w14:textId="6017A78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Chile</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A1BD689" w14:textId="06837BE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90227C6" w14:textId="7D342E4B"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17.8</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2BCC73F" w14:textId="55E0DEF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7.6</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34A083" w14:textId="2ED797E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7.5</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0FEBF9F" w14:textId="1FEB6CC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44.4</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809FE51" w14:textId="25B8214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135CF517" w14:textId="77777777" w:rsidTr="00A7502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65A77" w14:textId="23E1494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96D21" w14:textId="14C41FC1"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de Sonora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C8C64" w14:textId="4302DA1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México</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2A67A" w14:textId="5F76BB2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8179" w14:textId="68F632C9"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14.8</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38A8D7" w14:textId="480739A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7.5</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B22E8E" w14:textId="583AFC4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8.2</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B0A706" w14:textId="69ED165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455D0" w14:textId="4780078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6B5FDEAB" w14:textId="77777777" w:rsidTr="00A7502F">
        <w:trPr>
          <w:gridAfter w:val="1"/>
          <w:wAfter w:w="6" w:type="dxa"/>
          <w:trHeight w:val="230"/>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03335D0" w14:textId="15AE087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7A4712F" w14:textId="50883E3C"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Estatal de Maringá</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A970564" w14:textId="15C85EB0"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EB6CE22" w14:textId="42E5461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0EAB1F" w14:textId="70BE335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20.3</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BC783A7" w14:textId="4BC3CA9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11.2</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0126AC5" w14:textId="31411D1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11.3</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D96DDE3" w14:textId="2A05C15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18.3</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FCB0A88" w14:textId="39D6F31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33.7</w:t>
            </w:r>
          </w:p>
        </w:tc>
      </w:tr>
      <w:tr w:rsidR="006F2E18" w:rsidRPr="00365884" w14:paraId="5E1A5688" w14:textId="77777777" w:rsidTr="00A7502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EE291A" w14:textId="06393E1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501+</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BA256" w14:textId="5D106FD8"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Estatal de Santa Cruz</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7F998D" w14:textId="5A9F89B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2AE08" w14:textId="3573CA16"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B53C0" w14:textId="361C913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24.4</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D8EDDA" w14:textId="00FB17E4"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8.6</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99CD6" w14:textId="3BD0287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11</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29304" w14:textId="3BAC741C"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25.2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EA8B0" w14:textId="61EF1B2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33.4</w:t>
            </w:r>
          </w:p>
        </w:tc>
      </w:tr>
      <w:tr w:rsidR="006F2E18" w:rsidRPr="00365884" w14:paraId="22305088" w14:textId="77777777" w:rsidTr="00A7502F">
        <w:trPr>
          <w:gridAfter w:val="1"/>
          <w:wAfter w:w="6" w:type="dxa"/>
          <w:trHeight w:val="56"/>
          <w:jc w:val="center"/>
        </w:trPr>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3767D25" w14:textId="2CF298B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lastRenderedPageBreak/>
              <w:t>501+</w:t>
            </w:r>
          </w:p>
        </w:tc>
        <w:tc>
          <w:tcPr>
            <w:tcW w:w="396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3ABB0D5" w14:textId="71D9789F" w:rsidR="006F2E18" w:rsidRPr="00365884" w:rsidRDefault="006F2E18" w:rsidP="00365884">
            <w:pPr>
              <w:spacing w:after="0" w:line="240" w:lineRule="auto"/>
              <w:rPr>
                <w:rFonts w:ascii="Calibri" w:eastAsia="Times New Roman" w:hAnsi="Calibri" w:cs="Times New Roman"/>
                <w:color w:val="000000"/>
                <w:sz w:val="18"/>
                <w:szCs w:val="18"/>
                <w:lang w:eastAsia="es-MX"/>
              </w:rPr>
            </w:pPr>
            <w:r w:rsidRPr="00365884">
              <w:rPr>
                <w:rFonts w:ascii="Calibri" w:hAnsi="Calibri" w:cs="Calibri"/>
                <w:color w:val="000000"/>
                <w:sz w:val="18"/>
                <w:szCs w:val="18"/>
              </w:rPr>
              <w:t>Universidad Estatal del Oeste de Paraná</w:t>
            </w:r>
          </w:p>
        </w:tc>
        <w:tc>
          <w:tcPr>
            <w:tcW w:w="8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CABC4A7" w14:textId="3EF56B4A"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Brasil</w:t>
            </w:r>
          </w:p>
        </w:tc>
        <w:tc>
          <w:tcPr>
            <w:tcW w:w="9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A41C5F" w14:textId="6821D5B7"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13.6–18.2</w:t>
            </w:r>
          </w:p>
        </w:tc>
        <w:tc>
          <w:tcPr>
            <w:tcW w:w="849"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56E16351" w14:textId="7510B388"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18.6</w:t>
            </w:r>
          </w:p>
        </w:tc>
        <w:tc>
          <w:tcPr>
            <w:tcW w:w="113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FAC0F8A" w14:textId="1CC45162"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13.1</w:t>
            </w:r>
          </w:p>
        </w:tc>
        <w:tc>
          <w:tcPr>
            <w:tcW w:w="7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DCF74D" w14:textId="3272E283"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4.3</w:t>
            </w:r>
          </w:p>
        </w:tc>
        <w:tc>
          <w:tcPr>
            <w:tcW w:w="11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6081A78" w14:textId="7C68811F"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15.8</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FEC2ABB" w14:textId="502E71AE" w:rsidR="006F2E18" w:rsidRPr="00365884" w:rsidRDefault="006F2E18" w:rsidP="00365884">
            <w:pPr>
              <w:spacing w:after="0" w:line="240" w:lineRule="auto"/>
              <w:jc w:val="center"/>
              <w:rPr>
                <w:rFonts w:ascii="Calibri" w:eastAsia="Times New Roman" w:hAnsi="Calibri" w:cs="Times New Roman"/>
                <w:color w:val="000000"/>
                <w:sz w:val="18"/>
                <w:szCs w:val="18"/>
                <w:lang w:eastAsia="es-MX"/>
              </w:rPr>
            </w:pPr>
            <w:r w:rsidRPr="00365884">
              <w:rPr>
                <w:rFonts w:ascii="Calibri" w:hAnsi="Calibri" w:cs="Calibri"/>
                <w:color w:val="000000"/>
                <w:sz w:val="18"/>
                <w:szCs w:val="18"/>
              </w:rPr>
              <w:t>36.4</w:t>
            </w:r>
          </w:p>
        </w:tc>
      </w:tr>
    </w:tbl>
    <w:p w14:paraId="6D8FCC3C" w14:textId="641740CB" w:rsidR="00DF0A33" w:rsidRPr="00365884" w:rsidRDefault="00DF0A33" w:rsidP="00365884">
      <w:pPr>
        <w:pStyle w:val="Prrafodelista"/>
        <w:spacing w:after="0" w:line="240" w:lineRule="auto"/>
        <w:jc w:val="both"/>
        <w:rPr>
          <w:b/>
          <w:sz w:val="24"/>
        </w:rPr>
      </w:pPr>
    </w:p>
    <w:p w14:paraId="7A862036" w14:textId="5867C950" w:rsidR="0008504E" w:rsidRPr="00365884" w:rsidRDefault="007E5AB4" w:rsidP="00365884">
      <w:pPr>
        <w:pStyle w:val="Prrafodelista"/>
        <w:numPr>
          <w:ilvl w:val="0"/>
          <w:numId w:val="1"/>
        </w:numPr>
        <w:spacing w:after="0" w:line="240" w:lineRule="auto"/>
        <w:jc w:val="both"/>
        <w:rPr>
          <w:sz w:val="24"/>
        </w:rPr>
      </w:pPr>
      <w:r w:rsidRPr="00365884">
        <w:rPr>
          <w:sz w:val="24"/>
        </w:rPr>
        <w:t xml:space="preserve">Las universidades de América Latina posicionadas en el TOP 10, fueron las siguientes: </w:t>
      </w:r>
      <w:r w:rsidR="0008504E" w:rsidRPr="00365884">
        <w:rPr>
          <w:sz w:val="24"/>
        </w:rPr>
        <w:t>la Universidad de São Paulo (1º América Latina, 13º BRICS), la Universidad de Campinas (2º América Latina, 48º BRICS), la Pontificia Universidad Católica de Chile (3º América Latina, 53º BRICS), la Pontificia Universidad Católica de Río de Janeiro (4º América Latina, 84º BRICS), la Universidad del Desarrollo (5º América Latina, 90º BRICS), la Universidad Diego Portales (5º América Latina, 90º BRICS), la Pontificia Universidad Javeriana (6º América Latina, 94º BRICS), la Universidad Peruana Cayetano Heredia (7º América Latina, 122º BRICS), la Universidad Nacional Autónoma de México (8º América Latina, 129º BRICS), el Instituto Tecnológico y de Estudios Superiores de Monterrey (9º América Latina, 131º BRICS), la Universidad Federal de Minas Gerais (10º América Latina, 136º BRICS), y la Universidad Federal de Río Grande del Sur (10º América Latina, 136º BRICS)</w:t>
      </w:r>
      <w:r w:rsidR="00F85064" w:rsidRPr="00365884">
        <w:rPr>
          <w:sz w:val="24"/>
        </w:rPr>
        <w:t>.</w:t>
      </w:r>
    </w:p>
    <w:p w14:paraId="20A2EFAF" w14:textId="77777777" w:rsidR="00695250" w:rsidRPr="00365884" w:rsidRDefault="00695250" w:rsidP="00365884">
      <w:pPr>
        <w:pStyle w:val="Prrafodelista"/>
        <w:spacing w:after="0" w:line="240" w:lineRule="auto"/>
        <w:jc w:val="both"/>
        <w:rPr>
          <w:sz w:val="24"/>
        </w:rPr>
      </w:pPr>
    </w:p>
    <w:p w14:paraId="4BEF47B7" w14:textId="5093189B" w:rsidR="007E5AB4" w:rsidRPr="00365884" w:rsidRDefault="007E5AB4" w:rsidP="00365884">
      <w:pPr>
        <w:pStyle w:val="Prrafodelista"/>
        <w:numPr>
          <w:ilvl w:val="0"/>
          <w:numId w:val="1"/>
        </w:numPr>
        <w:spacing w:after="0" w:line="240" w:lineRule="auto"/>
        <w:rPr>
          <w:sz w:val="24"/>
        </w:rPr>
      </w:pPr>
      <w:r w:rsidRPr="00365884">
        <w:rPr>
          <w:sz w:val="24"/>
        </w:rPr>
        <w:t>El comportamiento de las universidades clasificadas en el TOP 10 del ranking, fue el siguiente:</w:t>
      </w:r>
    </w:p>
    <w:p w14:paraId="11CF9F43" w14:textId="4649B860" w:rsidR="00B04057" w:rsidRPr="00365884" w:rsidRDefault="007E5AB4" w:rsidP="00365884">
      <w:pPr>
        <w:pStyle w:val="Prrafodelista"/>
        <w:numPr>
          <w:ilvl w:val="1"/>
          <w:numId w:val="12"/>
        </w:numPr>
        <w:spacing w:after="0" w:line="240" w:lineRule="auto"/>
        <w:jc w:val="both"/>
        <w:rPr>
          <w:sz w:val="24"/>
        </w:rPr>
      </w:pPr>
      <w:r w:rsidRPr="00365884">
        <w:rPr>
          <w:b/>
          <w:sz w:val="24"/>
        </w:rPr>
        <w:t>Docencia</w:t>
      </w:r>
      <w:r w:rsidRPr="00365884">
        <w:rPr>
          <w:sz w:val="24"/>
        </w:rPr>
        <w:t xml:space="preserve">: </w:t>
      </w:r>
      <w:r w:rsidR="00B04057" w:rsidRPr="00365884">
        <w:rPr>
          <w:sz w:val="24"/>
        </w:rPr>
        <w:t>La Universidad de São Paulo fue clasificada con un puntaje de 56.6, seguida de la Universidad de Campinas con 45.3, y la Universidad Nacional Autónoma de México con 31.2 puntos.</w:t>
      </w:r>
    </w:p>
    <w:p w14:paraId="3B040B92" w14:textId="1296C58B" w:rsidR="007E5AB4" w:rsidRPr="00365884" w:rsidRDefault="007E5AB4" w:rsidP="00365884">
      <w:pPr>
        <w:pStyle w:val="Prrafodelista"/>
        <w:numPr>
          <w:ilvl w:val="1"/>
          <w:numId w:val="12"/>
        </w:numPr>
        <w:spacing w:after="0" w:line="240" w:lineRule="auto"/>
        <w:jc w:val="both"/>
        <w:rPr>
          <w:sz w:val="24"/>
        </w:rPr>
      </w:pPr>
      <w:r w:rsidRPr="00365884">
        <w:rPr>
          <w:b/>
          <w:sz w:val="24"/>
        </w:rPr>
        <w:t>Investigación</w:t>
      </w:r>
      <w:r w:rsidRPr="00365884">
        <w:rPr>
          <w:sz w:val="24"/>
        </w:rPr>
        <w:t xml:space="preserve">: </w:t>
      </w:r>
      <w:r w:rsidR="00B04057" w:rsidRPr="00365884">
        <w:rPr>
          <w:sz w:val="24"/>
        </w:rPr>
        <w:t xml:space="preserve">La Universidad de São Paulo obtuvo </w:t>
      </w:r>
      <w:r w:rsidR="003D1B18" w:rsidRPr="00365884">
        <w:rPr>
          <w:sz w:val="24"/>
        </w:rPr>
        <w:t xml:space="preserve">un puntaje de </w:t>
      </w:r>
      <w:r w:rsidR="00B04057" w:rsidRPr="00365884">
        <w:rPr>
          <w:sz w:val="24"/>
        </w:rPr>
        <w:t xml:space="preserve">58.9, la Universidad de Campinas </w:t>
      </w:r>
      <w:r w:rsidR="003D1B18" w:rsidRPr="00365884">
        <w:rPr>
          <w:sz w:val="24"/>
        </w:rPr>
        <w:t xml:space="preserve">de </w:t>
      </w:r>
      <w:r w:rsidR="00B04057" w:rsidRPr="00365884">
        <w:rPr>
          <w:sz w:val="24"/>
        </w:rPr>
        <w:t>43.9, y la Pontificia Universidad Católica de Chile</w:t>
      </w:r>
      <w:r w:rsidR="003D1B18" w:rsidRPr="00365884">
        <w:rPr>
          <w:sz w:val="24"/>
        </w:rPr>
        <w:t xml:space="preserve"> de </w:t>
      </w:r>
      <w:r w:rsidR="00B04057" w:rsidRPr="00365884">
        <w:rPr>
          <w:sz w:val="24"/>
        </w:rPr>
        <w:t>30.5</w:t>
      </w:r>
      <w:r w:rsidR="003D1B18" w:rsidRPr="00365884">
        <w:rPr>
          <w:sz w:val="24"/>
        </w:rPr>
        <w:t>.</w:t>
      </w:r>
    </w:p>
    <w:p w14:paraId="2E9FD123" w14:textId="670F75FD" w:rsidR="00B04057" w:rsidRPr="00365884" w:rsidRDefault="007E5AB4" w:rsidP="00365884">
      <w:pPr>
        <w:pStyle w:val="Prrafodelista"/>
        <w:numPr>
          <w:ilvl w:val="1"/>
          <w:numId w:val="12"/>
        </w:numPr>
        <w:spacing w:after="0" w:line="240" w:lineRule="auto"/>
        <w:jc w:val="both"/>
        <w:rPr>
          <w:sz w:val="24"/>
        </w:rPr>
      </w:pPr>
      <w:r w:rsidRPr="00365884">
        <w:rPr>
          <w:b/>
          <w:sz w:val="24"/>
        </w:rPr>
        <w:t>Citas</w:t>
      </w:r>
      <w:r w:rsidRPr="00365884">
        <w:rPr>
          <w:sz w:val="24"/>
        </w:rPr>
        <w:t>:</w:t>
      </w:r>
      <w:r w:rsidR="003D1B18" w:rsidRPr="00365884">
        <w:rPr>
          <w:sz w:val="24"/>
        </w:rPr>
        <w:t xml:space="preserve"> La </w:t>
      </w:r>
      <w:r w:rsidR="00B04057" w:rsidRPr="00365884">
        <w:rPr>
          <w:sz w:val="24"/>
        </w:rPr>
        <w:t>Universidad del Desarrollo</w:t>
      </w:r>
      <w:r w:rsidR="00695250" w:rsidRPr="00365884">
        <w:rPr>
          <w:sz w:val="24"/>
        </w:rPr>
        <w:t xml:space="preserve"> recibió un puntaje de </w:t>
      </w:r>
      <w:r w:rsidR="00B04057" w:rsidRPr="00365884">
        <w:rPr>
          <w:sz w:val="24"/>
        </w:rPr>
        <w:t>99.5</w:t>
      </w:r>
      <w:r w:rsidR="00695250" w:rsidRPr="00365884">
        <w:rPr>
          <w:sz w:val="24"/>
        </w:rPr>
        <w:t xml:space="preserve"> sobre 100 posibles, mientras que la </w:t>
      </w:r>
      <w:r w:rsidR="00B04057" w:rsidRPr="00365884">
        <w:rPr>
          <w:sz w:val="24"/>
        </w:rPr>
        <w:t>Pontificia Universidad Javeriana</w:t>
      </w:r>
      <w:r w:rsidR="00695250" w:rsidRPr="00365884">
        <w:rPr>
          <w:sz w:val="24"/>
        </w:rPr>
        <w:t xml:space="preserve"> recibió </w:t>
      </w:r>
      <w:r w:rsidR="00B04057" w:rsidRPr="00365884">
        <w:rPr>
          <w:sz w:val="24"/>
        </w:rPr>
        <w:t>99.3</w:t>
      </w:r>
      <w:r w:rsidR="00695250" w:rsidRPr="00365884">
        <w:rPr>
          <w:sz w:val="24"/>
        </w:rPr>
        <w:t xml:space="preserve"> puntos, y la </w:t>
      </w:r>
      <w:r w:rsidR="00B04057" w:rsidRPr="00365884">
        <w:rPr>
          <w:sz w:val="24"/>
        </w:rPr>
        <w:t>Universidad Diego Portale</w:t>
      </w:r>
      <w:r w:rsidR="00695250" w:rsidRPr="00365884">
        <w:rPr>
          <w:sz w:val="24"/>
        </w:rPr>
        <w:t xml:space="preserve">s obtuvo </w:t>
      </w:r>
      <w:r w:rsidR="00B04057" w:rsidRPr="00365884">
        <w:rPr>
          <w:sz w:val="24"/>
        </w:rPr>
        <w:t>96.4</w:t>
      </w:r>
      <w:r w:rsidR="00695250" w:rsidRPr="00365884">
        <w:rPr>
          <w:sz w:val="24"/>
        </w:rPr>
        <w:t xml:space="preserve"> puntos.</w:t>
      </w:r>
    </w:p>
    <w:p w14:paraId="686AC422" w14:textId="046C11FC" w:rsidR="00B04057" w:rsidRPr="00365884" w:rsidRDefault="007E5AB4" w:rsidP="00365884">
      <w:pPr>
        <w:pStyle w:val="Prrafodelista"/>
        <w:numPr>
          <w:ilvl w:val="1"/>
          <w:numId w:val="12"/>
        </w:numPr>
        <w:spacing w:after="0" w:line="240" w:lineRule="auto"/>
        <w:jc w:val="both"/>
        <w:rPr>
          <w:sz w:val="24"/>
        </w:rPr>
      </w:pPr>
      <w:r w:rsidRPr="00365884">
        <w:rPr>
          <w:b/>
          <w:sz w:val="24"/>
        </w:rPr>
        <w:t>Perspectiva internacional</w:t>
      </w:r>
      <w:r w:rsidRPr="00365884">
        <w:rPr>
          <w:sz w:val="24"/>
        </w:rPr>
        <w:t>:</w:t>
      </w:r>
      <w:r w:rsidR="00695250" w:rsidRPr="00365884">
        <w:rPr>
          <w:sz w:val="24"/>
        </w:rPr>
        <w:t xml:space="preserve"> La </w:t>
      </w:r>
      <w:r w:rsidR="00B04057" w:rsidRPr="00365884">
        <w:rPr>
          <w:sz w:val="24"/>
        </w:rPr>
        <w:t>Pontificia Universidad Católica de Chil</w:t>
      </w:r>
      <w:r w:rsidR="00695250" w:rsidRPr="00365884">
        <w:rPr>
          <w:sz w:val="24"/>
        </w:rPr>
        <w:t xml:space="preserve">e fue clasificada con </w:t>
      </w:r>
      <w:r w:rsidR="00D1340A">
        <w:rPr>
          <w:sz w:val="24"/>
        </w:rPr>
        <w:t>5</w:t>
      </w:r>
      <w:r w:rsidR="00B04057" w:rsidRPr="00365884">
        <w:rPr>
          <w:sz w:val="24"/>
        </w:rPr>
        <w:t>8.1</w:t>
      </w:r>
      <w:r w:rsidR="00695250" w:rsidRPr="00365884">
        <w:rPr>
          <w:sz w:val="24"/>
        </w:rPr>
        <w:t xml:space="preserve"> puntos, el </w:t>
      </w:r>
      <w:r w:rsidR="00B04057" w:rsidRPr="00365884">
        <w:rPr>
          <w:sz w:val="24"/>
        </w:rPr>
        <w:t>Instituto Tecnológico y de Estudios Superiores de Monterrey</w:t>
      </w:r>
      <w:r w:rsidR="00695250" w:rsidRPr="00365884">
        <w:rPr>
          <w:sz w:val="24"/>
        </w:rPr>
        <w:t xml:space="preserve"> con </w:t>
      </w:r>
      <w:r w:rsidR="00B04057" w:rsidRPr="00365884">
        <w:rPr>
          <w:sz w:val="24"/>
        </w:rPr>
        <w:t>57.5</w:t>
      </w:r>
      <w:r w:rsidR="00695250" w:rsidRPr="00365884">
        <w:rPr>
          <w:sz w:val="24"/>
        </w:rPr>
        <w:t xml:space="preserve">, y la </w:t>
      </w:r>
      <w:r w:rsidR="00B04057" w:rsidRPr="00365884">
        <w:rPr>
          <w:sz w:val="24"/>
        </w:rPr>
        <w:t>Universidad Diego Portales</w:t>
      </w:r>
      <w:r w:rsidR="00695250" w:rsidRPr="00365884">
        <w:rPr>
          <w:sz w:val="24"/>
        </w:rPr>
        <w:t xml:space="preserve"> con </w:t>
      </w:r>
      <w:r w:rsidR="00B04057" w:rsidRPr="00365884">
        <w:rPr>
          <w:sz w:val="24"/>
        </w:rPr>
        <w:t>51.3</w:t>
      </w:r>
      <w:r w:rsidR="00695250" w:rsidRPr="00365884">
        <w:rPr>
          <w:sz w:val="24"/>
        </w:rPr>
        <w:t>.</w:t>
      </w:r>
    </w:p>
    <w:p w14:paraId="25F8ACDF" w14:textId="68F2BC41" w:rsidR="00B04057" w:rsidRPr="00365884" w:rsidRDefault="007E5AB4" w:rsidP="00365884">
      <w:pPr>
        <w:pStyle w:val="Prrafodelista"/>
        <w:numPr>
          <w:ilvl w:val="1"/>
          <w:numId w:val="12"/>
        </w:numPr>
        <w:spacing w:after="0" w:line="240" w:lineRule="auto"/>
        <w:jc w:val="both"/>
        <w:rPr>
          <w:sz w:val="24"/>
        </w:rPr>
      </w:pPr>
      <w:r w:rsidRPr="00365884">
        <w:rPr>
          <w:b/>
          <w:sz w:val="24"/>
        </w:rPr>
        <w:t>Financiamiento de la industria</w:t>
      </w:r>
      <w:r w:rsidRPr="00365884">
        <w:rPr>
          <w:sz w:val="24"/>
        </w:rPr>
        <w:t xml:space="preserve">: </w:t>
      </w:r>
      <w:r w:rsidR="00695250" w:rsidRPr="00365884">
        <w:rPr>
          <w:sz w:val="24"/>
        </w:rPr>
        <w:t xml:space="preserve">La </w:t>
      </w:r>
      <w:r w:rsidR="00B04057" w:rsidRPr="00365884">
        <w:rPr>
          <w:sz w:val="24"/>
        </w:rPr>
        <w:t>Pontificia Universidad Católica de Río de Janeiro</w:t>
      </w:r>
      <w:r w:rsidR="00695250" w:rsidRPr="00365884">
        <w:rPr>
          <w:sz w:val="24"/>
        </w:rPr>
        <w:t xml:space="preserve"> obtuvo un puntaje de </w:t>
      </w:r>
      <w:r w:rsidR="00B04057" w:rsidRPr="00365884">
        <w:rPr>
          <w:sz w:val="24"/>
        </w:rPr>
        <w:t>99.8</w:t>
      </w:r>
      <w:r w:rsidR="00695250" w:rsidRPr="00365884">
        <w:rPr>
          <w:sz w:val="24"/>
        </w:rPr>
        <w:t xml:space="preserve"> puntos, la </w:t>
      </w:r>
      <w:r w:rsidR="00B04057" w:rsidRPr="00365884">
        <w:rPr>
          <w:sz w:val="24"/>
        </w:rPr>
        <w:t>Pontificia Universidad Católica de Chile</w:t>
      </w:r>
      <w:r w:rsidR="00695250" w:rsidRPr="00365884">
        <w:rPr>
          <w:sz w:val="24"/>
        </w:rPr>
        <w:t xml:space="preserve"> de </w:t>
      </w:r>
      <w:r w:rsidR="00B04057" w:rsidRPr="00365884">
        <w:rPr>
          <w:sz w:val="24"/>
        </w:rPr>
        <w:t>77</w:t>
      </w:r>
      <w:r w:rsidR="00695250" w:rsidRPr="00365884">
        <w:rPr>
          <w:sz w:val="24"/>
        </w:rPr>
        <w:t xml:space="preserve">, y el </w:t>
      </w:r>
      <w:r w:rsidR="00B04057" w:rsidRPr="00365884">
        <w:rPr>
          <w:sz w:val="24"/>
        </w:rPr>
        <w:t>Instituto Tecnológico y de Estudios Superiores de Monterrey</w:t>
      </w:r>
      <w:r w:rsidR="00695250" w:rsidRPr="00365884">
        <w:rPr>
          <w:sz w:val="24"/>
        </w:rPr>
        <w:t xml:space="preserve"> de </w:t>
      </w:r>
      <w:r w:rsidR="00B04057" w:rsidRPr="00365884">
        <w:rPr>
          <w:sz w:val="24"/>
        </w:rPr>
        <w:t>66</w:t>
      </w:r>
      <w:r w:rsidR="00695250" w:rsidRPr="00365884">
        <w:rPr>
          <w:sz w:val="24"/>
        </w:rPr>
        <w:t>.</w:t>
      </w:r>
    </w:p>
    <w:p w14:paraId="2937B000" w14:textId="77777777" w:rsidR="00695250" w:rsidRPr="00365884" w:rsidRDefault="00695250" w:rsidP="00365884">
      <w:pPr>
        <w:pStyle w:val="Prrafodelista"/>
        <w:spacing w:after="0" w:line="240" w:lineRule="auto"/>
        <w:jc w:val="both"/>
        <w:rPr>
          <w:sz w:val="24"/>
        </w:rPr>
      </w:pPr>
    </w:p>
    <w:p w14:paraId="0FE5EF60" w14:textId="6CD0BEE8" w:rsidR="005D5076" w:rsidRPr="00365884" w:rsidRDefault="00DF0A33" w:rsidP="00365884">
      <w:pPr>
        <w:pStyle w:val="Prrafodelista"/>
        <w:numPr>
          <w:ilvl w:val="0"/>
          <w:numId w:val="1"/>
        </w:numPr>
        <w:spacing w:after="0" w:line="240" w:lineRule="auto"/>
        <w:jc w:val="both"/>
        <w:rPr>
          <w:sz w:val="24"/>
        </w:rPr>
      </w:pPr>
      <w:r w:rsidRPr="00365884">
        <w:rPr>
          <w:sz w:val="24"/>
        </w:rPr>
        <w:t xml:space="preserve">El ranking THE BRICS y Economías Emergentes clasificó un total de </w:t>
      </w:r>
      <w:r w:rsidR="005D5076" w:rsidRPr="00365884">
        <w:rPr>
          <w:sz w:val="24"/>
        </w:rPr>
        <w:t xml:space="preserve">16 </w:t>
      </w:r>
      <w:r w:rsidRPr="00365884">
        <w:rPr>
          <w:sz w:val="24"/>
        </w:rPr>
        <w:t>universidades mexicanas</w:t>
      </w:r>
      <w:r w:rsidR="00BA5366">
        <w:rPr>
          <w:sz w:val="24"/>
        </w:rPr>
        <w:t>,</w:t>
      </w:r>
      <w:r w:rsidRPr="00365884">
        <w:rPr>
          <w:sz w:val="24"/>
        </w:rPr>
        <w:t xml:space="preserve"> de las cuales únicamente 3 universidades se ubicaron </w:t>
      </w:r>
      <w:r w:rsidR="005D5076" w:rsidRPr="00365884">
        <w:rPr>
          <w:sz w:val="24"/>
        </w:rPr>
        <w:t>en el TOP 200</w:t>
      </w:r>
      <w:r w:rsidRPr="00365884">
        <w:rPr>
          <w:sz w:val="24"/>
        </w:rPr>
        <w:t xml:space="preserve">: </w:t>
      </w:r>
      <w:r w:rsidR="005D5076" w:rsidRPr="00365884">
        <w:rPr>
          <w:sz w:val="24"/>
        </w:rPr>
        <w:t xml:space="preserve">la Universidad Nacional Autónoma de México (129º), el </w:t>
      </w:r>
      <w:r w:rsidRPr="00365884">
        <w:rPr>
          <w:sz w:val="24"/>
        </w:rPr>
        <w:t>Instituto Tecnológico y de Estudios Superiores de Monterrey (</w:t>
      </w:r>
      <w:r w:rsidR="005D5076" w:rsidRPr="00365884">
        <w:rPr>
          <w:sz w:val="24"/>
        </w:rPr>
        <w:t>131º</w:t>
      </w:r>
      <w:r w:rsidRPr="00365884">
        <w:rPr>
          <w:sz w:val="24"/>
        </w:rPr>
        <w:t>),</w:t>
      </w:r>
      <w:r w:rsidR="005D5076" w:rsidRPr="00365884">
        <w:rPr>
          <w:sz w:val="24"/>
        </w:rPr>
        <w:t xml:space="preserve"> y la </w:t>
      </w:r>
      <w:r w:rsidRPr="00365884">
        <w:rPr>
          <w:sz w:val="24"/>
        </w:rPr>
        <w:t>Universidad Autónoma Metropolitana (</w:t>
      </w:r>
      <w:r w:rsidR="005D5076" w:rsidRPr="00365884">
        <w:rPr>
          <w:sz w:val="24"/>
        </w:rPr>
        <w:t>169º</w:t>
      </w:r>
      <w:r w:rsidRPr="00365884">
        <w:rPr>
          <w:sz w:val="24"/>
        </w:rPr>
        <w:t>).</w:t>
      </w:r>
    </w:p>
    <w:p w14:paraId="0A55CF29" w14:textId="77777777" w:rsidR="005D5076" w:rsidRPr="00365884" w:rsidRDefault="005D5076" w:rsidP="00365884">
      <w:pPr>
        <w:pStyle w:val="Prrafodelista"/>
        <w:spacing w:after="0" w:line="240" w:lineRule="auto"/>
        <w:jc w:val="both"/>
        <w:rPr>
          <w:sz w:val="24"/>
        </w:rPr>
      </w:pPr>
    </w:p>
    <w:p w14:paraId="37DFE1CE" w14:textId="5D2AB1EB" w:rsidR="00DF0A33" w:rsidRPr="00365884" w:rsidRDefault="005D5076" w:rsidP="00365884">
      <w:pPr>
        <w:pStyle w:val="Prrafodelista"/>
        <w:spacing w:after="0" w:line="240" w:lineRule="auto"/>
        <w:jc w:val="both"/>
        <w:rPr>
          <w:sz w:val="24"/>
        </w:rPr>
      </w:pPr>
      <w:r w:rsidRPr="00365884">
        <w:rPr>
          <w:rFonts w:cs="Arial"/>
          <w:sz w:val="24"/>
          <w:szCs w:val="24"/>
        </w:rPr>
        <w:lastRenderedPageBreak/>
        <w:t>De</w:t>
      </w:r>
      <w:r w:rsidR="00DF0A33" w:rsidRPr="00365884">
        <w:rPr>
          <w:rFonts w:cs="Arial"/>
          <w:sz w:val="24"/>
          <w:szCs w:val="24"/>
        </w:rPr>
        <w:t xml:space="preserve">l total de universidades mexicanas se </w:t>
      </w:r>
      <w:r w:rsidR="00DF0A33" w:rsidRPr="00365884">
        <w:rPr>
          <w:sz w:val="24"/>
        </w:rPr>
        <w:t xml:space="preserve">resalta la presencia de </w:t>
      </w:r>
      <w:r w:rsidRPr="00365884">
        <w:rPr>
          <w:rFonts w:cs="Arial"/>
          <w:sz w:val="24"/>
          <w:szCs w:val="24"/>
        </w:rPr>
        <w:t xml:space="preserve">15 </w:t>
      </w:r>
      <w:r w:rsidR="00DF0A33" w:rsidRPr="00365884">
        <w:rPr>
          <w:rFonts w:cs="Arial"/>
          <w:sz w:val="24"/>
          <w:szCs w:val="24"/>
        </w:rPr>
        <w:t>(</w:t>
      </w:r>
      <w:r w:rsidRPr="00365884">
        <w:rPr>
          <w:rFonts w:cs="Arial"/>
          <w:sz w:val="24"/>
          <w:szCs w:val="24"/>
        </w:rPr>
        <w:t>94</w:t>
      </w:r>
      <w:r w:rsidR="00DF0A33" w:rsidRPr="00365884">
        <w:rPr>
          <w:rFonts w:cs="Arial"/>
          <w:sz w:val="24"/>
          <w:szCs w:val="24"/>
        </w:rPr>
        <w:t>%) universidades públicas y 1 (</w:t>
      </w:r>
      <w:r w:rsidRPr="00365884">
        <w:rPr>
          <w:rFonts w:cs="Arial"/>
          <w:sz w:val="24"/>
          <w:szCs w:val="24"/>
        </w:rPr>
        <w:t>6</w:t>
      </w:r>
      <w:r w:rsidR="00DF0A33" w:rsidRPr="00365884">
        <w:rPr>
          <w:rFonts w:cs="Arial"/>
          <w:sz w:val="24"/>
          <w:szCs w:val="24"/>
        </w:rPr>
        <w:t>%) universidad privada.</w:t>
      </w:r>
    </w:p>
    <w:p w14:paraId="45761E61" w14:textId="77777777" w:rsidR="005D5076" w:rsidRPr="00365884" w:rsidRDefault="005D5076" w:rsidP="00365884">
      <w:pPr>
        <w:pStyle w:val="Prrafodelista"/>
        <w:spacing w:after="0" w:line="240" w:lineRule="auto"/>
        <w:jc w:val="both"/>
        <w:rPr>
          <w:sz w:val="24"/>
        </w:rPr>
      </w:pPr>
    </w:p>
    <w:tbl>
      <w:tblPr>
        <w:tblW w:w="9701" w:type="dxa"/>
        <w:jc w:val="center"/>
        <w:tblLayout w:type="fixed"/>
        <w:tblCellMar>
          <w:left w:w="70" w:type="dxa"/>
          <w:right w:w="70" w:type="dxa"/>
        </w:tblCellMar>
        <w:tblLook w:val="04A0" w:firstRow="1" w:lastRow="0" w:firstColumn="1" w:lastColumn="0" w:noHBand="0" w:noVBand="1"/>
      </w:tblPr>
      <w:tblGrid>
        <w:gridCol w:w="1559"/>
        <w:gridCol w:w="1273"/>
        <w:gridCol w:w="1291"/>
        <w:gridCol w:w="4809"/>
        <w:gridCol w:w="769"/>
      </w:tblGrid>
      <w:tr w:rsidR="00DF0A33" w:rsidRPr="00365884" w14:paraId="7E5D849D" w14:textId="77777777" w:rsidTr="00365884">
        <w:trPr>
          <w:trHeight w:val="435"/>
          <w:tblHeader/>
          <w:jc w:val="center"/>
        </w:trPr>
        <w:tc>
          <w:tcPr>
            <w:tcW w:w="9701" w:type="dxa"/>
            <w:gridSpan w:val="5"/>
            <w:tcBorders>
              <w:bottom w:val="single" w:sz="4" w:space="0" w:color="auto"/>
            </w:tcBorders>
            <w:shd w:val="clear" w:color="auto" w:fill="auto"/>
            <w:vAlign w:val="center"/>
            <w:hideMark/>
          </w:tcPr>
          <w:p w14:paraId="4508D198" w14:textId="788052AF" w:rsidR="00DF0A33" w:rsidRPr="00365884" w:rsidRDefault="00DF0A33" w:rsidP="00365884">
            <w:pPr>
              <w:spacing w:after="0" w:line="240" w:lineRule="auto"/>
              <w:jc w:val="center"/>
              <w:rPr>
                <w:rFonts w:ascii="Calibri" w:eastAsia="Times New Roman" w:hAnsi="Calibri" w:cs="Calibri"/>
                <w:b/>
                <w:bCs/>
                <w:color w:val="000000"/>
                <w:sz w:val="20"/>
                <w:szCs w:val="20"/>
                <w:lang w:eastAsia="es-MX"/>
              </w:rPr>
            </w:pPr>
            <w:r w:rsidRPr="00365884">
              <w:rPr>
                <w:rFonts w:ascii="Calibri" w:eastAsia="Times New Roman" w:hAnsi="Calibri" w:cs="Calibri"/>
                <w:b/>
                <w:bCs/>
                <w:color w:val="000000"/>
                <w:sz w:val="20"/>
                <w:szCs w:val="18"/>
                <w:lang w:eastAsia="es-MX"/>
              </w:rPr>
              <w:t xml:space="preserve">Tabla </w:t>
            </w:r>
            <w:r w:rsidR="00305498" w:rsidRPr="00365884">
              <w:rPr>
                <w:rFonts w:ascii="Calibri" w:eastAsia="Times New Roman" w:hAnsi="Calibri" w:cs="Calibri"/>
                <w:b/>
                <w:bCs/>
                <w:color w:val="000000"/>
                <w:sz w:val="20"/>
                <w:szCs w:val="18"/>
                <w:lang w:eastAsia="es-MX"/>
              </w:rPr>
              <w:t>4</w:t>
            </w:r>
            <w:r w:rsidRPr="00365884">
              <w:rPr>
                <w:rFonts w:ascii="Calibri" w:eastAsia="Times New Roman" w:hAnsi="Calibri" w:cs="Calibri"/>
                <w:b/>
                <w:bCs/>
                <w:color w:val="000000"/>
                <w:sz w:val="20"/>
                <w:szCs w:val="18"/>
                <w:lang w:eastAsia="es-MX"/>
              </w:rPr>
              <w:t>. Posición de las</w:t>
            </w:r>
            <w:r w:rsidR="0073645B" w:rsidRPr="00365884">
              <w:rPr>
                <w:rFonts w:ascii="Calibri" w:eastAsia="Times New Roman" w:hAnsi="Calibri" w:cs="Calibri"/>
                <w:b/>
                <w:bCs/>
                <w:color w:val="000000"/>
                <w:sz w:val="20"/>
                <w:szCs w:val="18"/>
                <w:lang w:eastAsia="es-MX"/>
              </w:rPr>
              <w:t xml:space="preserve"> universidades mexicanas en el r</w:t>
            </w:r>
            <w:r w:rsidRPr="00365884">
              <w:rPr>
                <w:rFonts w:ascii="Calibri" w:eastAsia="Times New Roman" w:hAnsi="Calibri" w:cs="Calibri"/>
                <w:b/>
                <w:bCs/>
                <w:color w:val="000000"/>
                <w:sz w:val="20"/>
                <w:szCs w:val="18"/>
                <w:lang w:eastAsia="es-MX"/>
              </w:rPr>
              <w:t xml:space="preserve">anking THE mundial, latinoamericana y BRICS </w:t>
            </w:r>
            <w:r w:rsidR="0073645B" w:rsidRPr="00365884">
              <w:rPr>
                <w:rFonts w:ascii="Calibri" w:eastAsia="Times New Roman" w:hAnsi="Calibri" w:cs="Calibri"/>
                <w:b/>
                <w:bCs/>
                <w:color w:val="000000"/>
                <w:sz w:val="20"/>
                <w:szCs w:val="18"/>
                <w:lang w:eastAsia="es-MX"/>
              </w:rPr>
              <w:t>&amp;</w:t>
            </w:r>
            <w:r w:rsidRPr="00365884">
              <w:rPr>
                <w:rFonts w:ascii="Calibri" w:eastAsia="Times New Roman" w:hAnsi="Calibri" w:cs="Calibri"/>
                <w:b/>
                <w:bCs/>
                <w:color w:val="000000"/>
                <w:sz w:val="20"/>
                <w:szCs w:val="18"/>
                <w:lang w:eastAsia="es-MX"/>
              </w:rPr>
              <w:t xml:space="preserve"> Economías Emergentes, 20</w:t>
            </w:r>
            <w:r w:rsidR="005D5076" w:rsidRPr="00365884">
              <w:rPr>
                <w:rFonts w:ascii="Calibri" w:eastAsia="Times New Roman" w:hAnsi="Calibri" w:cs="Calibri"/>
                <w:b/>
                <w:bCs/>
                <w:color w:val="000000"/>
                <w:sz w:val="20"/>
                <w:szCs w:val="18"/>
                <w:lang w:eastAsia="es-MX"/>
              </w:rPr>
              <w:t>20</w:t>
            </w:r>
            <w:r w:rsidRPr="00365884">
              <w:rPr>
                <w:rFonts w:ascii="Calibri" w:eastAsia="Times New Roman" w:hAnsi="Calibri" w:cs="Calibri"/>
                <w:b/>
                <w:bCs/>
                <w:color w:val="000000"/>
                <w:sz w:val="20"/>
                <w:szCs w:val="18"/>
                <w:lang w:eastAsia="es-MX"/>
              </w:rPr>
              <w:t>-202</w:t>
            </w:r>
            <w:r w:rsidR="005D5076" w:rsidRPr="00365884">
              <w:rPr>
                <w:rFonts w:ascii="Calibri" w:eastAsia="Times New Roman" w:hAnsi="Calibri" w:cs="Calibri"/>
                <w:b/>
                <w:bCs/>
                <w:color w:val="000000"/>
                <w:sz w:val="20"/>
                <w:szCs w:val="18"/>
                <w:lang w:eastAsia="es-MX"/>
              </w:rPr>
              <w:t>1</w:t>
            </w:r>
            <w:r w:rsidRPr="00365884">
              <w:rPr>
                <w:rFonts w:ascii="Calibri" w:eastAsia="Times New Roman" w:hAnsi="Calibri" w:cs="Calibri"/>
                <w:b/>
                <w:bCs/>
                <w:color w:val="000000"/>
                <w:sz w:val="20"/>
                <w:szCs w:val="18"/>
                <w:lang w:eastAsia="es-MX"/>
              </w:rPr>
              <w:t>.</w:t>
            </w:r>
          </w:p>
        </w:tc>
      </w:tr>
      <w:tr w:rsidR="00A7502F" w:rsidRPr="00365884" w14:paraId="33F68440" w14:textId="77777777" w:rsidTr="00365884">
        <w:trPr>
          <w:trHeight w:val="428"/>
          <w:tblHeader/>
          <w:jc w:val="center"/>
        </w:trPr>
        <w:tc>
          <w:tcPr>
            <w:tcW w:w="15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B5776A" w14:textId="7A8B5E35" w:rsidR="00A7502F" w:rsidRPr="00365884" w:rsidRDefault="00A7502F" w:rsidP="00365884">
            <w:pPr>
              <w:tabs>
                <w:tab w:val="left" w:pos="690"/>
              </w:tabs>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 xml:space="preserve">Ranking </w:t>
            </w:r>
            <w:r w:rsidRPr="00365884">
              <w:rPr>
                <w:rFonts w:ascii="Calibri" w:eastAsia="Times New Roman" w:hAnsi="Calibri" w:cs="Calibri"/>
                <w:b/>
                <w:bCs/>
                <w:color w:val="000000"/>
                <w:sz w:val="18"/>
                <w:szCs w:val="18"/>
                <w:lang w:eastAsia="es-MX"/>
              </w:rPr>
              <w:br/>
              <w:t>BRICS y Economías Emergentes</w:t>
            </w:r>
          </w:p>
        </w:tc>
        <w:tc>
          <w:tcPr>
            <w:tcW w:w="1273" w:type="dxa"/>
            <w:tcBorders>
              <w:top w:val="single" w:sz="4" w:space="0" w:color="auto"/>
              <w:left w:val="nil"/>
              <w:bottom w:val="single" w:sz="4" w:space="0" w:color="auto"/>
              <w:right w:val="single" w:sz="4" w:space="0" w:color="auto"/>
            </w:tcBorders>
            <w:shd w:val="clear" w:color="000000" w:fill="BDD6EE"/>
            <w:vAlign w:val="center"/>
            <w:hideMark/>
          </w:tcPr>
          <w:p w14:paraId="20B30B6E" w14:textId="77777777" w:rsidR="00A7502F" w:rsidRPr="00365884" w:rsidRDefault="00A7502F"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 xml:space="preserve">Ranking </w:t>
            </w:r>
            <w:r w:rsidRPr="00365884">
              <w:rPr>
                <w:rFonts w:ascii="Calibri" w:eastAsia="Times New Roman" w:hAnsi="Calibri" w:cs="Calibri"/>
                <w:b/>
                <w:bCs/>
                <w:color w:val="000000"/>
                <w:sz w:val="18"/>
                <w:szCs w:val="18"/>
                <w:lang w:eastAsia="es-MX"/>
              </w:rPr>
              <w:br/>
              <w:t>Mundial</w:t>
            </w:r>
          </w:p>
        </w:tc>
        <w:tc>
          <w:tcPr>
            <w:tcW w:w="1291" w:type="dxa"/>
            <w:tcBorders>
              <w:top w:val="single" w:sz="4" w:space="0" w:color="auto"/>
              <w:left w:val="nil"/>
              <w:bottom w:val="single" w:sz="4" w:space="0" w:color="auto"/>
              <w:right w:val="single" w:sz="4" w:space="0" w:color="auto"/>
            </w:tcBorders>
            <w:shd w:val="clear" w:color="000000" w:fill="BDD6EE"/>
            <w:vAlign w:val="center"/>
            <w:hideMark/>
          </w:tcPr>
          <w:p w14:paraId="0FCA4059" w14:textId="77777777" w:rsidR="00A7502F" w:rsidRPr="00365884" w:rsidRDefault="00A7502F"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 xml:space="preserve">Ranking </w:t>
            </w:r>
            <w:r w:rsidRPr="00365884">
              <w:rPr>
                <w:rFonts w:ascii="Calibri" w:eastAsia="Times New Roman" w:hAnsi="Calibri" w:cs="Calibri"/>
                <w:b/>
                <w:bCs/>
                <w:color w:val="000000"/>
                <w:sz w:val="18"/>
                <w:szCs w:val="18"/>
                <w:lang w:eastAsia="es-MX"/>
              </w:rPr>
              <w:br/>
              <w:t>Latinoamérica</w:t>
            </w:r>
          </w:p>
        </w:tc>
        <w:tc>
          <w:tcPr>
            <w:tcW w:w="4809"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5D135173" w14:textId="77777777" w:rsidR="00A7502F" w:rsidRPr="00365884" w:rsidRDefault="00A7502F"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Universidad</w:t>
            </w:r>
          </w:p>
        </w:tc>
        <w:tc>
          <w:tcPr>
            <w:tcW w:w="767"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9288EAE" w14:textId="77777777" w:rsidR="00A7502F" w:rsidRPr="00365884" w:rsidRDefault="00A7502F"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Sector</w:t>
            </w:r>
          </w:p>
        </w:tc>
      </w:tr>
      <w:tr w:rsidR="005D5076" w:rsidRPr="00365884" w14:paraId="7FD2A5CE" w14:textId="77777777" w:rsidTr="00365884">
        <w:trPr>
          <w:trHeight w:val="222"/>
          <w:jc w:val="center"/>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14BF3D" w14:textId="1FA6E86A"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b/>
                <w:bCs/>
                <w:color w:val="000000"/>
                <w:sz w:val="18"/>
                <w:szCs w:val="18"/>
              </w:rPr>
              <w:t>129</w:t>
            </w:r>
          </w:p>
        </w:tc>
        <w:tc>
          <w:tcPr>
            <w:tcW w:w="1273" w:type="dxa"/>
            <w:tcBorders>
              <w:top w:val="single" w:sz="4" w:space="0" w:color="auto"/>
              <w:left w:val="nil"/>
              <w:bottom w:val="single" w:sz="4" w:space="0" w:color="auto"/>
              <w:right w:val="single" w:sz="4" w:space="0" w:color="auto"/>
            </w:tcBorders>
            <w:shd w:val="clear" w:color="auto" w:fill="auto"/>
            <w:noWrap/>
            <w:vAlign w:val="center"/>
          </w:tcPr>
          <w:p w14:paraId="42F9845E" w14:textId="612EF1C3"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b/>
                <w:bCs/>
                <w:sz w:val="18"/>
                <w:szCs w:val="18"/>
              </w:rPr>
              <w:t>848</w:t>
            </w:r>
          </w:p>
        </w:tc>
        <w:tc>
          <w:tcPr>
            <w:tcW w:w="1291" w:type="dxa"/>
            <w:tcBorders>
              <w:top w:val="single" w:sz="4" w:space="0" w:color="auto"/>
              <w:left w:val="nil"/>
              <w:bottom w:val="single" w:sz="4" w:space="0" w:color="auto"/>
              <w:right w:val="single" w:sz="4" w:space="0" w:color="auto"/>
            </w:tcBorders>
            <w:shd w:val="clear" w:color="000000" w:fill="FFFFFF"/>
            <w:noWrap/>
            <w:vAlign w:val="bottom"/>
          </w:tcPr>
          <w:p w14:paraId="7957D1B4" w14:textId="60FDBC13"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b/>
                <w:bCs/>
                <w:color w:val="000000"/>
                <w:sz w:val="18"/>
                <w:szCs w:val="18"/>
              </w:rPr>
              <w:t>17</w:t>
            </w:r>
          </w:p>
        </w:tc>
        <w:tc>
          <w:tcPr>
            <w:tcW w:w="4809" w:type="dxa"/>
            <w:tcBorders>
              <w:top w:val="nil"/>
              <w:left w:val="nil"/>
              <w:bottom w:val="single" w:sz="4" w:space="0" w:color="auto"/>
              <w:right w:val="single" w:sz="4" w:space="0" w:color="auto"/>
            </w:tcBorders>
            <w:shd w:val="clear" w:color="auto" w:fill="auto"/>
            <w:noWrap/>
            <w:vAlign w:val="center"/>
          </w:tcPr>
          <w:p w14:paraId="3914D223" w14:textId="012516DF"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b/>
                <w:bCs/>
                <w:color w:val="000000"/>
                <w:sz w:val="18"/>
                <w:szCs w:val="18"/>
              </w:rPr>
              <w:t>Universidad Nacional Autónoma de México</w:t>
            </w:r>
          </w:p>
        </w:tc>
        <w:tc>
          <w:tcPr>
            <w:tcW w:w="767" w:type="dxa"/>
            <w:tcBorders>
              <w:top w:val="nil"/>
              <w:left w:val="nil"/>
              <w:bottom w:val="single" w:sz="4" w:space="0" w:color="auto"/>
              <w:right w:val="single" w:sz="4" w:space="0" w:color="auto"/>
            </w:tcBorders>
            <w:shd w:val="clear" w:color="auto" w:fill="auto"/>
            <w:noWrap/>
            <w:vAlign w:val="center"/>
          </w:tcPr>
          <w:p w14:paraId="6ECE6A58" w14:textId="06EB270E"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b/>
                <w:bCs/>
                <w:color w:val="000000"/>
                <w:sz w:val="18"/>
                <w:szCs w:val="18"/>
              </w:rPr>
              <w:t>Público</w:t>
            </w:r>
          </w:p>
        </w:tc>
      </w:tr>
      <w:tr w:rsidR="005D5076" w:rsidRPr="00365884" w14:paraId="18A0862C"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auto" w:fill="E7E6E6" w:themeFill="background2"/>
            <w:noWrap/>
            <w:vAlign w:val="center"/>
          </w:tcPr>
          <w:p w14:paraId="4F2FC925" w14:textId="064606DA"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131</w:t>
            </w:r>
          </w:p>
        </w:tc>
        <w:tc>
          <w:tcPr>
            <w:tcW w:w="1273" w:type="dxa"/>
            <w:tcBorders>
              <w:top w:val="nil"/>
              <w:left w:val="nil"/>
              <w:bottom w:val="single" w:sz="4" w:space="0" w:color="auto"/>
              <w:right w:val="single" w:sz="4" w:space="0" w:color="auto"/>
            </w:tcBorders>
            <w:shd w:val="clear" w:color="000000" w:fill="E7E6E6"/>
            <w:noWrap/>
            <w:vAlign w:val="center"/>
          </w:tcPr>
          <w:p w14:paraId="77446D46" w14:textId="4781921A"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778</w:t>
            </w:r>
          </w:p>
        </w:tc>
        <w:tc>
          <w:tcPr>
            <w:tcW w:w="1291" w:type="dxa"/>
            <w:tcBorders>
              <w:top w:val="nil"/>
              <w:left w:val="nil"/>
              <w:bottom w:val="single" w:sz="4" w:space="0" w:color="auto"/>
              <w:right w:val="single" w:sz="4" w:space="0" w:color="auto"/>
            </w:tcBorders>
            <w:shd w:val="clear" w:color="000000" w:fill="E7E6E6"/>
            <w:noWrap/>
            <w:vAlign w:val="center"/>
          </w:tcPr>
          <w:p w14:paraId="172118A8" w14:textId="50CEDAC8"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w:t>
            </w:r>
          </w:p>
        </w:tc>
        <w:tc>
          <w:tcPr>
            <w:tcW w:w="4809" w:type="dxa"/>
            <w:tcBorders>
              <w:top w:val="nil"/>
              <w:left w:val="nil"/>
              <w:bottom w:val="single" w:sz="4" w:space="0" w:color="auto"/>
              <w:right w:val="single" w:sz="4" w:space="0" w:color="auto"/>
            </w:tcBorders>
            <w:shd w:val="clear" w:color="000000" w:fill="E7E6E6"/>
            <w:noWrap/>
            <w:vAlign w:val="center"/>
          </w:tcPr>
          <w:p w14:paraId="6BBBB32E" w14:textId="2AABF908"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Instituto Tecnológico y de Estudios Superiores de Monterrey</w:t>
            </w:r>
          </w:p>
        </w:tc>
        <w:tc>
          <w:tcPr>
            <w:tcW w:w="767" w:type="dxa"/>
            <w:tcBorders>
              <w:top w:val="nil"/>
              <w:left w:val="nil"/>
              <w:bottom w:val="single" w:sz="4" w:space="0" w:color="auto"/>
              <w:right w:val="single" w:sz="4" w:space="0" w:color="auto"/>
            </w:tcBorders>
            <w:shd w:val="clear" w:color="000000" w:fill="E7E6E6"/>
            <w:noWrap/>
            <w:vAlign w:val="center"/>
          </w:tcPr>
          <w:p w14:paraId="1AD5D6DC" w14:textId="227D8199"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Privado</w:t>
            </w:r>
          </w:p>
        </w:tc>
      </w:tr>
      <w:tr w:rsidR="005D5076" w:rsidRPr="00365884" w14:paraId="123E6E85"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61480E10" w14:textId="43E18E51"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169</w:t>
            </w:r>
          </w:p>
        </w:tc>
        <w:tc>
          <w:tcPr>
            <w:tcW w:w="1273" w:type="dxa"/>
            <w:tcBorders>
              <w:top w:val="nil"/>
              <w:left w:val="nil"/>
              <w:bottom w:val="single" w:sz="4" w:space="0" w:color="auto"/>
              <w:right w:val="single" w:sz="4" w:space="0" w:color="auto"/>
            </w:tcBorders>
            <w:shd w:val="clear" w:color="auto" w:fill="auto"/>
            <w:noWrap/>
            <w:vAlign w:val="center"/>
          </w:tcPr>
          <w:p w14:paraId="245071FA" w14:textId="3F1D9B0F"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656</w:t>
            </w:r>
          </w:p>
        </w:tc>
        <w:tc>
          <w:tcPr>
            <w:tcW w:w="1291" w:type="dxa"/>
            <w:tcBorders>
              <w:top w:val="nil"/>
              <w:left w:val="nil"/>
              <w:bottom w:val="single" w:sz="4" w:space="0" w:color="auto"/>
              <w:right w:val="single" w:sz="4" w:space="0" w:color="auto"/>
            </w:tcBorders>
            <w:shd w:val="clear" w:color="000000" w:fill="FFFFFF"/>
            <w:noWrap/>
            <w:vAlign w:val="bottom"/>
          </w:tcPr>
          <w:p w14:paraId="3D314875" w14:textId="6DD25BEC"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21</w:t>
            </w:r>
          </w:p>
        </w:tc>
        <w:tc>
          <w:tcPr>
            <w:tcW w:w="4809" w:type="dxa"/>
            <w:tcBorders>
              <w:top w:val="nil"/>
              <w:left w:val="nil"/>
              <w:bottom w:val="single" w:sz="4" w:space="0" w:color="auto"/>
              <w:right w:val="single" w:sz="4" w:space="0" w:color="auto"/>
            </w:tcBorders>
            <w:shd w:val="clear" w:color="auto" w:fill="auto"/>
            <w:noWrap/>
            <w:vAlign w:val="center"/>
          </w:tcPr>
          <w:p w14:paraId="26B572AB" w14:textId="3A1D65E5"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Autónoma Metropolitana</w:t>
            </w:r>
          </w:p>
        </w:tc>
        <w:tc>
          <w:tcPr>
            <w:tcW w:w="767" w:type="dxa"/>
            <w:tcBorders>
              <w:top w:val="nil"/>
              <w:left w:val="nil"/>
              <w:bottom w:val="single" w:sz="4" w:space="0" w:color="auto"/>
              <w:right w:val="single" w:sz="4" w:space="0" w:color="auto"/>
            </w:tcBorders>
            <w:shd w:val="clear" w:color="auto" w:fill="auto"/>
            <w:noWrap/>
            <w:vAlign w:val="center"/>
          </w:tcPr>
          <w:p w14:paraId="19FCCC83" w14:textId="14DAD118"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55ACC8A9"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000000" w:fill="E7E6E6"/>
            <w:noWrap/>
            <w:vAlign w:val="center"/>
          </w:tcPr>
          <w:p w14:paraId="0022AF40" w14:textId="29944376"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000000" w:fill="E7E6E6"/>
            <w:noWrap/>
            <w:vAlign w:val="center"/>
          </w:tcPr>
          <w:p w14:paraId="4DA9CFF0" w14:textId="37ECD31E"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1417</w:t>
            </w:r>
          </w:p>
        </w:tc>
        <w:tc>
          <w:tcPr>
            <w:tcW w:w="1291" w:type="dxa"/>
            <w:tcBorders>
              <w:top w:val="nil"/>
              <w:left w:val="nil"/>
              <w:bottom w:val="single" w:sz="4" w:space="0" w:color="auto"/>
              <w:right w:val="single" w:sz="4" w:space="0" w:color="auto"/>
            </w:tcBorders>
            <w:shd w:val="clear" w:color="000000" w:fill="E7E6E6"/>
            <w:noWrap/>
            <w:vAlign w:val="center"/>
          </w:tcPr>
          <w:p w14:paraId="069B120B" w14:textId="136C0A28"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94</w:t>
            </w:r>
          </w:p>
        </w:tc>
        <w:tc>
          <w:tcPr>
            <w:tcW w:w="4809" w:type="dxa"/>
            <w:tcBorders>
              <w:top w:val="nil"/>
              <w:left w:val="nil"/>
              <w:bottom w:val="single" w:sz="4" w:space="0" w:color="auto"/>
              <w:right w:val="single" w:sz="4" w:space="0" w:color="auto"/>
            </w:tcBorders>
            <w:shd w:val="clear" w:color="000000" w:fill="E7E6E6"/>
            <w:noWrap/>
            <w:vAlign w:val="center"/>
          </w:tcPr>
          <w:p w14:paraId="060FE86C" w14:textId="32CE555B"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Autónoma de Yucatán</w:t>
            </w:r>
          </w:p>
        </w:tc>
        <w:tc>
          <w:tcPr>
            <w:tcW w:w="767" w:type="dxa"/>
            <w:tcBorders>
              <w:top w:val="nil"/>
              <w:left w:val="nil"/>
              <w:bottom w:val="single" w:sz="4" w:space="0" w:color="auto"/>
              <w:right w:val="single" w:sz="4" w:space="0" w:color="auto"/>
            </w:tcBorders>
            <w:shd w:val="clear" w:color="000000" w:fill="E7E6E6"/>
            <w:noWrap/>
            <w:vAlign w:val="center"/>
          </w:tcPr>
          <w:p w14:paraId="2B542218" w14:textId="30AD6012"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29FB2A2E"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609AE258" w14:textId="064B6E7B"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auto" w:fill="auto"/>
            <w:noWrap/>
            <w:vAlign w:val="center"/>
          </w:tcPr>
          <w:p w14:paraId="30EA39D7" w14:textId="16DA134B"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1429</w:t>
            </w:r>
          </w:p>
        </w:tc>
        <w:tc>
          <w:tcPr>
            <w:tcW w:w="1291" w:type="dxa"/>
            <w:tcBorders>
              <w:top w:val="nil"/>
              <w:left w:val="nil"/>
              <w:bottom w:val="single" w:sz="4" w:space="0" w:color="auto"/>
              <w:right w:val="single" w:sz="4" w:space="0" w:color="auto"/>
            </w:tcBorders>
            <w:shd w:val="clear" w:color="000000" w:fill="FFFFFF"/>
            <w:noWrap/>
            <w:vAlign w:val="bottom"/>
          </w:tcPr>
          <w:p w14:paraId="24B9A7DA" w14:textId="4722D6F9"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58</w:t>
            </w:r>
          </w:p>
        </w:tc>
        <w:tc>
          <w:tcPr>
            <w:tcW w:w="4809" w:type="dxa"/>
            <w:tcBorders>
              <w:top w:val="nil"/>
              <w:left w:val="nil"/>
              <w:bottom w:val="single" w:sz="4" w:space="0" w:color="auto"/>
              <w:right w:val="single" w:sz="4" w:space="0" w:color="auto"/>
            </w:tcBorders>
            <w:shd w:val="clear" w:color="auto" w:fill="auto"/>
            <w:noWrap/>
            <w:vAlign w:val="center"/>
          </w:tcPr>
          <w:p w14:paraId="01691943" w14:textId="1E9DE72D"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Instituto Politécnico Nacional</w:t>
            </w:r>
          </w:p>
        </w:tc>
        <w:tc>
          <w:tcPr>
            <w:tcW w:w="767" w:type="dxa"/>
            <w:tcBorders>
              <w:top w:val="nil"/>
              <w:left w:val="nil"/>
              <w:bottom w:val="single" w:sz="4" w:space="0" w:color="auto"/>
              <w:right w:val="single" w:sz="4" w:space="0" w:color="auto"/>
            </w:tcBorders>
            <w:shd w:val="clear" w:color="auto" w:fill="auto"/>
            <w:noWrap/>
            <w:vAlign w:val="center"/>
          </w:tcPr>
          <w:p w14:paraId="37FAC242" w14:textId="2ABA5F39"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32A7AC3B"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000000" w:fill="E7E6E6"/>
            <w:noWrap/>
            <w:vAlign w:val="center"/>
          </w:tcPr>
          <w:p w14:paraId="238E019A" w14:textId="4AE3D82F"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000000" w:fill="E7E6E6"/>
            <w:noWrap/>
            <w:vAlign w:val="center"/>
          </w:tcPr>
          <w:p w14:paraId="19E03116" w14:textId="21E9720C"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1384</w:t>
            </w:r>
          </w:p>
        </w:tc>
        <w:tc>
          <w:tcPr>
            <w:tcW w:w="1291" w:type="dxa"/>
            <w:tcBorders>
              <w:top w:val="nil"/>
              <w:left w:val="nil"/>
              <w:bottom w:val="single" w:sz="4" w:space="0" w:color="auto"/>
              <w:right w:val="single" w:sz="4" w:space="0" w:color="auto"/>
            </w:tcBorders>
            <w:shd w:val="clear" w:color="000000" w:fill="E7E6E6"/>
            <w:noWrap/>
            <w:vAlign w:val="center"/>
          </w:tcPr>
          <w:p w14:paraId="48C7DF0D" w14:textId="13C8EA36"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100</w:t>
            </w:r>
          </w:p>
        </w:tc>
        <w:tc>
          <w:tcPr>
            <w:tcW w:w="4809" w:type="dxa"/>
            <w:tcBorders>
              <w:top w:val="nil"/>
              <w:left w:val="nil"/>
              <w:bottom w:val="single" w:sz="4" w:space="0" w:color="auto"/>
              <w:right w:val="single" w:sz="4" w:space="0" w:color="auto"/>
            </w:tcBorders>
            <w:shd w:val="clear" w:color="000000" w:fill="E7E6E6"/>
            <w:noWrap/>
            <w:vAlign w:val="center"/>
          </w:tcPr>
          <w:p w14:paraId="36C4C932" w14:textId="1DCDE7C5"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Autónoma de Querétaro</w:t>
            </w:r>
          </w:p>
        </w:tc>
        <w:tc>
          <w:tcPr>
            <w:tcW w:w="767" w:type="dxa"/>
            <w:tcBorders>
              <w:top w:val="nil"/>
              <w:left w:val="nil"/>
              <w:bottom w:val="single" w:sz="4" w:space="0" w:color="auto"/>
              <w:right w:val="single" w:sz="4" w:space="0" w:color="auto"/>
            </w:tcBorders>
            <w:shd w:val="clear" w:color="000000" w:fill="E7E6E6"/>
            <w:noWrap/>
            <w:vAlign w:val="center"/>
          </w:tcPr>
          <w:p w14:paraId="366743FA" w14:textId="7F413559"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712A812B"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6587282D" w14:textId="03A88DCC"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auto" w:fill="auto"/>
            <w:noWrap/>
            <w:vAlign w:val="center"/>
          </w:tcPr>
          <w:p w14:paraId="0D1D30E6" w14:textId="74548553"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1516</w:t>
            </w:r>
          </w:p>
        </w:tc>
        <w:tc>
          <w:tcPr>
            <w:tcW w:w="1291" w:type="dxa"/>
            <w:tcBorders>
              <w:top w:val="nil"/>
              <w:left w:val="nil"/>
              <w:bottom w:val="single" w:sz="4" w:space="0" w:color="auto"/>
              <w:right w:val="single" w:sz="4" w:space="0" w:color="auto"/>
            </w:tcBorders>
            <w:shd w:val="clear" w:color="000000" w:fill="FFFFFF"/>
            <w:noWrap/>
            <w:vAlign w:val="bottom"/>
          </w:tcPr>
          <w:p w14:paraId="33E9A645" w14:textId="698BC686"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67</w:t>
            </w:r>
          </w:p>
        </w:tc>
        <w:tc>
          <w:tcPr>
            <w:tcW w:w="4809" w:type="dxa"/>
            <w:tcBorders>
              <w:top w:val="nil"/>
              <w:left w:val="nil"/>
              <w:bottom w:val="single" w:sz="4" w:space="0" w:color="auto"/>
              <w:right w:val="single" w:sz="4" w:space="0" w:color="auto"/>
            </w:tcBorders>
            <w:shd w:val="clear" w:color="auto" w:fill="auto"/>
            <w:noWrap/>
            <w:vAlign w:val="center"/>
          </w:tcPr>
          <w:p w14:paraId="259C802E" w14:textId="324BE8CF"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Autónoma del Estado de México</w:t>
            </w:r>
          </w:p>
        </w:tc>
        <w:tc>
          <w:tcPr>
            <w:tcW w:w="767" w:type="dxa"/>
            <w:tcBorders>
              <w:top w:val="nil"/>
              <w:left w:val="nil"/>
              <w:bottom w:val="single" w:sz="4" w:space="0" w:color="auto"/>
              <w:right w:val="single" w:sz="4" w:space="0" w:color="auto"/>
            </w:tcBorders>
            <w:shd w:val="clear" w:color="auto" w:fill="auto"/>
            <w:noWrap/>
            <w:vAlign w:val="center"/>
          </w:tcPr>
          <w:p w14:paraId="7FEE39C0" w14:textId="252F16C8"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0CCDD406"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000000" w:fill="E7E6E6"/>
            <w:noWrap/>
            <w:vAlign w:val="center"/>
          </w:tcPr>
          <w:p w14:paraId="06AA49BB" w14:textId="1A89B85F"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000000" w:fill="E7E6E6"/>
            <w:noWrap/>
            <w:vAlign w:val="center"/>
          </w:tcPr>
          <w:p w14:paraId="4DDB4F31" w14:textId="3072D374"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1460</w:t>
            </w:r>
          </w:p>
        </w:tc>
        <w:tc>
          <w:tcPr>
            <w:tcW w:w="1291" w:type="dxa"/>
            <w:tcBorders>
              <w:top w:val="nil"/>
              <w:left w:val="nil"/>
              <w:bottom w:val="single" w:sz="4" w:space="0" w:color="auto"/>
              <w:right w:val="single" w:sz="4" w:space="0" w:color="auto"/>
            </w:tcBorders>
            <w:shd w:val="clear" w:color="000000" w:fill="E7E6E6"/>
            <w:noWrap/>
            <w:vAlign w:val="center"/>
          </w:tcPr>
          <w:p w14:paraId="7179F6D8" w14:textId="4026D2CC"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126+</w:t>
            </w:r>
          </w:p>
        </w:tc>
        <w:tc>
          <w:tcPr>
            <w:tcW w:w="4809" w:type="dxa"/>
            <w:tcBorders>
              <w:top w:val="nil"/>
              <w:left w:val="nil"/>
              <w:bottom w:val="single" w:sz="4" w:space="0" w:color="auto"/>
              <w:right w:val="single" w:sz="4" w:space="0" w:color="auto"/>
            </w:tcBorders>
            <w:shd w:val="clear" w:color="000000" w:fill="E7E6E6"/>
            <w:noWrap/>
            <w:vAlign w:val="center"/>
          </w:tcPr>
          <w:p w14:paraId="6EFFB9D2" w14:textId="2C71A4CB"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de Guanajuato</w:t>
            </w:r>
          </w:p>
        </w:tc>
        <w:tc>
          <w:tcPr>
            <w:tcW w:w="767" w:type="dxa"/>
            <w:tcBorders>
              <w:top w:val="nil"/>
              <w:left w:val="nil"/>
              <w:bottom w:val="single" w:sz="4" w:space="0" w:color="auto"/>
              <w:right w:val="single" w:sz="4" w:space="0" w:color="auto"/>
            </w:tcBorders>
            <w:shd w:val="clear" w:color="000000" w:fill="E7E6E6"/>
            <w:noWrap/>
            <w:vAlign w:val="center"/>
          </w:tcPr>
          <w:p w14:paraId="6388A925" w14:textId="1ECBBA91"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1837DD5C"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4F4BAD04" w14:textId="08C116B5"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auto" w:fill="auto"/>
            <w:noWrap/>
            <w:vAlign w:val="center"/>
          </w:tcPr>
          <w:p w14:paraId="25394D31" w14:textId="7290E2E9"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1505</w:t>
            </w:r>
          </w:p>
        </w:tc>
        <w:tc>
          <w:tcPr>
            <w:tcW w:w="1291" w:type="dxa"/>
            <w:tcBorders>
              <w:top w:val="nil"/>
              <w:left w:val="nil"/>
              <w:bottom w:val="single" w:sz="4" w:space="0" w:color="auto"/>
              <w:right w:val="single" w:sz="4" w:space="0" w:color="auto"/>
            </w:tcBorders>
            <w:shd w:val="clear" w:color="000000" w:fill="FFFFFF"/>
            <w:noWrap/>
            <w:vAlign w:val="bottom"/>
          </w:tcPr>
          <w:p w14:paraId="2253295E" w14:textId="3B5DF796"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126+</w:t>
            </w:r>
          </w:p>
        </w:tc>
        <w:tc>
          <w:tcPr>
            <w:tcW w:w="4809" w:type="dxa"/>
            <w:tcBorders>
              <w:top w:val="nil"/>
              <w:left w:val="nil"/>
              <w:bottom w:val="single" w:sz="4" w:space="0" w:color="auto"/>
              <w:right w:val="single" w:sz="4" w:space="0" w:color="auto"/>
            </w:tcBorders>
            <w:shd w:val="clear" w:color="auto" w:fill="auto"/>
            <w:noWrap/>
            <w:vAlign w:val="center"/>
          </w:tcPr>
          <w:p w14:paraId="6B66C972" w14:textId="1EF0018C"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Autónoma del Estado de Hidalgo</w:t>
            </w:r>
          </w:p>
        </w:tc>
        <w:tc>
          <w:tcPr>
            <w:tcW w:w="767" w:type="dxa"/>
            <w:tcBorders>
              <w:top w:val="nil"/>
              <w:left w:val="nil"/>
              <w:bottom w:val="single" w:sz="4" w:space="0" w:color="auto"/>
              <w:right w:val="single" w:sz="4" w:space="0" w:color="auto"/>
            </w:tcBorders>
            <w:shd w:val="clear" w:color="auto" w:fill="auto"/>
            <w:noWrap/>
            <w:vAlign w:val="center"/>
          </w:tcPr>
          <w:p w14:paraId="614B137F" w14:textId="78781958"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447EF2D2"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000000" w:fill="E7E6E6"/>
            <w:noWrap/>
            <w:vAlign w:val="center"/>
          </w:tcPr>
          <w:p w14:paraId="3233CD51" w14:textId="32713BBB"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000000" w:fill="E7E6E6"/>
            <w:noWrap/>
            <w:vAlign w:val="center"/>
          </w:tcPr>
          <w:p w14:paraId="08586D6D" w14:textId="3D0D4B07"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1481</w:t>
            </w:r>
          </w:p>
        </w:tc>
        <w:tc>
          <w:tcPr>
            <w:tcW w:w="1291" w:type="dxa"/>
            <w:tcBorders>
              <w:top w:val="nil"/>
              <w:left w:val="nil"/>
              <w:bottom w:val="single" w:sz="4" w:space="0" w:color="auto"/>
              <w:right w:val="single" w:sz="4" w:space="0" w:color="auto"/>
            </w:tcBorders>
            <w:shd w:val="clear" w:color="000000" w:fill="E7E6E6"/>
            <w:noWrap/>
            <w:vAlign w:val="center"/>
          </w:tcPr>
          <w:p w14:paraId="436AAFA3" w14:textId="42041A11"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126+</w:t>
            </w:r>
          </w:p>
        </w:tc>
        <w:tc>
          <w:tcPr>
            <w:tcW w:w="4809" w:type="dxa"/>
            <w:tcBorders>
              <w:top w:val="nil"/>
              <w:left w:val="nil"/>
              <w:bottom w:val="single" w:sz="4" w:space="0" w:color="auto"/>
              <w:right w:val="single" w:sz="4" w:space="0" w:color="auto"/>
            </w:tcBorders>
            <w:shd w:val="clear" w:color="000000" w:fill="E7E6E6"/>
            <w:noWrap/>
            <w:vAlign w:val="center"/>
          </w:tcPr>
          <w:p w14:paraId="6EE0CD2A" w14:textId="3268E5CE"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Michoacana de San Nicolás de Hidalgo</w:t>
            </w:r>
          </w:p>
        </w:tc>
        <w:tc>
          <w:tcPr>
            <w:tcW w:w="767" w:type="dxa"/>
            <w:tcBorders>
              <w:top w:val="nil"/>
              <w:left w:val="nil"/>
              <w:bottom w:val="single" w:sz="4" w:space="0" w:color="auto"/>
              <w:right w:val="single" w:sz="4" w:space="0" w:color="auto"/>
            </w:tcBorders>
            <w:shd w:val="clear" w:color="000000" w:fill="E7E6E6"/>
            <w:noWrap/>
            <w:vAlign w:val="center"/>
          </w:tcPr>
          <w:p w14:paraId="412BB301" w14:textId="7D44CB53"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7A0CD275"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55364ABD" w14:textId="533937E5"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auto" w:fill="auto"/>
            <w:noWrap/>
            <w:vAlign w:val="center"/>
          </w:tcPr>
          <w:p w14:paraId="1EDE1672" w14:textId="55223910"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1500</w:t>
            </w:r>
          </w:p>
        </w:tc>
        <w:tc>
          <w:tcPr>
            <w:tcW w:w="1291" w:type="dxa"/>
            <w:tcBorders>
              <w:top w:val="nil"/>
              <w:left w:val="nil"/>
              <w:bottom w:val="single" w:sz="4" w:space="0" w:color="auto"/>
              <w:right w:val="single" w:sz="4" w:space="0" w:color="auto"/>
            </w:tcBorders>
            <w:shd w:val="clear" w:color="000000" w:fill="FFFFFF"/>
            <w:noWrap/>
            <w:vAlign w:val="bottom"/>
          </w:tcPr>
          <w:p w14:paraId="490FC877" w14:textId="1CF3F1BB"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101–125</w:t>
            </w:r>
          </w:p>
        </w:tc>
        <w:tc>
          <w:tcPr>
            <w:tcW w:w="4809" w:type="dxa"/>
            <w:tcBorders>
              <w:top w:val="nil"/>
              <w:left w:val="nil"/>
              <w:bottom w:val="single" w:sz="4" w:space="0" w:color="auto"/>
              <w:right w:val="single" w:sz="4" w:space="0" w:color="auto"/>
            </w:tcBorders>
            <w:shd w:val="clear" w:color="auto" w:fill="auto"/>
            <w:noWrap/>
            <w:vAlign w:val="center"/>
          </w:tcPr>
          <w:p w14:paraId="7D8A47C8" w14:textId="558D6162"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Autónoma de Nuevo León</w:t>
            </w:r>
          </w:p>
        </w:tc>
        <w:tc>
          <w:tcPr>
            <w:tcW w:w="767" w:type="dxa"/>
            <w:tcBorders>
              <w:top w:val="nil"/>
              <w:left w:val="nil"/>
              <w:bottom w:val="single" w:sz="4" w:space="0" w:color="auto"/>
              <w:right w:val="single" w:sz="4" w:space="0" w:color="auto"/>
            </w:tcBorders>
            <w:shd w:val="clear" w:color="auto" w:fill="auto"/>
            <w:noWrap/>
            <w:vAlign w:val="center"/>
          </w:tcPr>
          <w:p w14:paraId="3CF0B998" w14:textId="2BDDCD43"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04B59AD2"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000000" w:fill="E7E6E6"/>
            <w:noWrap/>
            <w:vAlign w:val="center"/>
          </w:tcPr>
          <w:p w14:paraId="58F2D554" w14:textId="771842F3"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000000" w:fill="E7E6E6"/>
            <w:noWrap/>
            <w:vAlign w:val="center"/>
          </w:tcPr>
          <w:p w14:paraId="76EED70C" w14:textId="78CD6CA5"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1511</w:t>
            </w:r>
          </w:p>
        </w:tc>
        <w:tc>
          <w:tcPr>
            <w:tcW w:w="1291" w:type="dxa"/>
            <w:tcBorders>
              <w:top w:val="nil"/>
              <w:left w:val="nil"/>
              <w:bottom w:val="single" w:sz="4" w:space="0" w:color="auto"/>
              <w:right w:val="single" w:sz="4" w:space="0" w:color="auto"/>
            </w:tcBorders>
            <w:shd w:val="clear" w:color="000000" w:fill="E7E6E6"/>
            <w:noWrap/>
            <w:vAlign w:val="center"/>
          </w:tcPr>
          <w:p w14:paraId="43BCD7E7" w14:textId="7BCDE641"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101–125</w:t>
            </w:r>
          </w:p>
        </w:tc>
        <w:tc>
          <w:tcPr>
            <w:tcW w:w="4809" w:type="dxa"/>
            <w:tcBorders>
              <w:top w:val="nil"/>
              <w:left w:val="nil"/>
              <w:bottom w:val="single" w:sz="4" w:space="0" w:color="auto"/>
              <w:right w:val="single" w:sz="4" w:space="0" w:color="auto"/>
            </w:tcBorders>
            <w:shd w:val="clear" w:color="000000" w:fill="E7E6E6"/>
            <w:noWrap/>
            <w:vAlign w:val="center"/>
          </w:tcPr>
          <w:p w14:paraId="3EB38C2A" w14:textId="2507569B"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Autónoma de Baja California</w:t>
            </w:r>
          </w:p>
        </w:tc>
        <w:tc>
          <w:tcPr>
            <w:tcW w:w="767" w:type="dxa"/>
            <w:tcBorders>
              <w:top w:val="nil"/>
              <w:left w:val="nil"/>
              <w:bottom w:val="single" w:sz="4" w:space="0" w:color="auto"/>
              <w:right w:val="single" w:sz="4" w:space="0" w:color="auto"/>
            </w:tcBorders>
            <w:shd w:val="clear" w:color="000000" w:fill="E7E6E6"/>
            <w:noWrap/>
            <w:vAlign w:val="center"/>
          </w:tcPr>
          <w:p w14:paraId="0914F988" w14:textId="2592500D"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0450C23A"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4601178C" w14:textId="7915D118"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auto" w:fill="auto"/>
            <w:noWrap/>
            <w:vAlign w:val="center"/>
          </w:tcPr>
          <w:p w14:paraId="32F1249C" w14:textId="550385C5"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1497</w:t>
            </w:r>
          </w:p>
        </w:tc>
        <w:tc>
          <w:tcPr>
            <w:tcW w:w="1291" w:type="dxa"/>
            <w:tcBorders>
              <w:top w:val="nil"/>
              <w:left w:val="nil"/>
              <w:bottom w:val="single" w:sz="4" w:space="0" w:color="auto"/>
              <w:right w:val="single" w:sz="4" w:space="0" w:color="auto"/>
            </w:tcBorders>
            <w:shd w:val="clear" w:color="000000" w:fill="FFFFFF"/>
            <w:noWrap/>
            <w:vAlign w:val="bottom"/>
          </w:tcPr>
          <w:p w14:paraId="68164AD6" w14:textId="032FC0BE"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77</w:t>
            </w:r>
          </w:p>
        </w:tc>
        <w:tc>
          <w:tcPr>
            <w:tcW w:w="4809" w:type="dxa"/>
            <w:tcBorders>
              <w:top w:val="nil"/>
              <w:left w:val="nil"/>
              <w:bottom w:val="single" w:sz="4" w:space="0" w:color="auto"/>
              <w:right w:val="single" w:sz="4" w:space="0" w:color="auto"/>
            </w:tcBorders>
            <w:shd w:val="clear" w:color="auto" w:fill="auto"/>
            <w:noWrap/>
            <w:vAlign w:val="center"/>
          </w:tcPr>
          <w:p w14:paraId="3A41EF99" w14:textId="5A01FB42"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Benemérita Universidad Autónoma de Puebla</w:t>
            </w:r>
          </w:p>
        </w:tc>
        <w:tc>
          <w:tcPr>
            <w:tcW w:w="767" w:type="dxa"/>
            <w:tcBorders>
              <w:top w:val="nil"/>
              <w:left w:val="nil"/>
              <w:bottom w:val="single" w:sz="4" w:space="0" w:color="auto"/>
              <w:right w:val="single" w:sz="4" w:space="0" w:color="auto"/>
            </w:tcBorders>
            <w:shd w:val="clear" w:color="auto" w:fill="auto"/>
            <w:noWrap/>
            <w:vAlign w:val="center"/>
          </w:tcPr>
          <w:p w14:paraId="0E91A417" w14:textId="191102B3"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4F6F4F58"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000000" w:fill="E7E6E6"/>
            <w:noWrap/>
            <w:vAlign w:val="center"/>
          </w:tcPr>
          <w:p w14:paraId="2937E391" w14:textId="3CA150D7"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000000" w:fill="E7E6E6"/>
            <w:noWrap/>
            <w:vAlign w:val="center"/>
          </w:tcPr>
          <w:p w14:paraId="602209DD" w14:textId="13A70A58"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1454</w:t>
            </w:r>
          </w:p>
        </w:tc>
        <w:tc>
          <w:tcPr>
            <w:tcW w:w="1291" w:type="dxa"/>
            <w:tcBorders>
              <w:top w:val="nil"/>
              <w:left w:val="nil"/>
              <w:bottom w:val="single" w:sz="4" w:space="0" w:color="auto"/>
              <w:right w:val="single" w:sz="4" w:space="0" w:color="auto"/>
            </w:tcBorders>
            <w:shd w:val="clear" w:color="000000" w:fill="E7E6E6"/>
            <w:noWrap/>
            <w:vAlign w:val="center"/>
          </w:tcPr>
          <w:p w14:paraId="14E15B79" w14:textId="0A449B54"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101–125</w:t>
            </w:r>
          </w:p>
        </w:tc>
        <w:tc>
          <w:tcPr>
            <w:tcW w:w="4809" w:type="dxa"/>
            <w:tcBorders>
              <w:top w:val="nil"/>
              <w:left w:val="nil"/>
              <w:bottom w:val="single" w:sz="4" w:space="0" w:color="auto"/>
              <w:right w:val="single" w:sz="4" w:space="0" w:color="auto"/>
            </w:tcBorders>
            <w:shd w:val="clear" w:color="000000" w:fill="E7E6E6"/>
            <w:noWrap/>
            <w:vAlign w:val="center"/>
          </w:tcPr>
          <w:p w14:paraId="247EF1EC" w14:textId="05079254"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Autónoma de San Luis Potosí</w:t>
            </w:r>
          </w:p>
        </w:tc>
        <w:tc>
          <w:tcPr>
            <w:tcW w:w="767" w:type="dxa"/>
            <w:tcBorders>
              <w:top w:val="nil"/>
              <w:left w:val="nil"/>
              <w:bottom w:val="single" w:sz="4" w:space="0" w:color="auto"/>
              <w:right w:val="single" w:sz="4" w:space="0" w:color="auto"/>
            </w:tcBorders>
            <w:shd w:val="clear" w:color="000000" w:fill="E7E6E6"/>
            <w:noWrap/>
            <w:vAlign w:val="center"/>
          </w:tcPr>
          <w:p w14:paraId="3513B0B8" w14:textId="0E854575"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72CAFA0B"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7C43CE43" w14:textId="29C66209"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auto" w:fill="auto"/>
            <w:noWrap/>
            <w:vAlign w:val="center"/>
          </w:tcPr>
          <w:p w14:paraId="504CE4BD" w14:textId="3AABC684"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1514</w:t>
            </w:r>
          </w:p>
        </w:tc>
        <w:tc>
          <w:tcPr>
            <w:tcW w:w="1291" w:type="dxa"/>
            <w:tcBorders>
              <w:top w:val="nil"/>
              <w:left w:val="nil"/>
              <w:bottom w:val="single" w:sz="4" w:space="0" w:color="auto"/>
              <w:right w:val="single" w:sz="4" w:space="0" w:color="auto"/>
            </w:tcBorders>
            <w:shd w:val="clear" w:color="000000" w:fill="FFFFFF"/>
            <w:noWrap/>
            <w:vAlign w:val="bottom"/>
          </w:tcPr>
          <w:p w14:paraId="30EFFF00" w14:textId="6AEB8839"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126+</w:t>
            </w:r>
          </w:p>
        </w:tc>
        <w:tc>
          <w:tcPr>
            <w:tcW w:w="4809" w:type="dxa"/>
            <w:tcBorders>
              <w:top w:val="nil"/>
              <w:left w:val="nil"/>
              <w:bottom w:val="single" w:sz="4" w:space="0" w:color="auto"/>
              <w:right w:val="single" w:sz="4" w:space="0" w:color="auto"/>
            </w:tcBorders>
            <w:shd w:val="clear" w:color="auto" w:fill="auto"/>
            <w:noWrap/>
            <w:vAlign w:val="center"/>
          </w:tcPr>
          <w:p w14:paraId="021682C3" w14:textId="68D5DD7A"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de Sonora</w:t>
            </w:r>
          </w:p>
        </w:tc>
        <w:tc>
          <w:tcPr>
            <w:tcW w:w="767" w:type="dxa"/>
            <w:tcBorders>
              <w:top w:val="nil"/>
              <w:left w:val="nil"/>
              <w:bottom w:val="single" w:sz="4" w:space="0" w:color="auto"/>
              <w:right w:val="single" w:sz="4" w:space="0" w:color="auto"/>
            </w:tcBorders>
            <w:shd w:val="clear" w:color="auto" w:fill="auto"/>
            <w:noWrap/>
            <w:vAlign w:val="center"/>
          </w:tcPr>
          <w:p w14:paraId="34A32B90" w14:textId="6F9E8B60"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5D5076" w:rsidRPr="00365884" w14:paraId="0F1ED4E4" w14:textId="77777777" w:rsidTr="00365884">
        <w:trPr>
          <w:trHeight w:val="222"/>
          <w:jc w:val="center"/>
        </w:trPr>
        <w:tc>
          <w:tcPr>
            <w:tcW w:w="1559" w:type="dxa"/>
            <w:tcBorders>
              <w:top w:val="nil"/>
              <w:left w:val="single" w:sz="4" w:space="0" w:color="auto"/>
              <w:bottom w:val="single" w:sz="4" w:space="0" w:color="auto"/>
              <w:right w:val="single" w:sz="4" w:space="0" w:color="auto"/>
            </w:tcBorders>
            <w:shd w:val="clear" w:color="000000" w:fill="E7E6E6"/>
            <w:noWrap/>
            <w:vAlign w:val="center"/>
          </w:tcPr>
          <w:p w14:paraId="6FE77AD1" w14:textId="3055DDF5"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501+</w:t>
            </w:r>
          </w:p>
        </w:tc>
        <w:tc>
          <w:tcPr>
            <w:tcW w:w="1273" w:type="dxa"/>
            <w:tcBorders>
              <w:top w:val="nil"/>
              <w:left w:val="nil"/>
              <w:bottom w:val="single" w:sz="4" w:space="0" w:color="auto"/>
              <w:right w:val="single" w:sz="4" w:space="0" w:color="auto"/>
            </w:tcBorders>
            <w:shd w:val="clear" w:color="000000" w:fill="E7E6E6"/>
            <w:noWrap/>
            <w:vAlign w:val="center"/>
          </w:tcPr>
          <w:p w14:paraId="1E5FA9D3" w14:textId="6930D20C" w:rsidR="005D5076" w:rsidRPr="00365884" w:rsidRDefault="005D5076" w:rsidP="00365884">
            <w:pPr>
              <w:spacing w:after="0" w:line="240" w:lineRule="auto"/>
              <w:jc w:val="center"/>
              <w:rPr>
                <w:rFonts w:ascii="Calibri" w:eastAsia="Times New Roman" w:hAnsi="Calibri" w:cs="Calibri"/>
                <w:sz w:val="18"/>
                <w:szCs w:val="18"/>
                <w:lang w:eastAsia="es-MX"/>
              </w:rPr>
            </w:pPr>
            <w:r w:rsidRPr="00365884">
              <w:rPr>
                <w:rFonts w:ascii="Calibri" w:hAnsi="Calibri" w:cs="Calibri"/>
                <w:sz w:val="18"/>
                <w:szCs w:val="18"/>
              </w:rPr>
              <w:t>1504</w:t>
            </w:r>
          </w:p>
        </w:tc>
        <w:tc>
          <w:tcPr>
            <w:tcW w:w="1291" w:type="dxa"/>
            <w:tcBorders>
              <w:top w:val="nil"/>
              <w:left w:val="nil"/>
              <w:bottom w:val="single" w:sz="4" w:space="0" w:color="auto"/>
              <w:right w:val="single" w:sz="4" w:space="0" w:color="auto"/>
            </w:tcBorders>
            <w:shd w:val="clear" w:color="000000" w:fill="E7E6E6"/>
            <w:noWrap/>
            <w:vAlign w:val="center"/>
          </w:tcPr>
          <w:p w14:paraId="5702CDE8" w14:textId="10F71298"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90</w:t>
            </w:r>
          </w:p>
        </w:tc>
        <w:tc>
          <w:tcPr>
            <w:tcW w:w="4809" w:type="dxa"/>
            <w:tcBorders>
              <w:top w:val="nil"/>
              <w:left w:val="nil"/>
              <w:bottom w:val="single" w:sz="4" w:space="0" w:color="auto"/>
              <w:right w:val="single" w:sz="4" w:space="0" w:color="auto"/>
            </w:tcBorders>
            <w:shd w:val="clear" w:color="000000" w:fill="E7E6E6"/>
            <w:noWrap/>
            <w:vAlign w:val="center"/>
          </w:tcPr>
          <w:p w14:paraId="21A21759" w14:textId="71910AD6" w:rsidR="005D5076" w:rsidRPr="00365884" w:rsidRDefault="005D5076"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Universidad de Guadalajara</w:t>
            </w:r>
          </w:p>
        </w:tc>
        <w:tc>
          <w:tcPr>
            <w:tcW w:w="767" w:type="dxa"/>
            <w:tcBorders>
              <w:top w:val="nil"/>
              <w:left w:val="nil"/>
              <w:bottom w:val="single" w:sz="4" w:space="0" w:color="auto"/>
              <w:right w:val="single" w:sz="4" w:space="0" w:color="auto"/>
            </w:tcBorders>
            <w:shd w:val="clear" w:color="000000" w:fill="E7E6E6"/>
            <w:noWrap/>
            <w:vAlign w:val="center"/>
          </w:tcPr>
          <w:p w14:paraId="6266718B" w14:textId="6459A7BB" w:rsidR="005D5076" w:rsidRPr="00365884" w:rsidRDefault="005D5076"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Público</w:t>
            </w:r>
          </w:p>
        </w:tc>
      </w:tr>
      <w:tr w:rsidR="00923586" w:rsidRPr="00365884" w14:paraId="5D133EA5" w14:textId="77777777" w:rsidTr="00365884">
        <w:trPr>
          <w:trHeight w:val="38"/>
          <w:jc w:val="center"/>
        </w:trPr>
        <w:tc>
          <w:tcPr>
            <w:tcW w:w="9701" w:type="dxa"/>
            <w:gridSpan w:val="5"/>
            <w:tcBorders>
              <w:top w:val="single" w:sz="4" w:space="0" w:color="auto"/>
            </w:tcBorders>
            <w:shd w:val="clear" w:color="000000" w:fill="FFFFFF"/>
            <w:vAlign w:val="center"/>
            <w:hideMark/>
          </w:tcPr>
          <w:p w14:paraId="00266C3E" w14:textId="48613065" w:rsidR="00DF0A33" w:rsidRPr="00365884" w:rsidRDefault="00DF0A33" w:rsidP="00365884">
            <w:pPr>
              <w:spacing w:after="0" w:line="240" w:lineRule="auto"/>
              <w:rPr>
                <w:rFonts w:ascii="Calibri" w:eastAsia="Times New Roman" w:hAnsi="Calibri" w:cs="Times New Roman"/>
                <w:bCs/>
                <w:color w:val="000000"/>
                <w:sz w:val="16"/>
                <w:szCs w:val="16"/>
                <w:lang w:eastAsia="es-MX"/>
              </w:rPr>
            </w:pPr>
            <w:r w:rsidRPr="00365884">
              <w:rPr>
                <w:rFonts w:ascii="Calibri" w:eastAsia="Times New Roman" w:hAnsi="Calibri" w:cs="Times New Roman"/>
                <w:b/>
                <w:bCs/>
                <w:color w:val="000000"/>
                <w:sz w:val="16"/>
                <w:szCs w:val="16"/>
                <w:lang w:eastAsia="es-MX"/>
              </w:rPr>
              <w:t>Fuente</w:t>
            </w:r>
            <w:r w:rsidRPr="00365884">
              <w:rPr>
                <w:rFonts w:ascii="Calibri" w:eastAsia="Times New Roman" w:hAnsi="Calibri" w:cs="Times New Roman"/>
                <w:bCs/>
                <w:color w:val="000000"/>
                <w:sz w:val="16"/>
                <w:szCs w:val="16"/>
                <w:lang w:eastAsia="es-MX"/>
              </w:rPr>
              <w:t>: Elaboración propia con datos publicados del THE ranking Mundial (</w:t>
            </w:r>
            <w:r w:rsidR="005D5076" w:rsidRPr="00365884">
              <w:rPr>
                <w:rFonts w:ascii="Calibri" w:eastAsia="Times New Roman" w:hAnsi="Calibri" w:cs="Times New Roman"/>
                <w:bCs/>
                <w:color w:val="000000"/>
                <w:sz w:val="16"/>
                <w:szCs w:val="16"/>
                <w:lang w:eastAsia="es-MX"/>
              </w:rPr>
              <w:t>2021</w:t>
            </w:r>
            <w:r w:rsidRPr="00365884">
              <w:rPr>
                <w:rFonts w:ascii="Calibri" w:eastAsia="Times New Roman" w:hAnsi="Calibri" w:cs="Times New Roman"/>
                <w:bCs/>
                <w:color w:val="000000"/>
                <w:sz w:val="16"/>
                <w:szCs w:val="16"/>
                <w:lang w:eastAsia="es-MX"/>
              </w:rPr>
              <w:t xml:space="preserve">), Latinoamérica </w:t>
            </w:r>
            <w:r w:rsidR="005D5076" w:rsidRPr="00365884">
              <w:rPr>
                <w:rFonts w:ascii="Calibri" w:eastAsia="Times New Roman" w:hAnsi="Calibri" w:cs="Times New Roman"/>
                <w:bCs/>
                <w:color w:val="000000"/>
                <w:sz w:val="16"/>
                <w:szCs w:val="16"/>
                <w:lang w:eastAsia="es-MX"/>
              </w:rPr>
              <w:t>2020</w:t>
            </w:r>
            <w:r w:rsidRPr="00365884">
              <w:rPr>
                <w:rFonts w:ascii="Calibri" w:eastAsia="Times New Roman" w:hAnsi="Calibri" w:cs="Times New Roman"/>
                <w:bCs/>
                <w:color w:val="000000"/>
                <w:sz w:val="16"/>
                <w:szCs w:val="16"/>
                <w:lang w:eastAsia="es-MX"/>
              </w:rPr>
              <w:t>, y BRICS y Economías Emergentes (</w:t>
            </w:r>
            <w:r w:rsidR="005D5076" w:rsidRPr="00365884">
              <w:rPr>
                <w:rFonts w:ascii="Calibri" w:eastAsia="Times New Roman" w:hAnsi="Calibri" w:cs="Times New Roman"/>
                <w:bCs/>
                <w:color w:val="000000"/>
                <w:sz w:val="16"/>
                <w:szCs w:val="16"/>
                <w:lang w:eastAsia="es-MX"/>
              </w:rPr>
              <w:t>2021</w:t>
            </w:r>
            <w:r w:rsidRPr="00365884">
              <w:rPr>
                <w:rFonts w:ascii="Calibri" w:eastAsia="Times New Roman" w:hAnsi="Calibri" w:cs="Times New Roman"/>
                <w:bCs/>
                <w:color w:val="000000"/>
                <w:sz w:val="16"/>
                <w:szCs w:val="16"/>
                <w:lang w:eastAsia="es-MX"/>
              </w:rPr>
              <w:t>).</w:t>
            </w:r>
          </w:p>
        </w:tc>
      </w:tr>
      <w:tr w:rsidR="008C3620" w:rsidRPr="00365884" w14:paraId="16CCCA7C" w14:textId="77777777" w:rsidTr="00365884">
        <w:trPr>
          <w:trHeight w:val="46"/>
          <w:jc w:val="center"/>
        </w:trPr>
        <w:tc>
          <w:tcPr>
            <w:tcW w:w="9701" w:type="dxa"/>
            <w:gridSpan w:val="5"/>
            <w:shd w:val="clear" w:color="000000" w:fill="FFFFFF"/>
            <w:vAlign w:val="center"/>
            <w:hideMark/>
          </w:tcPr>
          <w:p w14:paraId="46571BA8" w14:textId="77777777" w:rsidR="00DF0A33" w:rsidRPr="00365884" w:rsidRDefault="00DF0A33" w:rsidP="00365884">
            <w:pPr>
              <w:spacing w:after="0" w:line="240" w:lineRule="auto"/>
              <w:rPr>
                <w:rFonts w:ascii="Calibri" w:eastAsia="Times New Roman" w:hAnsi="Calibri" w:cs="Times New Roman"/>
                <w:bCs/>
                <w:color w:val="000000"/>
                <w:sz w:val="16"/>
                <w:szCs w:val="16"/>
                <w:lang w:eastAsia="es-MX"/>
              </w:rPr>
            </w:pPr>
            <w:r w:rsidRPr="00365884">
              <w:rPr>
                <w:rFonts w:ascii="Calibri" w:eastAsia="Times New Roman" w:hAnsi="Calibri" w:cs="Times New Roman"/>
                <w:bCs/>
                <w:color w:val="000000"/>
                <w:sz w:val="16"/>
                <w:szCs w:val="16"/>
                <w:lang w:eastAsia="es-MX"/>
              </w:rPr>
              <w:t>* Ordenado conforme a la posición obtenida en el ranking BRICS y Economías Emergentes</w:t>
            </w:r>
          </w:p>
        </w:tc>
      </w:tr>
    </w:tbl>
    <w:p w14:paraId="2719F3AD" w14:textId="77777777" w:rsidR="00DF0A33" w:rsidRPr="00365884" w:rsidRDefault="00DF0A33" w:rsidP="00365884">
      <w:pPr>
        <w:pStyle w:val="Prrafodelista"/>
        <w:spacing w:after="0" w:line="240" w:lineRule="auto"/>
        <w:jc w:val="both"/>
        <w:rPr>
          <w:sz w:val="24"/>
        </w:rPr>
      </w:pPr>
    </w:p>
    <w:p w14:paraId="4F1040C9" w14:textId="0186E6FB" w:rsidR="00D21B64" w:rsidRPr="00365884" w:rsidRDefault="007A5787" w:rsidP="00365884">
      <w:pPr>
        <w:pStyle w:val="Prrafodelista"/>
        <w:numPr>
          <w:ilvl w:val="0"/>
          <w:numId w:val="1"/>
        </w:numPr>
        <w:spacing w:after="0" w:line="240" w:lineRule="auto"/>
        <w:jc w:val="both"/>
        <w:rPr>
          <w:sz w:val="24"/>
        </w:rPr>
      </w:pPr>
      <w:r w:rsidRPr="00365884">
        <w:rPr>
          <w:sz w:val="24"/>
        </w:rPr>
        <w:t>El ranking THE BRICS y Economías Emergentes clasificó a</w:t>
      </w:r>
      <w:r w:rsidR="00A7502F" w:rsidRPr="00365884">
        <w:rPr>
          <w:sz w:val="24"/>
        </w:rPr>
        <w:t xml:space="preserve"> la UNAM en el lugar 129, mientras que el </w:t>
      </w:r>
      <w:r w:rsidRPr="00365884">
        <w:rPr>
          <w:sz w:val="24"/>
        </w:rPr>
        <w:t xml:space="preserve">ITESM </w:t>
      </w:r>
      <w:r w:rsidR="00A7502F" w:rsidRPr="00365884">
        <w:rPr>
          <w:sz w:val="24"/>
        </w:rPr>
        <w:t xml:space="preserve">fue clasificado en </w:t>
      </w:r>
      <w:r w:rsidRPr="00365884">
        <w:rPr>
          <w:sz w:val="24"/>
        </w:rPr>
        <w:t xml:space="preserve">el lugar </w:t>
      </w:r>
      <w:r w:rsidR="00A7502F" w:rsidRPr="00365884">
        <w:rPr>
          <w:sz w:val="24"/>
        </w:rPr>
        <w:t>131</w:t>
      </w:r>
      <w:r w:rsidR="00D21B64" w:rsidRPr="00365884">
        <w:rPr>
          <w:sz w:val="24"/>
        </w:rPr>
        <w:t>.</w:t>
      </w:r>
    </w:p>
    <w:p w14:paraId="397D073A" w14:textId="26E063C4" w:rsidR="00A7502F" w:rsidRPr="00365884" w:rsidRDefault="00A7502F" w:rsidP="00365884">
      <w:pPr>
        <w:pStyle w:val="Prrafodelista"/>
        <w:numPr>
          <w:ilvl w:val="0"/>
          <w:numId w:val="1"/>
        </w:numPr>
        <w:spacing w:after="0" w:line="240" w:lineRule="auto"/>
        <w:jc w:val="both"/>
        <w:rPr>
          <w:sz w:val="24"/>
        </w:rPr>
      </w:pPr>
      <w:r w:rsidRPr="00365884">
        <w:rPr>
          <w:sz w:val="24"/>
        </w:rPr>
        <w:t>La UNAM superó al ITESM en los indicadores de Investigación en 11.9 puntos, Docencia en 10.9 puntos, y en el Puntaje Genera en 0.1 puntos. Los indicadores de Docencia e Investigación representan el 60% del valor total del ranking.</w:t>
      </w:r>
    </w:p>
    <w:p w14:paraId="3E521ACE" w14:textId="35583995" w:rsidR="008C3620" w:rsidRPr="00365884" w:rsidRDefault="008C3620" w:rsidP="00365884">
      <w:pPr>
        <w:pStyle w:val="Prrafodelista"/>
        <w:numPr>
          <w:ilvl w:val="0"/>
          <w:numId w:val="1"/>
        </w:numPr>
        <w:spacing w:after="0" w:line="240" w:lineRule="auto"/>
        <w:jc w:val="both"/>
        <w:rPr>
          <w:sz w:val="24"/>
        </w:rPr>
      </w:pPr>
      <w:r w:rsidRPr="00365884">
        <w:rPr>
          <w:sz w:val="24"/>
        </w:rPr>
        <w:t xml:space="preserve">Por su parte, </w:t>
      </w:r>
      <w:r w:rsidR="00A7502F" w:rsidRPr="00365884">
        <w:rPr>
          <w:sz w:val="24"/>
        </w:rPr>
        <w:t xml:space="preserve">el ITESM </w:t>
      </w:r>
      <w:r w:rsidRPr="00365884">
        <w:rPr>
          <w:sz w:val="24"/>
        </w:rPr>
        <w:t>aventajo a</w:t>
      </w:r>
      <w:r w:rsidR="00A7502F" w:rsidRPr="00365884">
        <w:rPr>
          <w:sz w:val="24"/>
        </w:rPr>
        <w:t xml:space="preserve"> la UNAM </w:t>
      </w:r>
      <w:r w:rsidRPr="00365884">
        <w:rPr>
          <w:sz w:val="24"/>
        </w:rPr>
        <w:t xml:space="preserve">en los rubros de </w:t>
      </w:r>
      <w:r w:rsidR="00A7502F" w:rsidRPr="00365884">
        <w:rPr>
          <w:sz w:val="24"/>
        </w:rPr>
        <w:t xml:space="preserve">Citas </w:t>
      </w:r>
      <w:r w:rsidR="00812F50" w:rsidRPr="00365884">
        <w:rPr>
          <w:sz w:val="24"/>
        </w:rPr>
        <w:t xml:space="preserve">con </w:t>
      </w:r>
      <w:r w:rsidR="00A7502F" w:rsidRPr="00365884">
        <w:rPr>
          <w:sz w:val="24"/>
        </w:rPr>
        <w:t xml:space="preserve">27.2 </w:t>
      </w:r>
      <w:r w:rsidR="00812F50" w:rsidRPr="00365884">
        <w:rPr>
          <w:sz w:val="24"/>
        </w:rPr>
        <w:t>puntos</w:t>
      </w:r>
      <w:r w:rsidR="00A7502F" w:rsidRPr="00365884">
        <w:rPr>
          <w:sz w:val="24"/>
        </w:rPr>
        <w:t>, Perspectiva Internacional con 7.8 puntos, y Financiamiento de la Industria con 5.4 puntos</w:t>
      </w:r>
      <w:r w:rsidRPr="00365884">
        <w:rPr>
          <w:sz w:val="24"/>
        </w:rPr>
        <w:t xml:space="preserve">. </w:t>
      </w:r>
    </w:p>
    <w:p w14:paraId="09100B36" w14:textId="77777777" w:rsidR="009E22D8" w:rsidRPr="00365884" w:rsidRDefault="009E22D8" w:rsidP="00365884">
      <w:pPr>
        <w:spacing w:after="0" w:line="240" w:lineRule="auto"/>
        <w:jc w:val="both"/>
        <w:rPr>
          <w:sz w:val="24"/>
        </w:rPr>
      </w:pPr>
    </w:p>
    <w:tbl>
      <w:tblPr>
        <w:tblW w:w="10921" w:type="dxa"/>
        <w:jc w:val="center"/>
        <w:tblLayout w:type="fixed"/>
        <w:tblCellMar>
          <w:left w:w="70" w:type="dxa"/>
          <w:right w:w="70" w:type="dxa"/>
        </w:tblCellMar>
        <w:tblLook w:val="04A0" w:firstRow="1" w:lastRow="0" w:firstColumn="1" w:lastColumn="0" w:noHBand="0" w:noVBand="1"/>
      </w:tblPr>
      <w:tblGrid>
        <w:gridCol w:w="10921"/>
      </w:tblGrid>
      <w:tr w:rsidR="00D21B64" w:rsidRPr="00365884" w14:paraId="115C0C7C" w14:textId="77777777" w:rsidTr="00B76F35">
        <w:trPr>
          <w:trHeight w:val="251"/>
          <w:jc w:val="center"/>
        </w:trPr>
        <w:tc>
          <w:tcPr>
            <w:tcW w:w="10921" w:type="dxa"/>
            <w:shd w:val="clear" w:color="auto" w:fill="auto"/>
            <w:noWrap/>
            <w:vAlign w:val="center"/>
          </w:tcPr>
          <w:p w14:paraId="24C0BE94" w14:textId="5324CFDD" w:rsidR="00D21B64" w:rsidRPr="00365884" w:rsidRDefault="00BF7CB0" w:rsidP="00365884">
            <w:pPr>
              <w:spacing w:after="0" w:line="240" w:lineRule="auto"/>
              <w:jc w:val="center"/>
              <w:rPr>
                <w:rFonts w:ascii="Calibri" w:eastAsia="Times New Roman" w:hAnsi="Calibri" w:cs="Times New Roman"/>
                <w:b/>
                <w:color w:val="050505"/>
                <w:sz w:val="20"/>
                <w:szCs w:val="24"/>
                <w:lang w:eastAsia="es-MX"/>
              </w:rPr>
            </w:pPr>
            <w:r w:rsidRPr="00365884">
              <w:rPr>
                <w:rFonts w:ascii="Calibri" w:eastAsia="Times New Roman" w:hAnsi="Calibri" w:cs="Times New Roman"/>
                <w:b/>
                <w:color w:val="050505"/>
                <w:sz w:val="20"/>
                <w:szCs w:val="24"/>
                <w:lang w:eastAsia="es-MX"/>
              </w:rPr>
              <w:t xml:space="preserve">Gráfico </w:t>
            </w:r>
            <w:r w:rsidR="00305498" w:rsidRPr="00365884">
              <w:rPr>
                <w:rFonts w:ascii="Calibri" w:eastAsia="Times New Roman" w:hAnsi="Calibri" w:cs="Times New Roman"/>
                <w:b/>
                <w:color w:val="050505"/>
                <w:sz w:val="20"/>
                <w:szCs w:val="24"/>
                <w:lang w:eastAsia="es-MX"/>
              </w:rPr>
              <w:t>5</w:t>
            </w:r>
            <w:r w:rsidR="00D21B64" w:rsidRPr="00365884">
              <w:rPr>
                <w:rFonts w:ascii="Calibri" w:eastAsia="Times New Roman" w:hAnsi="Calibri" w:cs="Times New Roman"/>
                <w:b/>
                <w:color w:val="050505"/>
                <w:sz w:val="20"/>
                <w:szCs w:val="24"/>
                <w:lang w:eastAsia="es-MX"/>
              </w:rPr>
              <w:t xml:space="preserve">. Comparación entre la UNAM y el </w:t>
            </w:r>
            <w:r w:rsidR="004A288E" w:rsidRPr="00365884">
              <w:rPr>
                <w:rFonts w:ascii="Calibri" w:eastAsia="Times New Roman" w:hAnsi="Calibri" w:cs="Times New Roman"/>
                <w:b/>
                <w:color w:val="050505"/>
                <w:sz w:val="20"/>
                <w:szCs w:val="24"/>
                <w:lang w:eastAsia="es-MX"/>
              </w:rPr>
              <w:t xml:space="preserve">ITESM </w:t>
            </w:r>
            <w:r w:rsidR="00D21B64" w:rsidRPr="00365884">
              <w:rPr>
                <w:rFonts w:ascii="Calibri" w:eastAsia="Times New Roman" w:hAnsi="Calibri" w:cs="Times New Roman"/>
                <w:b/>
                <w:color w:val="050505"/>
                <w:sz w:val="20"/>
                <w:szCs w:val="24"/>
                <w:lang w:eastAsia="es-MX"/>
              </w:rPr>
              <w:t>en las posiciones del ranking THE BRICS y Economías Emergentes, 201</w:t>
            </w:r>
            <w:r w:rsidR="00B76F35" w:rsidRPr="00365884">
              <w:rPr>
                <w:rFonts w:ascii="Calibri" w:eastAsia="Times New Roman" w:hAnsi="Calibri" w:cs="Times New Roman"/>
                <w:b/>
                <w:color w:val="050505"/>
                <w:sz w:val="20"/>
                <w:szCs w:val="24"/>
                <w:lang w:eastAsia="es-MX"/>
              </w:rPr>
              <w:t>7-</w:t>
            </w:r>
            <w:r w:rsidR="00D21B64" w:rsidRPr="00365884">
              <w:rPr>
                <w:rFonts w:ascii="Calibri" w:eastAsia="Times New Roman" w:hAnsi="Calibri" w:cs="Times New Roman"/>
                <w:b/>
                <w:color w:val="050505"/>
                <w:sz w:val="20"/>
                <w:szCs w:val="24"/>
                <w:lang w:eastAsia="es-MX"/>
              </w:rPr>
              <w:t>20</w:t>
            </w:r>
            <w:r w:rsidR="007A5787" w:rsidRPr="00365884">
              <w:rPr>
                <w:rFonts w:ascii="Calibri" w:eastAsia="Times New Roman" w:hAnsi="Calibri" w:cs="Times New Roman"/>
                <w:b/>
                <w:color w:val="050505"/>
                <w:sz w:val="20"/>
                <w:szCs w:val="24"/>
                <w:lang w:eastAsia="es-MX"/>
              </w:rPr>
              <w:t>2</w:t>
            </w:r>
            <w:r w:rsidR="00B76F35" w:rsidRPr="00365884">
              <w:rPr>
                <w:rFonts w:ascii="Calibri" w:eastAsia="Times New Roman" w:hAnsi="Calibri" w:cs="Times New Roman"/>
                <w:b/>
                <w:color w:val="050505"/>
                <w:sz w:val="20"/>
                <w:szCs w:val="24"/>
                <w:lang w:eastAsia="es-MX"/>
              </w:rPr>
              <w:t>1</w:t>
            </w:r>
            <w:r w:rsidR="00D21B64" w:rsidRPr="00365884">
              <w:rPr>
                <w:rFonts w:ascii="Calibri" w:eastAsia="Times New Roman" w:hAnsi="Calibri" w:cs="Times New Roman"/>
                <w:b/>
                <w:color w:val="050505"/>
                <w:sz w:val="20"/>
                <w:szCs w:val="24"/>
                <w:lang w:eastAsia="es-MX"/>
              </w:rPr>
              <w:t>.</w:t>
            </w:r>
          </w:p>
        </w:tc>
      </w:tr>
      <w:tr w:rsidR="00D21B64" w:rsidRPr="00365884" w14:paraId="24AB7637" w14:textId="77777777" w:rsidTr="00A7502F">
        <w:trPr>
          <w:trHeight w:val="169"/>
          <w:jc w:val="center"/>
        </w:trPr>
        <w:tc>
          <w:tcPr>
            <w:tcW w:w="10921" w:type="dxa"/>
            <w:tcBorders>
              <w:top w:val="nil"/>
            </w:tcBorders>
            <w:shd w:val="clear" w:color="auto" w:fill="auto"/>
            <w:noWrap/>
            <w:vAlign w:val="bottom"/>
          </w:tcPr>
          <w:p w14:paraId="1357A6EC" w14:textId="0E789880" w:rsidR="00D21B64" w:rsidRPr="00365884" w:rsidRDefault="00A7502F" w:rsidP="00365884">
            <w:pPr>
              <w:spacing w:after="0" w:line="240" w:lineRule="auto"/>
              <w:jc w:val="center"/>
              <w:rPr>
                <w:rFonts w:ascii="Calibri" w:eastAsia="Times New Roman" w:hAnsi="Calibri" w:cs="Times New Roman"/>
                <w:color w:val="000000"/>
                <w:sz w:val="18"/>
                <w:szCs w:val="18"/>
                <w:lang w:eastAsia="es-MX"/>
              </w:rPr>
            </w:pPr>
            <w:r w:rsidRPr="00365884">
              <w:rPr>
                <w:noProof/>
              </w:rPr>
              <w:drawing>
                <wp:inline distT="0" distB="0" distL="0" distR="0" wp14:anchorId="437F0F30" wp14:editId="0AF4839D">
                  <wp:extent cx="6466637" cy="1872691"/>
                  <wp:effectExtent l="0" t="0" r="0" b="0"/>
                  <wp:docPr id="1" name="Gráfico 1">
                    <a:extLst xmlns:a="http://schemas.openxmlformats.org/drawingml/2006/main">
                      <a:ext uri="{FF2B5EF4-FFF2-40B4-BE49-F238E27FC236}">
                        <a16:creationId xmlns:a16="http://schemas.microsoft.com/office/drawing/2014/main" id="{5D18A326-E142-4333-A1E9-F6A407929FD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3B5F0CB" w14:textId="1A510985" w:rsidR="008F6975" w:rsidRPr="00365884" w:rsidRDefault="008F6975" w:rsidP="00365884">
      <w:pPr>
        <w:pStyle w:val="Prrafodelista"/>
        <w:spacing w:after="0" w:line="240" w:lineRule="auto"/>
        <w:jc w:val="both"/>
        <w:rPr>
          <w:sz w:val="24"/>
        </w:rPr>
      </w:pPr>
    </w:p>
    <w:p w14:paraId="31E6E37F" w14:textId="60318CA5" w:rsidR="00365884" w:rsidRPr="00365884" w:rsidRDefault="00365884" w:rsidP="00365884">
      <w:pPr>
        <w:pStyle w:val="Prrafodelista"/>
        <w:spacing w:after="0" w:line="240" w:lineRule="auto"/>
        <w:jc w:val="both"/>
        <w:rPr>
          <w:sz w:val="24"/>
        </w:rPr>
      </w:pPr>
    </w:p>
    <w:p w14:paraId="67ED7A31" w14:textId="1C75AB5B" w:rsidR="00365884" w:rsidRPr="00365884" w:rsidRDefault="00365884" w:rsidP="00365884">
      <w:pPr>
        <w:pStyle w:val="Prrafodelista"/>
        <w:spacing w:after="0" w:line="240" w:lineRule="auto"/>
        <w:jc w:val="both"/>
        <w:rPr>
          <w:sz w:val="24"/>
        </w:rPr>
      </w:pPr>
    </w:p>
    <w:p w14:paraId="693B77B4" w14:textId="77777777" w:rsidR="00365884" w:rsidRPr="00365884" w:rsidRDefault="00365884" w:rsidP="00365884">
      <w:pPr>
        <w:pStyle w:val="Prrafodelista"/>
        <w:spacing w:after="0" w:line="240" w:lineRule="auto"/>
        <w:jc w:val="both"/>
        <w:rPr>
          <w:sz w:val="24"/>
        </w:rPr>
      </w:pPr>
    </w:p>
    <w:tbl>
      <w:tblPr>
        <w:tblW w:w="8111" w:type="dxa"/>
        <w:jc w:val="center"/>
        <w:tblLayout w:type="fixed"/>
        <w:tblCellMar>
          <w:left w:w="70" w:type="dxa"/>
          <w:right w:w="70" w:type="dxa"/>
        </w:tblCellMar>
        <w:tblLook w:val="04A0" w:firstRow="1" w:lastRow="0" w:firstColumn="1" w:lastColumn="0" w:noHBand="0" w:noVBand="1"/>
      </w:tblPr>
      <w:tblGrid>
        <w:gridCol w:w="2461"/>
        <w:gridCol w:w="940"/>
        <w:gridCol w:w="941"/>
        <w:gridCol w:w="941"/>
        <w:gridCol w:w="941"/>
        <w:gridCol w:w="941"/>
        <w:gridCol w:w="946"/>
      </w:tblGrid>
      <w:tr w:rsidR="004004ED" w:rsidRPr="00365884" w14:paraId="51889F70" w14:textId="77777777" w:rsidTr="00554CD5">
        <w:trPr>
          <w:trHeight w:val="228"/>
          <w:jc w:val="center"/>
        </w:trPr>
        <w:tc>
          <w:tcPr>
            <w:tcW w:w="8111" w:type="dxa"/>
            <w:gridSpan w:val="7"/>
            <w:tcBorders>
              <w:bottom w:val="single" w:sz="4" w:space="0" w:color="auto"/>
            </w:tcBorders>
            <w:shd w:val="clear" w:color="auto" w:fill="auto"/>
            <w:vAlign w:val="center"/>
          </w:tcPr>
          <w:p w14:paraId="143BB482" w14:textId="3359BBC8" w:rsidR="004004ED" w:rsidRPr="00365884" w:rsidRDefault="004004ED" w:rsidP="00365884">
            <w:pPr>
              <w:spacing w:after="0" w:line="240" w:lineRule="auto"/>
              <w:jc w:val="center"/>
              <w:rPr>
                <w:rFonts w:ascii="Calibri" w:eastAsia="Times New Roman" w:hAnsi="Calibri" w:cs="Calibri"/>
                <w:b/>
                <w:bCs/>
                <w:color w:val="000000"/>
                <w:lang w:eastAsia="es-MX"/>
              </w:rPr>
            </w:pPr>
            <w:r w:rsidRPr="00365884">
              <w:rPr>
                <w:rFonts w:ascii="Calibri" w:eastAsia="Times New Roman" w:hAnsi="Calibri" w:cs="Calibri"/>
                <w:b/>
                <w:bCs/>
                <w:color w:val="000000"/>
                <w:sz w:val="20"/>
                <w:szCs w:val="18"/>
                <w:lang w:eastAsia="es-MX"/>
              </w:rPr>
              <w:t xml:space="preserve">Tabla </w:t>
            </w:r>
            <w:r w:rsidR="00305498" w:rsidRPr="00365884">
              <w:rPr>
                <w:rFonts w:ascii="Calibri" w:eastAsia="Times New Roman" w:hAnsi="Calibri" w:cs="Calibri"/>
                <w:b/>
                <w:bCs/>
                <w:color w:val="000000"/>
                <w:sz w:val="20"/>
                <w:szCs w:val="18"/>
                <w:lang w:eastAsia="es-MX"/>
              </w:rPr>
              <w:t>6</w:t>
            </w:r>
            <w:r w:rsidRPr="00365884">
              <w:rPr>
                <w:rFonts w:ascii="Calibri" w:eastAsia="Times New Roman" w:hAnsi="Calibri" w:cs="Calibri"/>
                <w:b/>
                <w:bCs/>
                <w:color w:val="000000"/>
                <w:sz w:val="20"/>
                <w:szCs w:val="18"/>
                <w:lang w:eastAsia="es-MX"/>
              </w:rPr>
              <w:t xml:space="preserve">. Posición de las universidades mexicanas en el ranking THE mundial, latinoamericana y BRICS &amp; Economías Emergentes, </w:t>
            </w:r>
            <w:r w:rsidR="005A69A8" w:rsidRPr="00365884">
              <w:rPr>
                <w:rFonts w:ascii="Calibri" w:eastAsia="Times New Roman" w:hAnsi="Calibri" w:cs="Calibri"/>
                <w:b/>
                <w:bCs/>
                <w:color w:val="000000"/>
                <w:sz w:val="20"/>
                <w:szCs w:val="18"/>
                <w:lang w:eastAsia="es-MX"/>
              </w:rPr>
              <w:t>2019</w:t>
            </w:r>
            <w:r w:rsidRPr="00365884">
              <w:rPr>
                <w:rFonts w:ascii="Calibri" w:eastAsia="Times New Roman" w:hAnsi="Calibri" w:cs="Calibri"/>
                <w:b/>
                <w:bCs/>
                <w:color w:val="000000"/>
                <w:sz w:val="20"/>
                <w:szCs w:val="18"/>
                <w:lang w:eastAsia="es-MX"/>
              </w:rPr>
              <w:t>-202</w:t>
            </w:r>
            <w:r w:rsidR="005A69A8" w:rsidRPr="00365884">
              <w:rPr>
                <w:rFonts w:ascii="Calibri" w:eastAsia="Times New Roman" w:hAnsi="Calibri" w:cs="Calibri"/>
                <w:b/>
                <w:bCs/>
                <w:color w:val="000000"/>
                <w:sz w:val="20"/>
                <w:szCs w:val="18"/>
                <w:lang w:eastAsia="es-MX"/>
              </w:rPr>
              <w:t>1</w:t>
            </w:r>
            <w:r w:rsidRPr="00365884">
              <w:rPr>
                <w:rFonts w:ascii="Calibri" w:eastAsia="Times New Roman" w:hAnsi="Calibri" w:cs="Calibri"/>
                <w:b/>
                <w:bCs/>
                <w:color w:val="000000"/>
                <w:sz w:val="20"/>
                <w:szCs w:val="18"/>
                <w:lang w:eastAsia="es-MX"/>
              </w:rPr>
              <w:t>.</w:t>
            </w:r>
          </w:p>
        </w:tc>
      </w:tr>
      <w:tr w:rsidR="004004ED" w:rsidRPr="00365884" w14:paraId="31F3EC6D" w14:textId="77777777" w:rsidTr="00554CD5">
        <w:trPr>
          <w:trHeight w:val="228"/>
          <w:jc w:val="center"/>
        </w:trPr>
        <w:tc>
          <w:tcPr>
            <w:tcW w:w="246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077CC0" w14:textId="3909BF1E" w:rsidR="004004ED" w:rsidRPr="00365884" w:rsidRDefault="004004ED" w:rsidP="00365884">
            <w:pPr>
              <w:tabs>
                <w:tab w:val="left" w:pos="690"/>
              </w:tabs>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Indicador</w:t>
            </w:r>
          </w:p>
        </w:tc>
        <w:tc>
          <w:tcPr>
            <w:tcW w:w="2822"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049BE18" w14:textId="77777777" w:rsidR="004004ED" w:rsidRPr="00365884" w:rsidRDefault="004004ED" w:rsidP="00365884">
            <w:pPr>
              <w:tabs>
                <w:tab w:val="left" w:pos="690"/>
              </w:tabs>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UNAM</w:t>
            </w:r>
          </w:p>
        </w:tc>
        <w:tc>
          <w:tcPr>
            <w:tcW w:w="2827" w:type="dxa"/>
            <w:gridSpan w:val="3"/>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80E9196" w14:textId="77777777" w:rsidR="004004ED" w:rsidRPr="00365884" w:rsidRDefault="004004ED" w:rsidP="00365884">
            <w:pPr>
              <w:tabs>
                <w:tab w:val="left" w:pos="690"/>
              </w:tabs>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ITESM</w:t>
            </w:r>
          </w:p>
        </w:tc>
      </w:tr>
      <w:tr w:rsidR="005A69A8" w:rsidRPr="00365884" w14:paraId="05530782" w14:textId="77777777" w:rsidTr="00554CD5">
        <w:trPr>
          <w:trHeight w:val="228"/>
          <w:jc w:val="center"/>
        </w:trPr>
        <w:tc>
          <w:tcPr>
            <w:tcW w:w="24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C1EFA1" w14:textId="77777777" w:rsidR="005A69A8" w:rsidRPr="00365884" w:rsidRDefault="005A69A8" w:rsidP="00365884">
            <w:pPr>
              <w:spacing w:after="0" w:line="240" w:lineRule="auto"/>
              <w:rPr>
                <w:rFonts w:ascii="Calibri" w:eastAsia="Times New Roman" w:hAnsi="Calibri" w:cs="Calibri"/>
                <w:b/>
                <w:bCs/>
                <w:color w:val="000000"/>
                <w:sz w:val="18"/>
                <w:szCs w:val="18"/>
                <w:lang w:eastAsia="es-MX"/>
              </w:rPr>
            </w:pPr>
          </w:p>
        </w:tc>
        <w:tc>
          <w:tcPr>
            <w:tcW w:w="9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C12F21E" w14:textId="1054A451" w:rsidR="005A69A8" w:rsidRPr="00365884" w:rsidRDefault="005A69A8" w:rsidP="00365884">
            <w:pPr>
              <w:spacing w:after="0" w:line="240" w:lineRule="auto"/>
              <w:jc w:val="center"/>
              <w:rPr>
                <w:rFonts w:ascii="Calibri" w:eastAsia="Times New Roman" w:hAnsi="Calibri" w:cs="Calibri"/>
                <w:b/>
                <w:color w:val="000000"/>
                <w:sz w:val="18"/>
                <w:szCs w:val="18"/>
                <w:lang w:eastAsia="es-MX"/>
              </w:rPr>
            </w:pPr>
            <w:r w:rsidRPr="00365884">
              <w:rPr>
                <w:rFonts w:ascii="Calibri" w:eastAsia="Times New Roman" w:hAnsi="Calibri" w:cs="Calibri"/>
                <w:b/>
                <w:color w:val="000000"/>
                <w:sz w:val="18"/>
                <w:szCs w:val="18"/>
                <w:lang w:eastAsia="es-MX"/>
              </w:rPr>
              <w:t>2019</w:t>
            </w: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6DDF41D6" w14:textId="3A4899CA" w:rsidR="005A69A8" w:rsidRPr="00365884" w:rsidRDefault="005A69A8" w:rsidP="00365884">
            <w:pPr>
              <w:spacing w:after="0" w:line="240" w:lineRule="auto"/>
              <w:jc w:val="center"/>
              <w:rPr>
                <w:rFonts w:ascii="Calibri" w:eastAsia="Times New Roman" w:hAnsi="Calibri" w:cs="Calibri"/>
                <w:b/>
                <w:color w:val="000000"/>
                <w:sz w:val="18"/>
                <w:szCs w:val="18"/>
                <w:lang w:eastAsia="es-MX"/>
              </w:rPr>
            </w:pPr>
            <w:r w:rsidRPr="00365884">
              <w:rPr>
                <w:rFonts w:ascii="Calibri" w:eastAsia="Times New Roman" w:hAnsi="Calibri" w:cs="Calibri"/>
                <w:b/>
                <w:color w:val="000000"/>
                <w:sz w:val="18"/>
                <w:szCs w:val="18"/>
                <w:lang w:eastAsia="es-MX"/>
              </w:rPr>
              <w:t>2020</w:t>
            </w: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8ED9FE3" w14:textId="617FF533" w:rsidR="005A69A8" w:rsidRPr="00365884" w:rsidRDefault="005A69A8" w:rsidP="00365884">
            <w:pPr>
              <w:spacing w:after="0" w:line="240" w:lineRule="auto"/>
              <w:jc w:val="center"/>
              <w:rPr>
                <w:rFonts w:ascii="Calibri" w:eastAsia="Times New Roman" w:hAnsi="Calibri" w:cs="Calibri"/>
                <w:b/>
                <w:color w:val="000000"/>
                <w:sz w:val="18"/>
                <w:szCs w:val="18"/>
                <w:lang w:eastAsia="es-MX"/>
              </w:rPr>
            </w:pPr>
            <w:r w:rsidRPr="00365884">
              <w:rPr>
                <w:rFonts w:ascii="Calibri" w:eastAsia="Times New Roman" w:hAnsi="Calibri" w:cs="Calibri"/>
                <w:b/>
                <w:color w:val="000000"/>
                <w:sz w:val="18"/>
                <w:szCs w:val="18"/>
                <w:lang w:eastAsia="es-MX"/>
              </w:rPr>
              <w:t>2021</w:t>
            </w: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3F1B85BB" w14:textId="70F4A0F5" w:rsidR="005A69A8" w:rsidRPr="00365884" w:rsidRDefault="005A69A8" w:rsidP="00365884">
            <w:pPr>
              <w:spacing w:after="0" w:line="240" w:lineRule="auto"/>
              <w:jc w:val="center"/>
              <w:rPr>
                <w:rFonts w:ascii="Calibri" w:eastAsia="Times New Roman" w:hAnsi="Calibri" w:cs="Calibri"/>
                <w:b/>
                <w:color w:val="000000"/>
                <w:sz w:val="18"/>
                <w:szCs w:val="18"/>
                <w:lang w:eastAsia="es-MX"/>
              </w:rPr>
            </w:pPr>
            <w:r w:rsidRPr="00365884">
              <w:rPr>
                <w:rFonts w:ascii="Calibri" w:eastAsia="Times New Roman" w:hAnsi="Calibri" w:cs="Calibri"/>
                <w:b/>
                <w:color w:val="000000"/>
                <w:sz w:val="18"/>
                <w:szCs w:val="18"/>
                <w:lang w:eastAsia="es-MX"/>
              </w:rPr>
              <w:t>2019</w:t>
            </w: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1DE62E9A" w14:textId="04EABBC0" w:rsidR="005A69A8" w:rsidRPr="00365884" w:rsidRDefault="005A69A8" w:rsidP="00365884">
            <w:pPr>
              <w:spacing w:after="0" w:line="240" w:lineRule="auto"/>
              <w:jc w:val="center"/>
              <w:rPr>
                <w:rFonts w:ascii="Calibri" w:eastAsia="Times New Roman" w:hAnsi="Calibri" w:cs="Calibri"/>
                <w:b/>
                <w:color w:val="000000"/>
                <w:sz w:val="18"/>
                <w:szCs w:val="18"/>
                <w:lang w:eastAsia="es-MX"/>
              </w:rPr>
            </w:pPr>
            <w:r w:rsidRPr="00365884">
              <w:rPr>
                <w:rFonts w:ascii="Calibri" w:eastAsia="Times New Roman" w:hAnsi="Calibri" w:cs="Calibri"/>
                <w:b/>
                <w:color w:val="000000"/>
                <w:sz w:val="18"/>
                <w:szCs w:val="18"/>
                <w:lang w:eastAsia="es-MX"/>
              </w:rPr>
              <w:t>2020</w:t>
            </w:r>
          </w:p>
        </w:tc>
        <w:tc>
          <w:tcPr>
            <w:tcW w:w="945"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296915B" w14:textId="4DC612C3" w:rsidR="005A69A8" w:rsidRPr="00365884" w:rsidRDefault="005A69A8" w:rsidP="00365884">
            <w:pPr>
              <w:spacing w:after="0" w:line="240" w:lineRule="auto"/>
              <w:jc w:val="center"/>
              <w:rPr>
                <w:rFonts w:ascii="Calibri" w:eastAsia="Times New Roman" w:hAnsi="Calibri" w:cs="Calibri"/>
                <w:b/>
                <w:color w:val="000000"/>
                <w:sz w:val="18"/>
                <w:szCs w:val="18"/>
                <w:lang w:eastAsia="es-MX"/>
              </w:rPr>
            </w:pPr>
            <w:r w:rsidRPr="00365884">
              <w:rPr>
                <w:rFonts w:ascii="Calibri" w:eastAsia="Times New Roman" w:hAnsi="Calibri" w:cs="Calibri"/>
                <w:b/>
                <w:color w:val="000000"/>
                <w:sz w:val="18"/>
                <w:szCs w:val="18"/>
                <w:lang w:eastAsia="es-MX"/>
              </w:rPr>
              <w:t>2021</w:t>
            </w:r>
          </w:p>
        </w:tc>
      </w:tr>
      <w:tr w:rsidR="005A69A8" w:rsidRPr="00365884" w14:paraId="35BBE01C" w14:textId="77777777" w:rsidTr="00554CD5">
        <w:trPr>
          <w:trHeight w:val="22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3C996" w14:textId="50D98C75" w:rsidR="005A69A8" w:rsidRPr="00365884" w:rsidRDefault="005A69A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Posición</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964A5" w14:textId="37597690"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93</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6F006" w14:textId="7E26457B"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120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2E72D" w14:textId="1D44715A"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129</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1B90BF" w14:textId="541B95EE"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90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CE2B4" w14:textId="4153BCFA"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115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1DBD9" w14:textId="4485A3C7"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131</w:t>
            </w:r>
          </w:p>
        </w:tc>
      </w:tr>
      <w:tr w:rsidR="005A69A8" w:rsidRPr="00365884" w14:paraId="0B82BB90" w14:textId="77777777" w:rsidTr="00554CD5">
        <w:trPr>
          <w:trHeight w:val="228"/>
          <w:jc w:val="center"/>
        </w:trPr>
        <w:tc>
          <w:tcPr>
            <w:tcW w:w="24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03916891" w14:textId="01D2138B" w:rsidR="005A69A8" w:rsidRPr="00365884" w:rsidRDefault="005A69A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Puntaje General</w:t>
            </w:r>
          </w:p>
        </w:tc>
        <w:tc>
          <w:tcPr>
            <w:tcW w:w="9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7C6546B5" w14:textId="65BD524D"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31.7</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54568B42" w14:textId="2B0B2E30"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33</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7294669" w14:textId="66F7B596"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32.9</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57EDF0C" w14:textId="55E8E4C8"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32.7</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0F3F8BFB" w14:textId="629D9E2D"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33.2</w:t>
            </w:r>
          </w:p>
        </w:tc>
        <w:tc>
          <w:tcPr>
            <w:tcW w:w="9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13E9CDA4" w14:textId="53CA162A"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32.8</w:t>
            </w:r>
          </w:p>
        </w:tc>
      </w:tr>
      <w:tr w:rsidR="005A69A8" w:rsidRPr="00365884" w14:paraId="1AF65525" w14:textId="77777777" w:rsidTr="00554CD5">
        <w:trPr>
          <w:trHeight w:val="22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23285" w14:textId="22A460AB" w:rsidR="005A69A8" w:rsidRPr="00365884" w:rsidRDefault="005A69A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Docencia</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8DC6E" w14:textId="47FE26A4"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32.6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6D1FB5" w14:textId="7C1D31AC"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31.9</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641FC" w14:textId="07079A5C"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31.2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FE5B95" w14:textId="0AC11FBB"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0C207F" w14:textId="2DEAED93"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20.5</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4778E9" w14:textId="28A8F36D"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20.3</w:t>
            </w:r>
          </w:p>
        </w:tc>
      </w:tr>
      <w:tr w:rsidR="005A69A8" w:rsidRPr="00365884" w14:paraId="60F5D920" w14:textId="77777777" w:rsidTr="00554CD5">
        <w:trPr>
          <w:trHeight w:val="228"/>
          <w:jc w:val="center"/>
        </w:trPr>
        <w:tc>
          <w:tcPr>
            <w:tcW w:w="24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72D1F64" w14:textId="5A39993F" w:rsidR="005A69A8" w:rsidRPr="00365884" w:rsidRDefault="005A69A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Investigación</w:t>
            </w:r>
          </w:p>
        </w:tc>
        <w:tc>
          <w:tcPr>
            <w:tcW w:w="9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91A2CF3" w14:textId="49B96D19"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28.1</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C3B363A" w14:textId="699B4254"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30.4</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69C21A5" w14:textId="044C8016"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29.5</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EC370DC" w14:textId="748F59F6"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16.1</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ACD916C" w14:textId="3A7B2981"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18.2</w:t>
            </w:r>
          </w:p>
        </w:tc>
        <w:tc>
          <w:tcPr>
            <w:tcW w:w="9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B50AC7B" w14:textId="21F40C83"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17.6</w:t>
            </w:r>
          </w:p>
        </w:tc>
      </w:tr>
      <w:tr w:rsidR="005A69A8" w:rsidRPr="00365884" w14:paraId="14ECA106" w14:textId="77777777" w:rsidTr="00554CD5">
        <w:trPr>
          <w:trHeight w:val="22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796F0" w14:textId="48E6CC27" w:rsidR="005A69A8" w:rsidRPr="00365884" w:rsidRDefault="005A69A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 xml:space="preserve">Citas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8647C3" w14:textId="05DA913B"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19.2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BBDC2" w14:textId="2D02319E"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18.9</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BA4FA" w14:textId="4836422E"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18.2</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64DB12" w14:textId="2A90BE7B"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39.8</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5099E" w14:textId="0DE833B4"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41.8</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EE88F" w14:textId="20142AA7"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45.4</w:t>
            </w:r>
          </w:p>
        </w:tc>
      </w:tr>
      <w:tr w:rsidR="005A69A8" w:rsidRPr="00365884" w14:paraId="587C655E" w14:textId="77777777" w:rsidTr="00554CD5">
        <w:trPr>
          <w:trHeight w:val="228"/>
          <w:jc w:val="center"/>
        </w:trPr>
        <w:tc>
          <w:tcPr>
            <w:tcW w:w="2461"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54EA2C62" w14:textId="0B4A0918" w:rsidR="005A69A8" w:rsidRPr="00365884" w:rsidRDefault="005A69A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Perspectiva internacional</w:t>
            </w:r>
          </w:p>
        </w:tc>
        <w:tc>
          <w:tcPr>
            <w:tcW w:w="9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36B59733" w14:textId="6495B8FF"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40.6</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F765312" w14:textId="5EE70A1E"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44.3</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295DC7AF" w14:textId="607C07EC"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49.7</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0DC25F04" w14:textId="40B50D3A"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60.1</w:t>
            </w:r>
          </w:p>
        </w:tc>
        <w:tc>
          <w:tcPr>
            <w:tcW w:w="94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74C3D924" w14:textId="7CC94BA0"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57.6</w:t>
            </w:r>
          </w:p>
        </w:tc>
        <w:tc>
          <w:tcPr>
            <w:tcW w:w="9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86E3F3A" w14:textId="516725FF"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57.5</w:t>
            </w:r>
          </w:p>
        </w:tc>
      </w:tr>
      <w:tr w:rsidR="005A69A8" w:rsidRPr="00365884" w14:paraId="24AB2702" w14:textId="77777777" w:rsidTr="00554CD5">
        <w:trPr>
          <w:trHeight w:val="228"/>
          <w:jc w:val="center"/>
        </w:trPr>
        <w:tc>
          <w:tcPr>
            <w:tcW w:w="2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9A40F" w14:textId="1910B133" w:rsidR="005A69A8" w:rsidRPr="00365884" w:rsidRDefault="005A69A8" w:rsidP="00365884">
            <w:pPr>
              <w:spacing w:after="0" w:line="240" w:lineRule="auto"/>
              <w:rPr>
                <w:rFonts w:ascii="Calibri" w:eastAsia="Times New Roman" w:hAnsi="Calibri" w:cs="Calibri"/>
                <w:color w:val="000000"/>
                <w:sz w:val="18"/>
                <w:szCs w:val="18"/>
                <w:lang w:eastAsia="es-MX"/>
              </w:rPr>
            </w:pPr>
            <w:r w:rsidRPr="00365884">
              <w:rPr>
                <w:rFonts w:ascii="Calibri" w:hAnsi="Calibri" w:cs="Calibri"/>
                <w:color w:val="000000"/>
                <w:sz w:val="18"/>
                <w:szCs w:val="18"/>
              </w:rPr>
              <w:t xml:space="preserve">Financiamiento de la industria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7B648" w14:textId="1148DF93"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55.7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8B209" w14:textId="33B5C107"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61.7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2E0DC" w14:textId="5EBAECFA"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60.6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90661" w14:textId="7D297EA0"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73.5</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68264" w14:textId="3BEBBBE8"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74.7</w:t>
            </w:r>
          </w:p>
        </w:tc>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951749" w14:textId="5D948FD1" w:rsidR="005A69A8" w:rsidRPr="00365884" w:rsidRDefault="005A69A8"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66</w:t>
            </w:r>
          </w:p>
        </w:tc>
      </w:tr>
    </w:tbl>
    <w:p w14:paraId="6701E8D5" w14:textId="77777777" w:rsidR="004004ED" w:rsidRPr="00365884" w:rsidRDefault="004004ED" w:rsidP="00365884">
      <w:pPr>
        <w:pStyle w:val="Prrafodelista"/>
        <w:spacing w:after="0" w:line="240" w:lineRule="auto"/>
        <w:jc w:val="both"/>
        <w:rPr>
          <w:sz w:val="24"/>
        </w:rPr>
      </w:pPr>
    </w:p>
    <w:p w14:paraId="295C7191" w14:textId="77777777" w:rsidR="00DF0A33" w:rsidRPr="00365884" w:rsidRDefault="00DF0A33" w:rsidP="00365884">
      <w:pPr>
        <w:pStyle w:val="Prrafodelista"/>
        <w:spacing w:after="0" w:line="240" w:lineRule="auto"/>
        <w:jc w:val="both"/>
        <w:rPr>
          <w:b/>
          <w:sz w:val="24"/>
        </w:rPr>
      </w:pPr>
      <w:r w:rsidRPr="00365884">
        <w:rPr>
          <w:b/>
          <w:sz w:val="24"/>
        </w:rPr>
        <w:t>Comportamiento de la UNAM</w:t>
      </w:r>
    </w:p>
    <w:p w14:paraId="09A9AA8A" w14:textId="3F777434" w:rsidR="00D406FF" w:rsidRPr="00365884" w:rsidRDefault="00D406FF" w:rsidP="00365884">
      <w:pPr>
        <w:pStyle w:val="Prrafodelista"/>
        <w:numPr>
          <w:ilvl w:val="0"/>
          <w:numId w:val="1"/>
        </w:numPr>
        <w:spacing w:after="0" w:line="240" w:lineRule="auto"/>
        <w:rPr>
          <w:sz w:val="24"/>
        </w:rPr>
      </w:pPr>
      <w:r w:rsidRPr="00365884">
        <w:rPr>
          <w:sz w:val="24"/>
        </w:rPr>
        <w:t xml:space="preserve">La UNAM descendió </w:t>
      </w:r>
      <w:r w:rsidR="00445700" w:rsidRPr="00365884">
        <w:rPr>
          <w:sz w:val="24"/>
        </w:rPr>
        <w:t xml:space="preserve">9 </w:t>
      </w:r>
      <w:r w:rsidRPr="00365884">
        <w:rPr>
          <w:sz w:val="24"/>
        </w:rPr>
        <w:t xml:space="preserve">posiciones al pasar del lugar </w:t>
      </w:r>
      <w:r w:rsidR="00445700" w:rsidRPr="00365884">
        <w:rPr>
          <w:sz w:val="24"/>
        </w:rPr>
        <w:t xml:space="preserve">120 </w:t>
      </w:r>
      <w:r w:rsidRPr="00365884">
        <w:rPr>
          <w:sz w:val="24"/>
        </w:rPr>
        <w:t xml:space="preserve">en la edición </w:t>
      </w:r>
      <w:r w:rsidR="00445700" w:rsidRPr="00365884">
        <w:rPr>
          <w:sz w:val="24"/>
        </w:rPr>
        <w:t xml:space="preserve">2020 </w:t>
      </w:r>
      <w:r w:rsidRPr="00365884">
        <w:rPr>
          <w:sz w:val="24"/>
        </w:rPr>
        <w:t xml:space="preserve">al </w:t>
      </w:r>
      <w:r w:rsidR="00445700" w:rsidRPr="00365884">
        <w:rPr>
          <w:sz w:val="24"/>
        </w:rPr>
        <w:t xml:space="preserve">129 </w:t>
      </w:r>
      <w:r w:rsidRPr="00365884">
        <w:rPr>
          <w:sz w:val="24"/>
        </w:rPr>
        <w:t xml:space="preserve">en </w:t>
      </w:r>
      <w:r w:rsidR="00445700" w:rsidRPr="00365884">
        <w:rPr>
          <w:sz w:val="24"/>
        </w:rPr>
        <w:t>2021</w:t>
      </w:r>
      <w:r w:rsidR="00C20696" w:rsidRPr="00365884">
        <w:rPr>
          <w:sz w:val="24"/>
        </w:rPr>
        <w:t>.</w:t>
      </w:r>
    </w:p>
    <w:p w14:paraId="18491A86" w14:textId="1D1C8AE9" w:rsidR="00C05526" w:rsidRPr="00365884" w:rsidRDefault="00D406FF" w:rsidP="00365884">
      <w:pPr>
        <w:pStyle w:val="Prrafodelista"/>
        <w:numPr>
          <w:ilvl w:val="0"/>
          <w:numId w:val="1"/>
        </w:numPr>
        <w:spacing w:after="0" w:line="240" w:lineRule="auto"/>
        <w:jc w:val="both"/>
        <w:rPr>
          <w:sz w:val="24"/>
        </w:rPr>
      </w:pPr>
      <w:r w:rsidRPr="00365884">
        <w:rPr>
          <w:sz w:val="24"/>
        </w:rPr>
        <w:t xml:space="preserve">Se presentó un incremento de </w:t>
      </w:r>
      <w:r w:rsidR="00C05526" w:rsidRPr="00365884">
        <w:rPr>
          <w:sz w:val="24"/>
        </w:rPr>
        <w:t xml:space="preserve">5.4 </w:t>
      </w:r>
      <w:r w:rsidRPr="00365884">
        <w:rPr>
          <w:sz w:val="24"/>
        </w:rPr>
        <w:t xml:space="preserve">puntos en el </w:t>
      </w:r>
      <w:r w:rsidR="00C05526" w:rsidRPr="00365884">
        <w:rPr>
          <w:sz w:val="24"/>
        </w:rPr>
        <w:t>indicador de Perspectiva Internacional.</w:t>
      </w:r>
    </w:p>
    <w:p w14:paraId="47297C93" w14:textId="3278C421" w:rsidR="00D406FF" w:rsidRPr="00365884" w:rsidRDefault="00C05526" w:rsidP="00365884">
      <w:pPr>
        <w:pStyle w:val="Prrafodelista"/>
        <w:numPr>
          <w:ilvl w:val="0"/>
          <w:numId w:val="1"/>
        </w:numPr>
        <w:spacing w:after="0" w:line="240" w:lineRule="auto"/>
        <w:jc w:val="both"/>
        <w:rPr>
          <w:sz w:val="24"/>
        </w:rPr>
      </w:pPr>
      <w:r w:rsidRPr="00365884">
        <w:rPr>
          <w:sz w:val="24"/>
        </w:rPr>
        <w:t>Con respecto a la edición anterior, el resto de los rubros han presentado decrementos que oscilan entre 0.1 y 1.1 puntos</w:t>
      </w:r>
      <w:r w:rsidR="00D406FF" w:rsidRPr="00365884">
        <w:rPr>
          <w:sz w:val="24"/>
        </w:rPr>
        <w:t>.</w:t>
      </w:r>
    </w:p>
    <w:p w14:paraId="45F55843" w14:textId="77777777" w:rsidR="00224F4B" w:rsidRPr="00365884" w:rsidRDefault="00224F4B" w:rsidP="00365884">
      <w:pPr>
        <w:pStyle w:val="Prrafodelista"/>
        <w:spacing w:after="0" w:line="240" w:lineRule="auto"/>
        <w:jc w:val="both"/>
        <w:rPr>
          <w:sz w:val="24"/>
        </w:rPr>
      </w:pPr>
    </w:p>
    <w:tbl>
      <w:tblPr>
        <w:tblW w:w="8109" w:type="dxa"/>
        <w:tblInd w:w="709" w:type="dxa"/>
        <w:tblLayout w:type="fixed"/>
        <w:tblCellMar>
          <w:left w:w="70" w:type="dxa"/>
          <w:right w:w="70" w:type="dxa"/>
        </w:tblCellMar>
        <w:tblLook w:val="04A0" w:firstRow="1" w:lastRow="0" w:firstColumn="1" w:lastColumn="0" w:noHBand="0" w:noVBand="1"/>
      </w:tblPr>
      <w:tblGrid>
        <w:gridCol w:w="655"/>
        <w:gridCol w:w="961"/>
        <w:gridCol w:w="962"/>
        <w:gridCol w:w="962"/>
        <w:gridCol w:w="1138"/>
        <w:gridCol w:w="911"/>
        <w:gridCol w:w="1135"/>
        <w:gridCol w:w="1385"/>
      </w:tblGrid>
      <w:tr w:rsidR="00BF7CB0" w:rsidRPr="00365884" w14:paraId="0381C689" w14:textId="77777777" w:rsidTr="00554CD5">
        <w:trPr>
          <w:trHeight w:val="217"/>
        </w:trPr>
        <w:tc>
          <w:tcPr>
            <w:tcW w:w="8109" w:type="dxa"/>
            <w:gridSpan w:val="8"/>
            <w:tcBorders>
              <w:top w:val="nil"/>
              <w:left w:val="nil"/>
              <w:bottom w:val="single" w:sz="4" w:space="0" w:color="auto"/>
              <w:right w:val="nil"/>
            </w:tcBorders>
            <w:shd w:val="clear" w:color="auto" w:fill="auto"/>
            <w:noWrap/>
            <w:vAlign w:val="center"/>
            <w:hideMark/>
          </w:tcPr>
          <w:p w14:paraId="2E4761DA" w14:textId="67D35409" w:rsidR="00BF7CB0" w:rsidRPr="00365884" w:rsidRDefault="00BF7CB0" w:rsidP="00365884">
            <w:pPr>
              <w:spacing w:after="0" w:line="240" w:lineRule="auto"/>
              <w:jc w:val="center"/>
              <w:rPr>
                <w:rFonts w:ascii="Calibri" w:eastAsia="Times New Roman" w:hAnsi="Calibri" w:cs="Times New Roman"/>
                <w:b/>
                <w:color w:val="050505"/>
                <w:sz w:val="20"/>
                <w:szCs w:val="24"/>
                <w:lang w:eastAsia="es-MX"/>
              </w:rPr>
            </w:pPr>
            <w:r w:rsidRPr="00365884">
              <w:rPr>
                <w:rFonts w:ascii="Calibri" w:eastAsia="Times New Roman" w:hAnsi="Calibri" w:cs="Times New Roman"/>
                <w:b/>
                <w:color w:val="050505"/>
                <w:sz w:val="20"/>
                <w:szCs w:val="24"/>
                <w:lang w:eastAsia="es-MX"/>
              </w:rPr>
              <w:t xml:space="preserve">Tabla </w:t>
            </w:r>
            <w:r w:rsidR="00305498" w:rsidRPr="00365884">
              <w:rPr>
                <w:rFonts w:ascii="Calibri" w:eastAsia="Times New Roman" w:hAnsi="Calibri" w:cs="Times New Roman"/>
                <w:b/>
                <w:color w:val="050505"/>
                <w:sz w:val="20"/>
                <w:szCs w:val="24"/>
                <w:lang w:eastAsia="es-MX"/>
              </w:rPr>
              <w:t>7</w:t>
            </w:r>
            <w:r w:rsidRPr="00365884">
              <w:rPr>
                <w:rFonts w:ascii="Calibri" w:eastAsia="Times New Roman" w:hAnsi="Calibri" w:cs="Times New Roman"/>
                <w:b/>
                <w:color w:val="050505"/>
                <w:sz w:val="20"/>
                <w:szCs w:val="24"/>
                <w:lang w:eastAsia="es-MX"/>
              </w:rPr>
              <w:t>. Desempeño de la UNAM en los indicadores del ranking THE BRICS y Economías Emergentes, 201</w:t>
            </w:r>
            <w:r w:rsidR="00224F4B" w:rsidRPr="00365884">
              <w:rPr>
                <w:rFonts w:ascii="Calibri" w:eastAsia="Times New Roman" w:hAnsi="Calibri" w:cs="Times New Roman"/>
                <w:b/>
                <w:color w:val="050505"/>
                <w:sz w:val="20"/>
                <w:szCs w:val="24"/>
                <w:lang w:eastAsia="es-MX"/>
              </w:rPr>
              <w:t>7</w:t>
            </w:r>
            <w:r w:rsidRPr="00365884">
              <w:rPr>
                <w:rFonts w:ascii="Calibri" w:eastAsia="Times New Roman" w:hAnsi="Calibri" w:cs="Times New Roman"/>
                <w:b/>
                <w:color w:val="050505"/>
                <w:sz w:val="20"/>
                <w:szCs w:val="24"/>
                <w:lang w:eastAsia="es-MX"/>
              </w:rPr>
              <w:t>-202</w:t>
            </w:r>
            <w:r w:rsidR="00224F4B" w:rsidRPr="00365884">
              <w:rPr>
                <w:rFonts w:ascii="Calibri" w:eastAsia="Times New Roman" w:hAnsi="Calibri" w:cs="Times New Roman"/>
                <w:b/>
                <w:color w:val="050505"/>
                <w:sz w:val="20"/>
                <w:szCs w:val="24"/>
                <w:lang w:eastAsia="es-MX"/>
              </w:rPr>
              <w:t>1</w:t>
            </w:r>
            <w:r w:rsidRPr="00365884">
              <w:rPr>
                <w:rFonts w:ascii="Calibri" w:eastAsia="Times New Roman" w:hAnsi="Calibri" w:cs="Times New Roman"/>
                <w:b/>
                <w:color w:val="050505"/>
                <w:sz w:val="20"/>
                <w:szCs w:val="24"/>
                <w:lang w:eastAsia="es-MX"/>
              </w:rPr>
              <w:t>.</w:t>
            </w:r>
          </w:p>
        </w:tc>
      </w:tr>
      <w:tr w:rsidR="00BF7CB0" w:rsidRPr="00365884" w14:paraId="35565799" w14:textId="77777777" w:rsidTr="00554CD5">
        <w:trPr>
          <w:trHeight w:val="371"/>
        </w:trPr>
        <w:tc>
          <w:tcPr>
            <w:tcW w:w="655" w:type="dxa"/>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4AA1D2F" w14:textId="77777777" w:rsidR="00BF7CB0" w:rsidRPr="00365884" w:rsidRDefault="00BF7CB0"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Año</w:t>
            </w:r>
          </w:p>
        </w:tc>
        <w:tc>
          <w:tcPr>
            <w:tcW w:w="961" w:type="dxa"/>
            <w:tcBorders>
              <w:top w:val="nil"/>
              <w:left w:val="nil"/>
              <w:bottom w:val="single" w:sz="4" w:space="0" w:color="auto"/>
              <w:right w:val="single" w:sz="4" w:space="0" w:color="auto"/>
            </w:tcBorders>
            <w:shd w:val="clear" w:color="auto" w:fill="BDD6EE" w:themeFill="accent1" w:themeFillTint="66"/>
            <w:vAlign w:val="center"/>
            <w:hideMark/>
          </w:tcPr>
          <w:p w14:paraId="2D2E5C62" w14:textId="77777777" w:rsidR="00BF7CB0" w:rsidRPr="00365884" w:rsidRDefault="00BF7CB0"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Posición</w:t>
            </w:r>
          </w:p>
        </w:tc>
        <w:tc>
          <w:tcPr>
            <w:tcW w:w="962" w:type="dxa"/>
            <w:tcBorders>
              <w:top w:val="nil"/>
              <w:left w:val="nil"/>
              <w:bottom w:val="single" w:sz="4" w:space="0" w:color="auto"/>
              <w:right w:val="single" w:sz="4" w:space="0" w:color="auto"/>
            </w:tcBorders>
            <w:shd w:val="clear" w:color="auto" w:fill="BDD6EE" w:themeFill="accent1" w:themeFillTint="66"/>
            <w:vAlign w:val="center"/>
            <w:hideMark/>
          </w:tcPr>
          <w:p w14:paraId="669AD9F1" w14:textId="77777777" w:rsidR="00BF7CB0" w:rsidRPr="00365884" w:rsidRDefault="00BF7CB0"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Puntaje General</w:t>
            </w:r>
          </w:p>
        </w:tc>
        <w:tc>
          <w:tcPr>
            <w:tcW w:w="962" w:type="dxa"/>
            <w:tcBorders>
              <w:top w:val="nil"/>
              <w:left w:val="nil"/>
              <w:bottom w:val="single" w:sz="4" w:space="0" w:color="auto"/>
              <w:right w:val="single" w:sz="4" w:space="0" w:color="auto"/>
            </w:tcBorders>
            <w:shd w:val="clear" w:color="auto" w:fill="BDD6EE" w:themeFill="accent1" w:themeFillTint="66"/>
            <w:vAlign w:val="center"/>
            <w:hideMark/>
          </w:tcPr>
          <w:p w14:paraId="5DA7D12F" w14:textId="77777777" w:rsidR="00BF7CB0" w:rsidRPr="00365884" w:rsidRDefault="00BF7CB0"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Docencia</w:t>
            </w:r>
          </w:p>
        </w:tc>
        <w:tc>
          <w:tcPr>
            <w:tcW w:w="1138" w:type="dxa"/>
            <w:tcBorders>
              <w:top w:val="nil"/>
              <w:left w:val="nil"/>
              <w:bottom w:val="single" w:sz="4" w:space="0" w:color="auto"/>
              <w:right w:val="single" w:sz="4" w:space="0" w:color="auto"/>
            </w:tcBorders>
            <w:shd w:val="clear" w:color="auto" w:fill="BDD6EE" w:themeFill="accent1" w:themeFillTint="66"/>
            <w:vAlign w:val="center"/>
            <w:hideMark/>
          </w:tcPr>
          <w:p w14:paraId="0A10E1BA" w14:textId="77777777" w:rsidR="00BF7CB0" w:rsidRPr="00365884" w:rsidRDefault="00BF7CB0"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Investigación</w:t>
            </w:r>
          </w:p>
        </w:tc>
        <w:tc>
          <w:tcPr>
            <w:tcW w:w="911" w:type="dxa"/>
            <w:tcBorders>
              <w:top w:val="nil"/>
              <w:left w:val="nil"/>
              <w:bottom w:val="single" w:sz="4" w:space="0" w:color="auto"/>
              <w:right w:val="single" w:sz="4" w:space="0" w:color="auto"/>
            </w:tcBorders>
            <w:shd w:val="clear" w:color="auto" w:fill="BDD6EE" w:themeFill="accent1" w:themeFillTint="66"/>
            <w:vAlign w:val="center"/>
            <w:hideMark/>
          </w:tcPr>
          <w:p w14:paraId="44B05464" w14:textId="77777777" w:rsidR="00BF7CB0" w:rsidRPr="00365884" w:rsidRDefault="00BF7CB0"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Citas</w:t>
            </w:r>
          </w:p>
        </w:tc>
        <w:tc>
          <w:tcPr>
            <w:tcW w:w="1135" w:type="dxa"/>
            <w:tcBorders>
              <w:top w:val="nil"/>
              <w:left w:val="nil"/>
              <w:bottom w:val="single" w:sz="4" w:space="0" w:color="auto"/>
              <w:right w:val="single" w:sz="4" w:space="0" w:color="auto"/>
            </w:tcBorders>
            <w:shd w:val="clear" w:color="auto" w:fill="BDD6EE" w:themeFill="accent1" w:themeFillTint="66"/>
            <w:vAlign w:val="center"/>
            <w:hideMark/>
          </w:tcPr>
          <w:p w14:paraId="3BA26688" w14:textId="77777777" w:rsidR="00BF7CB0" w:rsidRPr="00365884" w:rsidRDefault="00BF7CB0"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Perspectiva internacional</w:t>
            </w:r>
          </w:p>
        </w:tc>
        <w:tc>
          <w:tcPr>
            <w:tcW w:w="1385" w:type="dxa"/>
            <w:tcBorders>
              <w:top w:val="nil"/>
              <w:left w:val="nil"/>
              <w:bottom w:val="single" w:sz="4" w:space="0" w:color="auto"/>
              <w:right w:val="single" w:sz="4" w:space="0" w:color="auto"/>
            </w:tcBorders>
            <w:shd w:val="clear" w:color="auto" w:fill="BDD6EE" w:themeFill="accent1" w:themeFillTint="66"/>
            <w:vAlign w:val="center"/>
            <w:hideMark/>
          </w:tcPr>
          <w:p w14:paraId="60443FF4" w14:textId="77777777" w:rsidR="00BF7CB0" w:rsidRPr="00365884" w:rsidRDefault="00BF7CB0" w:rsidP="00365884">
            <w:pPr>
              <w:spacing w:after="0" w:line="240" w:lineRule="auto"/>
              <w:jc w:val="center"/>
              <w:rPr>
                <w:rFonts w:ascii="Calibri" w:eastAsia="Times New Roman" w:hAnsi="Calibri" w:cs="Calibri"/>
                <w:b/>
                <w:bCs/>
                <w:color w:val="000000"/>
                <w:sz w:val="18"/>
                <w:szCs w:val="18"/>
                <w:lang w:eastAsia="es-MX"/>
              </w:rPr>
            </w:pPr>
            <w:r w:rsidRPr="00365884">
              <w:rPr>
                <w:rFonts w:ascii="Calibri" w:eastAsia="Times New Roman" w:hAnsi="Calibri" w:cs="Calibri"/>
                <w:b/>
                <w:bCs/>
                <w:color w:val="000000"/>
                <w:sz w:val="18"/>
                <w:szCs w:val="18"/>
                <w:lang w:eastAsia="es-MX"/>
              </w:rPr>
              <w:t>Financiamiento de la industria</w:t>
            </w:r>
          </w:p>
        </w:tc>
      </w:tr>
      <w:tr w:rsidR="00224F4B" w:rsidRPr="00365884" w14:paraId="33B505EA" w14:textId="77777777" w:rsidTr="00554CD5">
        <w:trPr>
          <w:trHeight w:val="185"/>
        </w:trPr>
        <w:tc>
          <w:tcPr>
            <w:tcW w:w="655" w:type="dxa"/>
            <w:tcBorders>
              <w:top w:val="nil"/>
              <w:left w:val="single" w:sz="4" w:space="0" w:color="auto"/>
              <w:bottom w:val="single" w:sz="4" w:space="0" w:color="auto"/>
              <w:right w:val="single" w:sz="4" w:space="0" w:color="auto"/>
            </w:tcBorders>
            <w:shd w:val="clear" w:color="auto" w:fill="auto"/>
            <w:noWrap/>
            <w:vAlign w:val="bottom"/>
          </w:tcPr>
          <w:p w14:paraId="4C6B47E5" w14:textId="12B22F39"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2017</w:t>
            </w:r>
          </w:p>
        </w:tc>
        <w:tc>
          <w:tcPr>
            <w:tcW w:w="961" w:type="dxa"/>
            <w:tcBorders>
              <w:top w:val="nil"/>
              <w:left w:val="nil"/>
              <w:bottom w:val="single" w:sz="4" w:space="0" w:color="auto"/>
              <w:right w:val="single" w:sz="4" w:space="0" w:color="auto"/>
            </w:tcBorders>
            <w:shd w:val="clear" w:color="auto" w:fill="auto"/>
            <w:noWrap/>
            <w:vAlign w:val="bottom"/>
          </w:tcPr>
          <w:p w14:paraId="4AB208B0" w14:textId="58CA5C92"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46</w:t>
            </w:r>
          </w:p>
        </w:tc>
        <w:tc>
          <w:tcPr>
            <w:tcW w:w="962" w:type="dxa"/>
            <w:tcBorders>
              <w:top w:val="nil"/>
              <w:left w:val="nil"/>
              <w:bottom w:val="single" w:sz="4" w:space="0" w:color="auto"/>
              <w:right w:val="single" w:sz="4" w:space="0" w:color="auto"/>
            </w:tcBorders>
            <w:shd w:val="clear" w:color="auto" w:fill="auto"/>
            <w:noWrap/>
            <w:vAlign w:val="bottom"/>
          </w:tcPr>
          <w:p w14:paraId="2B042261" w14:textId="664E3616"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34.2</w:t>
            </w:r>
          </w:p>
        </w:tc>
        <w:tc>
          <w:tcPr>
            <w:tcW w:w="962" w:type="dxa"/>
            <w:tcBorders>
              <w:top w:val="nil"/>
              <w:left w:val="nil"/>
              <w:bottom w:val="single" w:sz="4" w:space="0" w:color="auto"/>
              <w:right w:val="single" w:sz="4" w:space="0" w:color="auto"/>
            </w:tcBorders>
            <w:shd w:val="clear" w:color="auto" w:fill="auto"/>
            <w:noWrap/>
            <w:vAlign w:val="center"/>
          </w:tcPr>
          <w:p w14:paraId="58A79FEE" w14:textId="617DDD28"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36.8</w:t>
            </w:r>
          </w:p>
        </w:tc>
        <w:tc>
          <w:tcPr>
            <w:tcW w:w="1138" w:type="dxa"/>
            <w:tcBorders>
              <w:top w:val="nil"/>
              <w:left w:val="nil"/>
              <w:bottom w:val="single" w:sz="4" w:space="0" w:color="auto"/>
              <w:right w:val="single" w:sz="4" w:space="0" w:color="auto"/>
            </w:tcBorders>
            <w:shd w:val="clear" w:color="auto" w:fill="auto"/>
            <w:noWrap/>
            <w:vAlign w:val="center"/>
          </w:tcPr>
          <w:p w14:paraId="31AF4C3F" w14:textId="349A2857"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33</w:t>
            </w:r>
          </w:p>
        </w:tc>
        <w:tc>
          <w:tcPr>
            <w:tcW w:w="911" w:type="dxa"/>
            <w:tcBorders>
              <w:top w:val="nil"/>
              <w:left w:val="nil"/>
              <w:bottom w:val="single" w:sz="4" w:space="0" w:color="auto"/>
              <w:right w:val="single" w:sz="4" w:space="0" w:color="auto"/>
            </w:tcBorders>
            <w:shd w:val="clear" w:color="auto" w:fill="auto"/>
            <w:noWrap/>
            <w:vAlign w:val="center"/>
          </w:tcPr>
          <w:p w14:paraId="2D0CDE1C" w14:textId="190A5F29"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17.8</w:t>
            </w:r>
          </w:p>
        </w:tc>
        <w:tc>
          <w:tcPr>
            <w:tcW w:w="1135" w:type="dxa"/>
            <w:tcBorders>
              <w:top w:val="nil"/>
              <w:left w:val="nil"/>
              <w:bottom w:val="single" w:sz="4" w:space="0" w:color="auto"/>
              <w:right w:val="single" w:sz="4" w:space="0" w:color="auto"/>
            </w:tcBorders>
            <w:shd w:val="clear" w:color="auto" w:fill="auto"/>
            <w:noWrap/>
            <w:vAlign w:val="center"/>
          </w:tcPr>
          <w:p w14:paraId="61B1AE1D" w14:textId="3DF15B4C"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37.2</w:t>
            </w:r>
          </w:p>
        </w:tc>
        <w:tc>
          <w:tcPr>
            <w:tcW w:w="1385" w:type="dxa"/>
            <w:tcBorders>
              <w:top w:val="nil"/>
              <w:left w:val="nil"/>
              <w:bottom w:val="single" w:sz="4" w:space="0" w:color="auto"/>
              <w:right w:val="single" w:sz="4" w:space="0" w:color="auto"/>
            </w:tcBorders>
            <w:shd w:val="clear" w:color="auto" w:fill="auto"/>
            <w:noWrap/>
            <w:vAlign w:val="center"/>
          </w:tcPr>
          <w:p w14:paraId="7871757C" w14:textId="6F483D4F"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60.2</w:t>
            </w:r>
          </w:p>
        </w:tc>
      </w:tr>
      <w:tr w:rsidR="00224F4B" w:rsidRPr="00365884" w14:paraId="5843B22D" w14:textId="77777777" w:rsidTr="00554CD5">
        <w:trPr>
          <w:trHeight w:val="185"/>
        </w:trPr>
        <w:tc>
          <w:tcPr>
            <w:tcW w:w="655" w:type="dxa"/>
            <w:tcBorders>
              <w:top w:val="nil"/>
              <w:left w:val="single" w:sz="4" w:space="0" w:color="auto"/>
              <w:bottom w:val="single" w:sz="4" w:space="0" w:color="auto"/>
              <w:right w:val="single" w:sz="4" w:space="0" w:color="auto"/>
            </w:tcBorders>
            <w:shd w:val="clear" w:color="auto" w:fill="E7E6E6" w:themeFill="background2"/>
            <w:noWrap/>
            <w:vAlign w:val="bottom"/>
          </w:tcPr>
          <w:p w14:paraId="42B0C331" w14:textId="41650393"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2018</w:t>
            </w:r>
          </w:p>
        </w:tc>
        <w:tc>
          <w:tcPr>
            <w:tcW w:w="961" w:type="dxa"/>
            <w:tcBorders>
              <w:top w:val="nil"/>
              <w:left w:val="nil"/>
              <w:bottom w:val="single" w:sz="4" w:space="0" w:color="auto"/>
              <w:right w:val="single" w:sz="4" w:space="0" w:color="auto"/>
            </w:tcBorders>
            <w:shd w:val="clear" w:color="auto" w:fill="E7E6E6" w:themeFill="background2"/>
            <w:noWrap/>
            <w:vAlign w:val="bottom"/>
          </w:tcPr>
          <w:p w14:paraId="123CF8D5" w14:textId="5B46EC40"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68</w:t>
            </w:r>
          </w:p>
        </w:tc>
        <w:tc>
          <w:tcPr>
            <w:tcW w:w="962" w:type="dxa"/>
            <w:tcBorders>
              <w:top w:val="nil"/>
              <w:left w:val="nil"/>
              <w:bottom w:val="single" w:sz="4" w:space="0" w:color="auto"/>
              <w:right w:val="single" w:sz="4" w:space="0" w:color="auto"/>
            </w:tcBorders>
            <w:shd w:val="clear" w:color="auto" w:fill="E7E6E6" w:themeFill="background2"/>
            <w:noWrap/>
            <w:vAlign w:val="bottom"/>
          </w:tcPr>
          <w:p w14:paraId="4822C88A" w14:textId="4AE248E3"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32.7</w:t>
            </w:r>
          </w:p>
        </w:tc>
        <w:tc>
          <w:tcPr>
            <w:tcW w:w="962" w:type="dxa"/>
            <w:tcBorders>
              <w:top w:val="nil"/>
              <w:left w:val="nil"/>
              <w:bottom w:val="single" w:sz="4" w:space="0" w:color="auto"/>
              <w:right w:val="single" w:sz="4" w:space="0" w:color="auto"/>
            </w:tcBorders>
            <w:shd w:val="clear" w:color="auto" w:fill="E7E6E6" w:themeFill="background2"/>
            <w:noWrap/>
            <w:vAlign w:val="center"/>
          </w:tcPr>
          <w:p w14:paraId="797422B5" w14:textId="66130D0C"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34.4</w:t>
            </w:r>
          </w:p>
        </w:tc>
        <w:tc>
          <w:tcPr>
            <w:tcW w:w="1138" w:type="dxa"/>
            <w:tcBorders>
              <w:top w:val="nil"/>
              <w:left w:val="nil"/>
              <w:bottom w:val="single" w:sz="4" w:space="0" w:color="auto"/>
              <w:right w:val="single" w:sz="4" w:space="0" w:color="auto"/>
            </w:tcBorders>
            <w:shd w:val="clear" w:color="auto" w:fill="E7E6E6" w:themeFill="background2"/>
            <w:noWrap/>
            <w:vAlign w:val="center"/>
          </w:tcPr>
          <w:p w14:paraId="77646C04" w14:textId="03E8645F"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29.4</w:t>
            </w:r>
          </w:p>
        </w:tc>
        <w:tc>
          <w:tcPr>
            <w:tcW w:w="911" w:type="dxa"/>
            <w:tcBorders>
              <w:top w:val="nil"/>
              <w:left w:val="nil"/>
              <w:bottom w:val="single" w:sz="4" w:space="0" w:color="auto"/>
              <w:right w:val="single" w:sz="4" w:space="0" w:color="auto"/>
            </w:tcBorders>
            <w:shd w:val="clear" w:color="auto" w:fill="E7E6E6" w:themeFill="background2"/>
            <w:noWrap/>
            <w:vAlign w:val="center"/>
          </w:tcPr>
          <w:p w14:paraId="6290D5CE" w14:textId="055F5048"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19.4</w:t>
            </w:r>
          </w:p>
        </w:tc>
        <w:tc>
          <w:tcPr>
            <w:tcW w:w="1135" w:type="dxa"/>
            <w:tcBorders>
              <w:top w:val="nil"/>
              <w:left w:val="nil"/>
              <w:bottom w:val="single" w:sz="4" w:space="0" w:color="auto"/>
              <w:right w:val="single" w:sz="4" w:space="0" w:color="auto"/>
            </w:tcBorders>
            <w:shd w:val="clear" w:color="auto" w:fill="E7E6E6" w:themeFill="background2"/>
            <w:noWrap/>
            <w:vAlign w:val="center"/>
          </w:tcPr>
          <w:p w14:paraId="69671F84" w14:textId="34977D60"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39.5</w:t>
            </w:r>
          </w:p>
        </w:tc>
        <w:tc>
          <w:tcPr>
            <w:tcW w:w="1385" w:type="dxa"/>
            <w:tcBorders>
              <w:top w:val="nil"/>
              <w:left w:val="nil"/>
              <w:bottom w:val="single" w:sz="4" w:space="0" w:color="auto"/>
              <w:right w:val="single" w:sz="4" w:space="0" w:color="auto"/>
            </w:tcBorders>
            <w:shd w:val="clear" w:color="auto" w:fill="E7E6E6" w:themeFill="background2"/>
            <w:noWrap/>
            <w:vAlign w:val="center"/>
          </w:tcPr>
          <w:p w14:paraId="3431096F" w14:textId="32B18D97"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57.3</w:t>
            </w:r>
          </w:p>
        </w:tc>
      </w:tr>
      <w:tr w:rsidR="00224F4B" w:rsidRPr="00365884" w14:paraId="0B138E83" w14:textId="77777777" w:rsidTr="00554CD5">
        <w:trPr>
          <w:trHeight w:val="185"/>
        </w:trPr>
        <w:tc>
          <w:tcPr>
            <w:tcW w:w="655" w:type="dxa"/>
            <w:tcBorders>
              <w:top w:val="nil"/>
              <w:left w:val="single" w:sz="4" w:space="0" w:color="auto"/>
              <w:bottom w:val="single" w:sz="4" w:space="0" w:color="auto"/>
              <w:right w:val="single" w:sz="4" w:space="0" w:color="auto"/>
            </w:tcBorders>
            <w:shd w:val="clear" w:color="auto" w:fill="auto"/>
            <w:noWrap/>
            <w:vAlign w:val="bottom"/>
          </w:tcPr>
          <w:p w14:paraId="381753CC" w14:textId="609198CB"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2019</w:t>
            </w:r>
          </w:p>
        </w:tc>
        <w:tc>
          <w:tcPr>
            <w:tcW w:w="961" w:type="dxa"/>
            <w:tcBorders>
              <w:top w:val="nil"/>
              <w:left w:val="nil"/>
              <w:bottom w:val="single" w:sz="4" w:space="0" w:color="auto"/>
              <w:right w:val="single" w:sz="4" w:space="0" w:color="auto"/>
            </w:tcBorders>
            <w:shd w:val="clear" w:color="auto" w:fill="auto"/>
            <w:noWrap/>
            <w:vAlign w:val="bottom"/>
          </w:tcPr>
          <w:p w14:paraId="71F67EB7" w14:textId="4C9F93C3"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93</w:t>
            </w:r>
          </w:p>
        </w:tc>
        <w:tc>
          <w:tcPr>
            <w:tcW w:w="962" w:type="dxa"/>
            <w:tcBorders>
              <w:top w:val="nil"/>
              <w:left w:val="nil"/>
              <w:bottom w:val="single" w:sz="4" w:space="0" w:color="auto"/>
              <w:right w:val="single" w:sz="4" w:space="0" w:color="auto"/>
            </w:tcBorders>
            <w:shd w:val="clear" w:color="auto" w:fill="auto"/>
            <w:noWrap/>
            <w:vAlign w:val="bottom"/>
          </w:tcPr>
          <w:p w14:paraId="186828DF" w14:textId="20F48EE3"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31.7</w:t>
            </w:r>
          </w:p>
        </w:tc>
        <w:tc>
          <w:tcPr>
            <w:tcW w:w="962" w:type="dxa"/>
            <w:tcBorders>
              <w:top w:val="nil"/>
              <w:left w:val="nil"/>
              <w:bottom w:val="single" w:sz="4" w:space="0" w:color="auto"/>
              <w:right w:val="single" w:sz="4" w:space="0" w:color="auto"/>
            </w:tcBorders>
            <w:shd w:val="clear" w:color="auto" w:fill="auto"/>
            <w:noWrap/>
            <w:vAlign w:val="center"/>
          </w:tcPr>
          <w:p w14:paraId="6EF4A62F" w14:textId="611A5548"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32.6</w:t>
            </w:r>
          </w:p>
        </w:tc>
        <w:tc>
          <w:tcPr>
            <w:tcW w:w="1138" w:type="dxa"/>
            <w:tcBorders>
              <w:top w:val="nil"/>
              <w:left w:val="nil"/>
              <w:bottom w:val="single" w:sz="4" w:space="0" w:color="auto"/>
              <w:right w:val="single" w:sz="4" w:space="0" w:color="auto"/>
            </w:tcBorders>
            <w:shd w:val="clear" w:color="auto" w:fill="auto"/>
            <w:noWrap/>
            <w:vAlign w:val="center"/>
          </w:tcPr>
          <w:p w14:paraId="3A985B9A" w14:textId="4A469B8C"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28.1</w:t>
            </w:r>
          </w:p>
        </w:tc>
        <w:tc>
          <w:tcPr>
            <w:tcW w:w="911" w:type="dxa"/>
            <w:tcBorders>
              <w:top w:val="nil"/>
              <w:left w:val="nil"/>
              <w:bottom w:val="single" w:sz="4" w:space="0" w:color="auto"/>
              <w:right w:val="single" w:sz="4" w:space="0" w:color="auto"/>
            </w:tcBorders>
            <w:shd w:val="clear" w:color="auto" w:fill="auto"/>
            <w:noWrap/>
            <w:vAlign w:val="center"/>
          </w:tcPr>
          <w:p w14:paraId="01FEE69C" w14:textId="11CA3562"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19.2</w:t>
            </w:r>
          </w:p>
        </w:tc>
        <w:tc>
          <w:tcPr>
            <w:tcW w:w="1135" w:type="dxa"/>
            <w:tcBorders>
              <w:top w:val="nil"/>
              <w:left w:val="nil"/>
              <w:bottom w:val="single" w:sz="4" w:space="0" w:color="auto"/>
              <w:right w:val="single" w:sz="4" w:space="0" w:color="auto"/>
            </w:tcBorders>
            <w:shd w:val="clear" w:color="auto" w:fill="auto"/>
            <w:noWrap/>
            <w:vAlign w:val="center"/>
          </w:tcPr>
          <w:p w14:paraId="2AE1A2F9" w14:textId="156EBD2E"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40.6</w:t>
            </w:r>
          </w:p>
        </w:tc>
        <w:tc>
          <w:tcPr>
            <w:tcW w:w="1385" w:type="dxa"/>
            <w:tcBorders>
              <w:top w:val="nil"/>
              <w:left w:val="nil"/>
              <w:bottom w:val="single" w:sz="4" w:space="0" w:color="auto"/>
              <w:right w:val="single" w:sz="4" w:space="0" w:color="auto"/>
            </w:tcBorders>
            <w:shd w:val="clear" w:color="auto" w:fill="auto"/>
            <w:noWrap/>
            <w:vAlign w:val="center"/>
          </w:tcPr>
          <w:p w14:paraId="2D35FC0F" w14:textId="545C599D"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55.7</w:t>
            </w:r>
          </w:p>
        </w:tc>
      </w:tr>
      <w:tr w:rsidR="00224F4B" w:rsidRPr="00365884" w14:paraId="3E1DC9B1" w14:textId="77777777" w:rsidTr="00554CD5">
        <w:trPr>
          <w:trHeight w:val="185"/>
        </w:trPr>
        <w:tc>
          <w:tcPr>
            <w:tcW w:w="655" w:type="dxa"/>
            <w:tcBorders>
              <w:top w:val="nil"/>
              <w:left w:val="single" w:sz="4" w:space="0" w:color="auto"/>
              <w:bottom w:val="single" w:sz="4" w:space="0" w:color="auto"/>
              <w:right w:val="single" w:sz="4" w:space="0" w:color="auto"/>
            </w:tcBorders>
            <w:shd w:val="clear" w:color="auto" w:fill="E7E6E6" w:themeFill="background2"/>
            <w:noWrap/>
            <w:vAlign w:val="bottom"/>
          </w:tcPr>
          <w:p w14:paraId="084F00E0" w14:textId="75E6B5F2"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2020</w:t>
            </w:r>
          </w:p>
        </w:tc>
        <w:tc>
          <w:tcPr>
            <w:tcW w:w="961" w:type="dxa"/>
            <w:tcBorders>
              <w:top w:val="nil"/>
              <w:left w:val="nil"/>
              <w:bottom w:val="single" w:sz="4" w:space="0" w:color="auto"/>
              <w:right w:val="single" w:sz="4" w:space="0" w:color="auto"/>
            </w:tcBorders>
            <w:shd w:val="clear" w:color="auto" w:fill="E7E6E6" w:themeFill="background2"/>
            <w:noWrap/>
            <w:vAlign w:val="bottom"/>
          </w:tcPr>
          <w:p w14:paraId="59E13736" w14:textId="2EDF03EB"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120</w:t>
            </w:r>
          </w:p>
        </w:tc>
        <w:tc>
          <w:tcPr>
            <w:tcW w:w="962" w:type="dxa"/>
            <w:tcBorders>
              <w:top w:val="nil"/>
              <w:left w:val="nil"/>
              <w:bottom w:val="single" w:sz="4" w:space="0" w:color="auto"/>
              <w:right w:val="single" w:sz="4" w:space="0" w:color="auto"/>
            </w:tcBorders>
            <w:shd w:val="clear" w:color="auto" w:fill="E7E6E6" w:themeFill="background2"/>
            <w:noWrap/>
            <w:vAlign w:val="bottom"/>
          </w:tcPr>
          <w:p w14:paraId="30100868" w14:textId="3CA623B7"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33</w:t>
            </w:r>
          </w:p>
        </w:tc>
        <w:tc>
          <w:tcPr>
            <w:tcW w:w="962" w:type="dxa"/>
            <w:tcBorders>
              <w:top w:val="nil"/>
              <w:left w:val="nil"/>
              <w:bottom w:val="single" w:sz="4" w:space="0" w:color="auto"/>
              <w:right w:val="single" w:sz="4" w:space="0" w:color="auto"/>
            </w:tcBorders>
            <w:shd w:val="clear" w:color="auto" w:fill="E7E6E6" w:themeFill="background2"/>
            <w:noWrap/>
            <w:vAlign w:val="center"/>
          </w:tcPr>
          <w:p w14:paraId="721F45EF" w14:textId="4CB4F90C"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31.9</w:t>
            </w:r>
          </w:p>
        </w:tc>
        <w:tc>
          <w:tcPr>
            <w:tcW w:w="1138" w:type="dxa"/>
            <w:tcBorders>
              <w:top w:val="nil"/>
              <w:left w:val="nil"/>
              <w:bottom w:val="single" w:sz="4" w:space="0" w:color="auto"/>
              <w:right w:val="single" w:sz="4" w:space="0" w:color="auto"/>
            </w:tcBorders>
            <w:shd w:val="clear" w:color="auto" w:fill="E7E6E6" w:themeFill="background2"/>
            <w:noWrap/>
            <w:vAlign w:val="center"/>
          </w:tcPr>
          <w:p w14:paraId="34CADEF5" w14:textId="55C32BD5"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30.4</w:t>
            </w:r>
          </w:p>
        </w:tc>
        <w:tc>
          <w:tcPr>
            <w:tcW w:w="911" w:type="dxa"/>
            <w:tcBorders>
              <w:top w:val="nil"/>
              <w:left w:val="nil"/>
              <w:bottom w:val="single" w:sz="4" w:space="0" w:color="auto"/>
              <w:right w:val="single" w:sz="4" w:space="0" w:color="auto"/>
            </w:tcBorders>
            <w:shd w:val="clear" w:color="auto" w:fill="E7E6E6" w:themeFill="background2"/>
            <w:noWrap/>
            <w:vAlign w:val="center"/>
          </w:tcPr>
          <w:p w14:paraId="65D81DAA" w14:textId="3B75687D"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18.9</w:t>
            </w:r>
          </w:p>
        </w:tc>
        <w:tc>
          <w:tcPr>
            <w:tcW w:w="1135" w:type="dxa"/>
            <w:tcBorders>
              <w:top w:val="nil"/>
              <w:left w:val="nil"/>
              <w:bottom w:val="single" w:sz="4" w:space="0" w:color="auto"/>
              <w:right w:val="single" w:sz="4" w:space="0" w:color="auto"/>
            </w:tcBorders>
            <w:shd w:val="clear" w:color="auto" w:fill="E7E6E6" w:themeFill="background2"/>
            <w:noWrap/>
            <w:vAlign w:val="center"/>
          </w:tcPr>
          <w:p w14:paraId="2EF6F998" w14:textId="223662A5"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44.3</w:t>
            </w:r>
          </w:p>
        </w:tc>
        <w:tc>
          <w:tcPr>
            <w:tcW w:w="1385" w:type="dxa"/>
            <w:tcBorders>
              <w:top w:val="nil"/>
              <w:left w:val="nil"/>
              <w:bottom w:val="single" w:sz="4" w:space="0" w:color="auto"/>
              <w:right w:val="single" w:sz="4" w:space="0" w:color="auto"/>
            </w:tcBorders>
            <w:shd w:val="clear" w:color="auto" w:fill="E7E6E6" w:themeFill="background2"/>
            <w:noWrap/>
            <w:vAlign w:val="center"/>
          </w:tcPr>
          <w:p w14:paraId="53D21934" w14:textId="1B73289D"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61.7</w:t>
            </w:r>
          </w:p>
        </w:tc>
      </w:tr>
      <w:tr w:rsidR="00224F4B" w:rsidRPr="00365884" w14:paraId="37AFE355" w14:textId="77777777" w:rsidTr="00554CD5">
        <w:trPr>
          <w:trHeight w:val="185"/>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C59705" w14:textId="2BE9CC41"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2021</w:t>
            </w:r>
          </w:p>
        </w:tc>
        <w:tc>
          <w:tcPr>
            <w:tcW w:w="961" w:type="dxa"/>
            <w:tcBorders>
              <w:top w:val="single" w:sz="4" w:space="0" w:color="auto"/>
              <w:left w:val="nil"/>
              <w:bottom w:val="single" w:sz="4" w:space="0" w:color="auto"/>
              <w:right w:val="single" w:sz="4" w:space="0" w:color="auto"/>
            </w:tcBorders>
            <w:shd w:val="clear" w:color="auto" w:fill="auto"/>
            <w:noWrap/>
            <w:vAlign w:val="bottom"/>
          </w:tcPr>
          <w:p w14:paraId="743F85F6" w14:textId="434D9C73"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129</w:t>
            </w:r>
          </w:p>
        </w:tc>
        <w:tc>
          <w:tcPr>
            <w:tcW w:w="962" w:type="dxa"/>
            <w:tcBorders>
              <w:top w:val="single" w:sz="4" w:space="0" w:color="auto"/>
              <w:left w:val="nil"/>
              <w:bottom w:val="single" w:sz="4" w:space="0" w:color="auto"/>
              <w:right w:val="single" w:sz="4" w:space="0" w:color="auto"/>
            </w:tcBorders>
            <w:shd w:val="clear" w:color="auto" w:fill="auto"/>
            <w:noWrap/>
            <w:vAlign w:val="bottom"/>
          </w:tcPr>
          <w:p w14:paraId="440324D4" w14:textId="1377C285"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32.9</w:t>
            </w:r>
          </w:p>
        </w:tc>
        <w:tc>
          <w:tcPr>
            <w:tcW w:w="962" w:type="dxa"/>
            <w:tcBorders>
              <w:top w:val="single" w:sz="4" w:space="0" w:color="auto"/>
              <w:left w:val="nil"/>
              <w:bottom w:val="single" w:sz="4" w:space="0" w:color="auto"/>
              <w:right w:val="single" w:sz="4" w:space="0" w:color="auto"/>
            </w:tcBorders>
            <w:shd w:val="clear" w:color="auto" w:fill="auto"/>
            <w:noWrap/>
            <w:vAlign w:val="center"/>
          </w:tcPr>
          <w:p w14:paraId="47A8B999" w14:textId="746E1A84"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31.2</w:t>
            </w:r>
          </w:p>
        </w:tc>
        <w:tc>
          <w:tcPr>
            <w:tcW w:w="1138" w:type="dxa"/>
            <w:tcBorders>
              <w:top w:val="single" w:sz="4" w:space="0" w:color="auto"/>
              <w:left w:val="nil"/>
              <w:bottom w:val="single" w:sz="4" w:space="0" w:color="auto"/>
              <w:right w:val="single" w:sz="4" w:space="0" w:color="auto"/>
            </w:tcBorders>
            <w:shd w:val="clear" w:color="auto" w:fill="auto"/>
            <w:noWrap/>
            <w:vAlign w:val="center"/>
          </w:tcPr>
          <w:p w14:paraId="2EE50198" w14:textId="3EFC2E9E"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29.5</w:t>
            </w:r>
          </w:p>
        </w:tc>
        <w:tc>
          <w:tcPr>
            <w:tcW w:w="911" w:type="dxa"/>
            <w:tcBorders>
              <w:top w:val="single" w:sz="4" w:space="0" w:color="auto"/>
              <w:left w:val="nil"/>
              <w:bottom w:val="single" w:sz="4" w:space="0" w:color="auto"/>
              <w:right w:val="single" w:sz="4" w:space="0" w:color="auto"/>
            </w:tcBorders>
            <w:shd w:val="clear" w:color="auto" w:fill="auto"/>
            <w:noWrap/>
            <w:vAlign w:val="center"/>
          </w:tcPr>
          <w:p w14:paraId="227AE3FC" w14:textId="6B953631"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18.2</w:t>
            </w:r>
          </w:p>
        </w:tc>
        <w:tc>
          <w:tcPr>
            <w:tcW w:w="1135" w:type="dxa"/>
            <w:tcBorders>
              <w:top w:val="single" w:sz="4" w:space="0" w:color="auto"/>
              <w:left w:val="nil"/>
              <w:bottom w:val="single" w:sz="4" w:space="0" w:color="auto"/>
              <w:right w:val="single" w:sz="4" w:space="0" w:color="auto"/>
            </w:tcBorders>
            <w:shd w:val="clear" w:color="auto" w:fill="auto"/>
            <w:noWrap/>
            <w:vAlign w:val="center"/>
          </w:tcPr>
          <w:p w14:paraId="5F890420" w14:textId="564CEAFD"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49.7</w:t>
            </w:r>
          </w:p>
        </w:tc>
        <w:tc>
          <w:tcPr>
            <w:tcW w:w="1385" w:type="dxa"/>
            <w:tcBorders>
              <w:top w:val="single" w:sz="4" w:space="0" w:color="auto"/>
              <w:left w:val="nil"/>
              <w:bottom w:val="single" w:sz="4" w:space="0" w:color="auto"/>
              <w:right w:val="single" w:sz="4" w:space="0" w:color="auto"/>
            </w:tcBorders>
            <w:shd w:val="clear" w:color="auto" w:fill="auto"/>
            <w:noWrap/>
            <w:vAlign w:val="center"/>
          </w:tcPr>
          <w:p w14:paraId="267027B4" w14:textId="5FDFC90B" w:rsidR="00224F4B" w:rsidRPr="00365884" w:rsidRDefault="00224F4B" w:rsidP="00365884">
            <w:pPr>
              <w:spacing w:after="0" w:line="240" w:lineRule="auto"/>
              <w:jc w:val="center"/>
              <w:rPr>
                <w:rFonts w:ascii="Calibri" w:eastAsia="Times New Roman" w:hAnsi="Calibri" w:cs="Calibri"/>
                <w:color w:val="000000"/>
                <w:sz w:val="18"/>
                <w:szCs w:val="18"/>
                <w:lang w:eastAsia="es-MX"/>
              </w:rPr>
            </w:pPr>
            <w:r w:rsidRPr="00365884">
              <w:rPr>
                <w:rFonts w:ascii="Calibri" w:hAnsi="Calibri" w:cs="Calibri"/>
                <w:color w:val="000000"/>
                <w:sz w:val="18"/>
                <w:szCs w:val="18"/>
              </w:rPr>
              <w:t>60.6</w:t>
            </w:r>
          </w:p>
        </w:tc>
      </w:tr>
    </w:tbl>
    <w:p w14:paraId="0D231DF2" w14:textId="7466DBD2" w:rsidR="00BF7CB0" w:rsidRPr="00365884" w:rsidRDefault="00BF7CB0" w:rsidP="00365884">
      <w:pPr>
        <w:spacing w:after="0" w:line="240" w:lineRule="auto"/>
        <w:rPr>
          <w:rFonts w:cstheme="minorHAnsi"/>
          <w:sz w:val="18"/>
          <w:szCs w:val="18"/>
        </w:rPr>
      </w:pPr>
    </w:p>
    <w:p w14:paraId="251CFD24" w14:textId="77777777" w:rsidR="00C05526" w:rsidRPr="00365884" w:rsidRDefault="00C05526" w:rsidP="00365884">
      <w:pPr>
        <w:spacing w:after="0" w:line="240" w:lineRule="auto"/>
        <w:rPr>
          <w:b/>
          <w:bCs/>
          <w:sz w:val="24"/>
          <w:szCs w:val="24"/>
        </w:rPr>
      </w:pPr>
      <w:r w:rsidRPr="00365884">
        <w:rPr>
          <w:b/>
          <w:bCs/>
          <w:sz w:val="24"/>
          <w:szCs w:val="24"/>
        </w:rPr>
        <w:t>Conclusiones</w:t>
      </w:r>
    </w:p>
    <w:p w14:paraId="64280D0E" w14:textId="77777777" w:rsidR="00C05526" w:rsidRPr="00365884" w:rsidRDefault="00C05526" w:rsidP="00365884">
      <w:pPr>
        <w:pStyle w:val="Prrafodelista"/>
        <w:spacing w:after="0" w:line="240" w:lineRule="auto"/>
        <w:jc w:val="both"/>
        <w:rPr>
          <w:sz w:val="24"/>
          <w:szCs w:val="24"/>
        </w:rPr>
      </w:pPr>
    </w:p>
    <w:p w14:paraId="3676DAB7" w14:textId="4F230778" w:rsidR="00C05526" w:rsidRPr="00365884" w:rsidRDefault="0031614B" w:rsidP="00365884">
      <w:pPr>
        <w:pStyle w:val="Prrafodelista"/>
        <w:numPr>
          <w:ilvl w:val="0"/>
          <w:numId w:val="22"/>
        </w:numPr>
        <w:spacing w:after="0" w:line="240" w:lineRule="auto"/>
        <w:jc w:val="both"/>
        <w:rPr>
          <w:sz w:val="24"/>
          <w:szCs w:val="24"/>
        </w:rPr>
      </w:pPr>
      <w:r w:rsidRPr="00365884">
        <w:rPr>
          <w:sz w:val="24"/>
          <w:szCs w:val="24"/>
        </w:rPr>
        <w:t xml:space="preserve">El Ranking THE BRICS y Economías Emergentes clasificó </w:t>
      </w:r>
      <w:r w:rsidR="009439A7" w:rsidRPr="00365884">
        <w:rPr>
          <w:sz w:val="24"/>
          <w:szCs w:val="24"/>
        </w:rPr>
        <w:t xml:space="preserve">a 100 universidades de América Latina situando a la </w:t>
      </w:r>
      <w:r w:rsidR="00C05526" w:rsidRPr="00365884">
        <w:rPr>
          <w:sz w:val="24"/>
          <w:szCs w:val="24"/>
        </w:rPr>
        <w:t xml:space="preserve">UNAM </w:t>
      </w:r>
      <w:r w:rsidR="009C18D9" w:rsidRPr="00365884">
        <w:rPr>
          <w:sz w:val="24"/>
          <w:szCs w:val="24"/>
        </w:rPr>
        <w:t xml:space="preserve">en el lugar </w:t>
      </w:r>
      <w:r w:rsidR="009439A7" w:rsidRPr="00365884">
        <w:rPr>
          <w:sz w:val="24"/>
          <w:szCs w:val="24"/>
        </w:rPr>
        <w:t xml:space="preserve">129º en BRICS, y en el </w:t>
      </w:r>
      <w:r w:rsidR="009C18D9" w:rsidRPr="00365884">
        <w:rPr>
          <w:sz w:val="24"/>
          <w:szCs w:val="24"/>
        </w:rPr>
        <w:t xml:space="preserve">8º </w:t>
      </w:r>
      <w:r w:rsidR="009439A7" w:rsidRPr="00365884">
        <w:rPr>
          <w:sz w:val="24"/>
          <w:szCs w:val="24"/>
        </w:rPr>
        <w:t>de la región, por detrás de la Universidad de São Paulo (1º), la Universidad de Campinas (2º), la Pontificia Universidad Católica de Chile (3º), la Pontificia Universidad Católica de Río de Janeiro (4º), la Universidad del Desarrollo, y la Universidad Diego Portales (5º), la Pontificia Universidad Javeriana (6º), y la Universidad Peruana Cayetano Heredia (7º).</w:t>
      </w:r>
      <w:r w:rsidR="00C05526" w:rsidRPr="00365884">
        <w:rPr>
          <w:sz w:val="24"/>
          <w:szCs w:val="24"/>
        </w:rPr>
        <w:t xml:space="preserve"> </w:t>
      </w:r>
    </w:p>
    <w:p w14:paraId="1045FDE0" w14:textId="4E6D53B4" w:rsidR="009C18D9" w:rsidRPr="00365884" w:rsidRDefault="009C18D9" w:rsidP="00365884">
      <w:pPr>
        <w:spacing w:after="0" w:line="240" w:lineRule="auto"/>
        <w:jc w:val="both"/>
        <w:rPr>
          <w:sz w:val="24"/>
          <w:szCs w:val="24"/>
        </w:rPr>
      </w:pPr>
    </w:p>
    <w:p w14:paraId="72F7536F" w14:textId="77777777" w:rsidR="00554CD5" w:rsidRPr="00365884" w:rsidRDefault="00554CD5" w:rsidP="00365884">
      <w:pPr>
        <w:pStyle w:val="Prrafodelista"/>
        <w:numPr>
          <w:ilvl w:val="0"/>
          <w:numId w:val="22"/>
        </w:numPr>
        <w:spacing w:after="0" w:line="240" w:lineRule="auto"/>
        <w:jc w:val="both"/>
        <w:rPr>
          <w:sz w:val="24"/>
          <w:szCs w:val="24"/>
        </w:rPr>
      </w:pPr>
      <w:r w:rsidRPr="00365884">
        <w:rPr>
          <w:sz w:val="24"/>
          <w:szCs w:val="24"/>
        </w:rPr>
        <w:t>La UNAM se destaca por el desempeño logrado en el TOP 10 de América Latina en el indicador de Docencia, siendo clasificada en el 3º lugar de la región con una puntuación de 31.2.</w:t>
      </w:r>
    </w:p>
    <w:p w14:paraId="1548CDCD" w14:textId="77777777" w:rsidR="00554CD5" w:rsidRPr="00365884" w:rsidRDefault="00554CD5" w:rsidP="00365884">
      <w:pPr>
        <w:pStyle w:val="Prrafodelista"/>
        <w:spacing w:after="0" w:line="240" w:lineRule="auto"/>
        <w:rPr>
          <w:sz w:val="24"/>
          <w:szCs w:val="24"/>
        </w:rPr>
      </w:pPr>
    </w:p>
    <w:p w14:paraId="30B8B1D9" w14:textId="42CED380" w:rsidR="004D2986" w:rsidRDefault="00554CD5" w:rsidP="00D1340A">
      <w:pPr>
        <w:pStyle w:val="Prrafodelista"/>
        <w:numPr>
          <w:ilvl w:val="0"/>
          <w:numId w:val="22"/>
        </w:numPr>
        <w:spacing w:after="0" w:line="240" w:lineRule="auto"/>
        <w:jc w:val="both"/>
        <w:rPr>
          <w:sz w:val="24"/>
          <w:szCs w:val="24"/>
        </w:rPr>
      </w:pPr>
      <w:r w:rsidRPr="00365884">
        <w:rPr>
          <w:sz w:val="24"/>
          <w:szCs w:val="24"/>
        </w:rPr>
        <w:t xml:space="preserve">En </w:t>
      </w:r>
      <w:r w:rsidR="009439A7" w:rsidRPr="00365884">
        <w:rPr>
          <w:sz w:val="24"/>
          <w:szCs w:val="24"/>
        </w:rPr>
        <w:t xml:space="preserve">la edición 2021 del ranking fueron clasificadas 16 universidades mexicanas, </w:t>
      </w:r>
      <w:r w:rsidR="00D1340A">
        <w:rPr>
          <w:sz w:val="24"/>
          <w:szCs w:val="24"/>
        </w:rPr>
        <w:t xml:space="preserve">donde resalta el desempeño de la UNAM sobre todo </w:t>
      </w:r>
      <w:r w:rsidR="00D1340A" w:rsidRPr="00D1340A">
        <w:rPr>
          <w:sz w:val="24"/>
          <w:szCs w:val="24"/>
        </w:rPr>
        <w:t xml:space="preserve">en el puntaje general (32.9 </w:t>
      </w:r>
      <w:r w:rsidR="00D1340A" w:rsidRPr="00D1340A">
        <w:rPr>
          <w:sz w:val="24"/>
          <w:szCs w:val="24"/>
        </w:rPr>
        <w:lastRenderedPageBreak/>
        <w:t>puntos), y en los indicadores de Docencia (31.2 puntos) e Investigación (29.5)</w:t>
      </w:r>
      <w:r w:rsidR="00D1340A">
        <w:rPr>
          <w:sz w:val="24"/>
          <w:szCs w:val="24"/>
        </w:rPr>
        <w:t>,</w:t>
      </w:r>
      <w:r w:rsidR="00D1340A" w:rsidRPr="00D1340A">
        <w:rPr>
          <w:sz w:val="24"/>
          <w:szCs w:val="24"/>
        </w:rPr>
        <w:t xml:space="preserve"> </w:t>
      </w:r>
      <w:r w:rsidR="004D2986" w:rsidRPr="00D1340A">
        <w:rPr>
          <w:sz w:val="24"/>
          <w:szCs w:val="24"/>
        </w:rPr>
        <w:t xml:space="preserve">lo cual posiciona a la </w:t>
      </w:r>
      <w:r w:rsidR="009439A7" w:rsidRPr="00D1340A">
        <w:rPr>
          <w:sz w:val="24"/>
          <w:szCs w:val="24"/>
        </w:rPr>
        <w:t xml:space="preserve">UNAM </w:t>
      </w:r>
      <w:r w:rsidR="00C106FB" w:rsidRPr="00D1340A">
        <w:rPr>
          <w:sz w:val="24"/>
          <w:szCs w:val="24"/>
        </w:rPr>
        <w:t xml:space="preserve">como </w:t>
      </w:r>
      <w:r w:rsidR="009439A7" w:rsidRPr="00D1340A">
        <w:rPr>
          <w:sz w:val="24"/>
          <w:szCs w:val="24"/>
        </w:rPr>
        <w:t>la mejor universidad del país.</w:t>
      </w:r>
    </w:p>
    <w:p w14:paraId="484B82F8" w14:textId="77777777" w:rsidR="00D1340A" w:rsidRPr="00D1340A" w:rsidRDefault="00D1340A" w:rsidP="00D1340A">
      <w:pPr>
        <w:pStyle w:val="Prrafodelista"/>
        <w:rPr>
          <w:sz w:val="24"/>
          <w:szCs w:val="24"/>
        </w:rPr>
      </w:pPr>
    </w:p>
    <w:p w14:paraId="3F19E9E0" w14:textId="0B81E938" w:rsidR="00554CD5" w:rsidRPr="00365884" w:rsidRDefault="00FC59C9" w:rsidP="00365884">
      <w:pPr>
        <w:pStyle w:val="Prrafodelista"/>
        <w:numPr>
          <w:ilvl w:val="0"/>
          <w:numId w:val="22"/>
        </w:numPr>
        <w:spacing w:after="0" w:line="240" w:lineRule="auto"/>
        <w:jc w:val="both"/>
        <w:rPr>
          <w:sz w:val="24"/>
        </w:rPr>
      </w:pPr>
      <w:r>
        <w:rPr>
          <w:sz w:val="24"/>
          <w:szCs w:val="24"/>
        </w:rPr>
        <w:t>Comparando la clasificación de la UNAM en las ediciones 2020 y 2021 del ranking, e</w:t>
      </w:r>
      <w:r w:rsidR="00B259ED" w:rsidRPr="00365884">
        <w:rPr>
          <w:sz w:val="24"/>
          <w:szCs w:val="24"/>
        </w:rPr>
        <w:t xml:space="preserve">s importante destacar que </w:t>
      </w:r>
      <w:r w:rsidR="00554CD5" w:rsidRPr="00365884">
        <w:rPr>
          <w:sz w:val="24"/>
          <w:szCs w:val="24"/>
        </w:rPr>
        <w:t>la universidad present</w:t>
      </w:r>
      <w:r>
        <w:rPr>
          <w:sz w:val="24"/>
          <w:szCs w:val="24"/>
        </w:rPr>
        <w:t>ó</w:t>
      </w:r>
      <w:r w:rsidR="00554CD5" w:rsidRPr="00365884">
        <w:rPr>
          <w:sz w:val="24"/>
          <w:szCs w:val="24"/>
        </w:rPr>
        <w:t xml:space="preserve"> un incremento de 5.4 puntos en Perspectiva Internacional. Sin embargo, en el resto de los indicadores se </w:t>
      </w:r>
      <w:r>
        <w:rPr>
          <w:sz w:val="24"/>
          <w:szCs w:val="24"/>
        </w:rPr>
        <w:t xml:space="preserve">mostró </w:t>
      </w:r>
      <w:r w:rsidR="00554CD5" w:rsidRPr="00365884">
        <w:rPr>
          <w:sz w:val="24"/>
          <w:szCs w:val="24"/>
        </w:rPr>
        <w:t>un decremento que oscila entre el 0.7 y 1.1 puntos.</w:t>
      </w:r>
      <w:bookmarkEnd w:id="0"/>
    </w:p>
    <w:sectPr w:rsidR="00554CD5" w:rsidRPr="0036588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51790" w14:textId="77777777" w:rsidR="005026E5" w:rsidRDefault="005026E5" w:rsidP="00DD1B59">
      <w:pPr>
        <w:spacing w:after="0" w:line="240" w:lineRule="auto"/>
      </w:pPr>
      <w:r>
        <w:separator/>
      </w:r>
    </w:p>
  </w:endnote>
  <w:endnote w:type="continuationSeparator" w:id="0">
    <w:p w14:paraId="208A76CE" w14:textId="77777777" w:rsidR="005026E5" w:rsidRDefault="005026E5" w:rsidP="00DD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C91A2" w14:textId="77777777" w:rsidR="005026E5" w:rsidRDefault="005026E5" w:rsidP="00DD1B59">
      <w:pPr>
        <w:spacing w:after="0" w:line="240" w:lineRule="auto"/>
      </w:pPr>
      <w:r>
        <w:separator/>
      </w:r>
    </w:p>
  </w:footnote>
  <w:footnote w:type="continuationSeparator" w:id="0">
    <w:p w14:paraId="12E8B410" w14:textId="77777777" w:rsidR="005026E5" w:rsidRDefault="005026E5" w:rsidP="00DD1B59">
      <w:pPr>
        <w:spacing w:after="0" w:line="240" w:lineRule="auto"/>
      </w:pPr>
      <w:r>
        <w:continuationSeparator/>
      </w:r>
    </w:p>
  </w:footnote>
  <w:footnote w:id="1">
    <w:p w14:paraId="43FD54BD" w14:textId="25D8DBDA" w:rsidR="00BA5366" w:rsidRDefault="00BA5366">
      <w:pPr>
        <w:pStyle w:val="Textonotapie"/>
      </w:pPr>
      <w:r>
        <w:rPr>
          <w:rStyle w:val="Refdenotaalpie"/>
        </w:rPr>
        <w:footnoteRef/>
      </w:r>
      <w:r>
        <w:t xml:space="preserve"> BRICS: </w:t>
      </w:r>
      <w:r w:rsidRPr="009C18D9">
        <w:t>Brasil, Rusia, India, China y Sudáfrica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10CAF"/>
    <w:multiLevelType w:val="hybridMultilevel"/>
    <w:tmpl w:val="B9FA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209D541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9A369B"/>
    <w:multiLevelType w:val="hybridMultilevel"/>
    <w:tmpl w:val="25045CEA"/>
    <w:lvl w:ilvl="0" w:tplc="72083D7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24D00B6A"/>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0171AE"/>
    <w:multiLevelType w:val="hybridMultilevel"/>
    <w:tmpl w:val="E216F8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FA7336"/>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52F258E4"/>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5A0B3F"/>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D052875"/>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0"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124999"/>
    <w:multiLevelType w:val="hybridMultilevel"/>
    <w:tmpl w:val="CE34598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610217"/>
    <w:multiLevelType w:val="hybridMultilevel"/>
    <w:tmpl w:val="5C1C1CA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8"/>
  </w:num>
  <w:num w:numId="3">
    <w:abstractNumId w:val="7"/>
  </w:num>
  <w:num w:numId="4">
    <w:abstractNumId w:val="12"/>
  </w:num>
  <w:num w:numId="5">
    <w:abstractNumId w:val="11"/>
  </w:num>
  <w:num w:numId="6">
    <w:abstractNumId w:val="14"/>
  </w:num>
  <w:num w:numId="7">
    <w:abstractNumId w:val="4"/>
  </w:num>
  <w:num w:numId="8">
    <w:abstractNumId w:val="1"/>
  </w:num>
  <w:num w:numId="9">
    <w:abstractNumId w:val="19"/>
  </w:num>
  <w:num w:numId="10">
    <w:abstractNumId w:val="20"/>
  </w:num>
  <w:num w:numId="11">
    <w:abstractNumId w:val="0"/>
  </w:num>
  <w:num w:numId="12">
    <w:abstractNumId w:val="15"/>
  </w:num>
  <w:num w:numId="13">
    <w:abstractNumId w:val="3"/>
  </w:num>
  <w:num w:numId="14">
    <w:abstractNumId w:val="5"/>
  </w:num>
  <w:num w:numId="15">
    <w:abstractNumId w:val="16"/>
  </w:num>
  <w:num w:numId="16">
    <w:abstractNumId w:val="8"/>
  </w:num>
  <w:num w:numId="17">
    <w:abstractNumId w:val="10"/>
  </w:num>
  <w:num w:numId="18">
    <w:abstractNumId w:val="13"/>
  </w:num>
  <w:num w:numId="19">
    <w:abstractNumId w:val="2"/>
  </w:num>
  <w:num w:numId="20">
    <w:abstractNumId w:val="17"/>
  </w:num>
  <w:num w:numId="21">
    <w:abstractNumId w:val="9"/>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MX"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7"/>
    <w:rsid w:val="00035199"/>
    <w:rsid w:val="0004030C"/>
    <w:rsid w:val="00057179"/>
    <w:rsid w:val="00067EC6"/>
    <w:rsid w:val="00076185"/>
    <w:rsid w:val="0008504E"/>
    <w:rsid w:val="0009273D"/>
    <w:rsid w:val="00095E29"/>
    <w:rsid w:val="000A46DB"/>
    <w:rsid w:val="000A62C9"/>
    <w:rsid w:val="000B051A"/>
    <w:rsid w:val="000B3CEF"/>
    <w:rsid w:val="000C3D13"/>
    <w:rsid w:val="000C4389"/>
    <w:rsid w:val="000C6A1B"/>
    <w:rsid w:val="000D0015"/>
    <w:rsid w:val="000E7136"/>
    <w:rsid w:val="00114D13"/>
    <w:rsid w:val="00121ECB"/>
    <w:rsid w:val="001511A2"/>
    <w:rsid w:val="00153214"/>
    <w:rsid w:val="00182EA8"/>
    <w:rsid w:val="00192C32"/>
    <w:rsid w:val="001A1148"/>
    <w:rsid w:val="001A286B"/>
    <w:rsid w:val="001A7CDB"/>
    <w:rsid w:val="001D5EBD"/>
    <w:rsid w:val="001E345D"/>
    <w:rsid w:val="001F507B"/>
    <w:rsid w:val="00200691"/>
    <w:rsid w:val="00224F4B"/>
    <w:rsid w:val="00230F08"/>
    <w:rsid w:val="0023497B"/>
    <w:rsid w:val="00236AB1"/>
    <w:rsid w:val="00261226"/>
    <w:rsid w:val="0026150C"/>
    <w:rsid w:val="00275CD0"/>
    <w:rsid w:val="00286835"/>
    <w:rsid w:val="00286D01"/>
    <w:rsid w:val="00291132"/>
    <w:rsid w:val="00292829"/>
    <w:rsid w:val="002938AF"/>
    <w:rsid w:val="002A35CA"/>
    <w:rsid w:val="002B705F"/>
    <w:rsid w:val="002B7783"/>
    <w:rsid w:val="002B7AE1"/>
    <w:rsid w:val="002D2258"/>
    <w:rsid w:val="002D78E2"/>
    <w:rsid w:val="002E24B1"/>
    <w:rsid w:val="002E342B"/>
    <w:rsid w:val="002E3C48"/>
    <w:rsid w:val="002E5C8D"/>
    <w:rsid w:val="002F62AE"/>
    <w:rsid w:val="00305498"/>
    <w:rsid w:val="00312D70"/>
    <w:rsid w:val="0031474A"/>
    <w:rsid w:val="0031614B"/>
    <w:rsid w:val="003201C2"/>
    <w:rsid w:val="00326420"/>
    <w:rsid w:val="003341A2"/>
    <w:rsid w:val="003439CC"/>
    <w:rsid w:val="0034407C"/>
    <w:rsid w:val="00344794"/>
    <w:rsid w:val="00350282"/>
    <w:rsid w:val="00357C5B"/>
    <w:rsid w:val="00360DB0"/>
    <w:rsid w:val="00365884"/>
    <w:rsid w:val="00396BBE"/>
    <w:rsid w:val="003C102E"/>
    <w:rsid w:val="003D1B18"/>
    <w:rsid w:val="003D2823"/>
    <w:rsid w:val="003E07BD"/>
    <w:rsid w:val="003E1861"/>
    <w:rsid w:val="004004ED"/>
    <w:rsid w:val="00400FEF"/>
    <w:rsid w:val="0040279C"/>
    <w:rsid w:val="0041260E"/>
    <w:rsid w:val="00445700"/>
    <w:rsid w:val="00465D80"/>
    <w:rsid w:val="00465EE6"/>
    <w:rsid w:val="004744A4"/>
    <w:rsid w:val="004A288E"/>
    <w:rsid w:val="004A2911"/>
    <w:rsid w:val="004A5256"/>
    <w:rsid w:val="004A70A5"/>
    <w:rsid w:val="004B4A0F"/>
    <w:rsid w:val="004C4F5D"/>
    <w:rsid w:val="004D2986"/>
    <w:rsid w:val="004D75DD"/>
    <w:rsid w:val="004E1ADF"/>
    <w:rsid w:val="004E48B5"/>
    <w:rsid w:val="004F1B90"/>
    <w:rsid w:val="004F57E5"/>
    <w:rsid w:val="004F61D3"/>
    <w:rsid w:val="00501AE5"/>
    <w:rsid w:val="005026E5"/>
    <w:rsid w:val="00516B87"/>
    <w:rsid w:val="005236F9"/>
    <w:rsid w:val="00536ABF"/>
    <w:rsid w:val="005410C3"/>
    <w:rsid w:val="005427A3"/>
    <w:rsid w:val="0054305B"/>
    <w:rsid w:val="00554CD5"/>
    <w:rsid w:val="00556FA9"/>
    <w:rsid w:val="005612C8"/>
    <w:rsid w:val="005810D1"/>
    <w:rsid w:val="00592830"/>
    <w:rsid w:val="005A69A8"/>
    <w:rsid w:val="005B5A58"/>
    <w:rsid w:val="005B79EA"/>
    <w:rsid w:val="005D5076"/>
    <w:rsid w:val="005E02C6"/>
    <w:rsid w:val="005E27AC"/>
    <w:rsid w:val="005E27BD"/>
    <w:rsid w:val="00602B07"/>
    <w:rsid w:val="0060365B"/>
    <w:rsid w:val="00620639"/>
    <w:rsid w:val="0062380E"/>
    <w:rsid w:val="00634467"/>
    <w:rsid w:val="006347C7"/>
    <w:rsid w:val="00670550"/>
    <w:rsid w:val="006736A3"/>
    <w:rsid w:val="0067403C"/>
    <w:rsid w:val="00676438"/>
    <w:rsid w:val="00695250"/>
    <w:rsid w:val="006A5E9B"/>
    <w:rsid w:val="006A60F4"/>
    <w:rsid w:val="006B05EF"/>
    <w:rsid w:val="006B4A2A"/>
    <w:rsid w:val="006D2A38"/>
    <w:rsid w:val="006D72D0"/>
    <w:rsid w:val="006F2E18"/>
    <w:rsid w:val="006F45A7"/>
    <w:rsid w:val="006F4917"/>
    <w:rsid w:val="00715E6E"/>
    <w:rsid w:val="007301B5"/>
    <w:rsid w:val="0073645B"/>
    <w:rsid w:val="00744819"/>
    <w:rsid w:val="00745A05"/>
    <w:rsid w:val="007467BD"/>
    <w:rsid w:val="00754BE1"/>
    <w:rsid w:val="00757B9E"/>
    <w:rsid w:val="00761FC4"/>
    <w:rsid w:val="00776C1B"/>
    <w:rsid w:val="00785BED"/>
    <w:rsid w:val="00790D03"/>
    <w:rsid w:val="00792343"/>
    <w:rsid w:val="00795857"/>
    <w:rsid w:val="007A20CD"/>
    <w:rsid w:val="007A5787"/>
    <w:rsid w:val="007B2B33"/>
    <w:rsid w:val="007B4D15"/>
    <w:rsid w:val="007B5D8E"/>
    <w:rsid w:val="007C7017"/>
    <w:rsid w:val="007D5832"/>
    <w:rsid w:val="007E02D3"/>
    <w:rsid w:val="007E5AB4"/>
    <w:rsid w:val="007F6BCB"/>
    <w:rsid w:val="007F72AE"/>
    <w:rsid w:val="007F746F"/>
    <w:rsid w:val="008005A1"/>
    <w:rsid w:val="00812F50"/>
    <w:rsid w:val="008331B2"/>
    <w:rsid w:val="0083344D"/>
    <w:rsid w:val="0083640D"/>
    <w:rsid w:val="0084682F"/>
    <w:rsid w:val="00847789"/>
    <w:rsid w:val="0086322B"/>
    <w:rsid w:val="00864DE8"/>
    <w:rsid w:val="00876A66"/>
    <w:rsid w:val="008A3DE1"/>
    <w:rsid w:val="008B3929"/>
    <w:rsid w:val="008C3620"/>
    <w:rsid w:val="008D6D0B"/>
    <w:rsid w:val="008F2D1A"/>
    <w:rsid w:val="008F6975"/>
    <w:rsid w:val="009015AC"/>
    <w:rsid w:val="00903EBE"/>
    <w:rsid w:val="0090446A"/>
    <w:rsid w:val="0091324E"/>
    <w:rsid w:val="00923586"/>
    <w:rsid w:val="009265F9"/>
    <w:rsid w:val="00927179"/>
    <w:rsid w:val="00930264"/>
    <w:rsid w:val="00932183"/>
    <w:rsid w:val="0093746B"/>
    <w:rsid w:val="009439A7"/>
    <w:rsid w:val="00950D2D"/>
    <w:rsid w:val="00954CDE"/>
    <w:rsid w:val="00955161"/>
    <w:rsid w:val="00957BB0"/>
    <w:rsid w:val="009607B6"/>
    <w:rsid w:val="009636DB"/>
    <w:rsid w:val="00971515"/>
    <w:rsid w:val="00971D02"/>
    <w:rsid w:val="0097768D"/>
    <w:rsid w:val="0098013D"/>
    <w:rsid w:val="00981CD5"/>
    <w:rsid w:val="009857C4"/>
    <w:rsid w:val="009B4626"/>
    <w:rsid w:val="009C18D9"/>
    <w:rsid w:val="009D416B"/>
    <w:rsid w:val="009E22D8"/>
    <w:rsid w:val="009E315A"/>
    <w:rsid w:val="009E7FF8"/>
    <w:rsid w:val="009F4A2B"/>
    <w:rsid w:val="009F4A57"/>
    <w:rsid w:val="00A20978"/>
    <w:rsid w:val="00A271FC"/>
    <w:rsid w:val="00A301BB"/>
    <w:rsid w:val="00A4254A"/>
    <w:rsid w:val="00A476E9"/>
    <w:rsid w:val="00A52257"/>
    <w:rsid w:val="00A5715F"/>
    <w:rsid w:val="00A63125"/>
    <w:rsid w:val="00A6768D"/>
    <w:rsid w:val="00A7502F"/>
    <w:rsid w:val="00A82EF7"/>
    <w:rsid w:val="00A95334"/>
    <w:rsid w:val="00AB0508"/>
    <w:rsid w:val="00AB1258"/>
    <w:rsid w:val="00AB3285"/>
    <w:rsid w:val="00AC3FEF"/>
    <w:rsid w:val="00AD5E50"/>
    <w:rsid w:val="00AE5228"/>
    <w:rsid w:val="00AF200F"/>
    <w:rsid w:val="00AF3EB1"/>
    <w:rsid w:val="00B00D95"/>
    <w:rsid w:val="00B04057"/>
    <w:rsid w:val="00B1058D"/>
    <w:rsid w:val="00B11161"/>
    <w:rsid w:val="00B167FE"/>
    <w:rsid w:val="00B21449"/>
    <w:rsid w:val="00B259ED"/>
    <w:rsid w:val="00B30A11"/>
    <w:rsid w:val="00B30AA4"/>
    <w:rsid w:val="00B33DF2"/>
    <w:rsid w:val="00B36FBB"/>
    <w:rsid w:val="00B520E2"/>
    <w:rsid w:val="00B57999"/>
    <w:rsid w:val="00B61B90"/>
    <w:rsid w:val="00B62B09"/>
    <w:rsid w:val="00B63E1B"/>
    <w:rsid w:val="00B76F35"/>
    <w:rsid w:val="00B829F6"/>
    <w:rsid w:val="00BA5366"/>
    <w:rsid w:val="00BB5FB2"/>
    <w:rsid w:val="00BC0809"/>
    <w:rsid w:val="00BC5A1E"/>
    <w:rsid w:val="00BC7A0E"/>
    <w:rsid w:val="00BE44B9"/>
    <w:rsid w:val="00BE77D5"/>
    <w:rsid w:val="00BF40BF"/>
    <w:rsid w:val="00BF7CB0"/>
    <w:rsid w:val="00C05526"/>
    <w:rsid w:val="00C106FB"/>
    <w:rsid w:val="00C20696"/>
    <w:rsid w:val="00C23E14"/>
    <w:rsid w:val="00C5252A"/>
    <w:rsid w:val="00C625AC"/>
    <w:rsid w:val="00C847C7"/>
    <w:rsid w:val="00C856B6"/>
    <w:rsid w:val="00C96CAA"/>
    <w:rsid w:val="00CA0B0D"/>
    <w:rsid w:val="00CA7F40"/>
    <w:rsid w:val="00CB7710"/>
    <w:rsid w:val="00CC4772"/>
    <w:rsid w:val="00CC478C"/>
    <w:rsid w:val="00CE1B0F"/>
    <w:rsid w:val="00CF3907"/>
    <w:rsid w:val="00D0231C"/>
    <w:rsid w:val="00D110B7"/>
    <w:rsid w:val="00D1340A"/>
    <w:rsid w:val="00D21B64"/>
    <w:rsid w:val="00D246B5"/>
    <w:rsid w:val="00D406FF"/>
    <w:rsid w:val="00D44E20"/>
    <w:rsid w:val="00D70652"/>
    <w:rsid w:val="00D74328"/>
    <w:rsid w:val="00D8424B"/>
    <w:rsid w:val="00D9391B"/>
    <w:rsid w:val="00DA4889"/>
    <w:rsid w:val="00DA70FB"/>
    <w:rsid w:val="00DB2644"/>
    <w:rsid w:val="00DB324C"/>
    <w:rsid w:val="00DB3AC3"/>
    <w:rsid w:val="00DB445F"/>
    <w:rsid w:val="00DC3520"/>
    <w:rsid w:val="00DD1B59"/>
    <w:rsid w:val="00DE762D"/>
    <w:rsid w:val="00DF0A33"/>
    <w:rsid w:val="00DF1252"/>
    <w:rsid w:val="00DF38E0"/>
    <w:rsid w:val="00E16DB1"/>
    <w:rsid w:val="00E2676F"/>
    <w:rsid w:val="00E50E03"/>
    <w:rsid w:val="00E55117"/>
    <w:rsid w:val="00E6131B"/>
    <w:rsid w:val="00E64262"/>
    <w:rsid w:val="00E7258B"/>
    <w:rsid w:val="00E824A0"/>
    <w:rsid w:val="00E826E7"/>
    <w:rsid w:val="00E9106B"/>
    <w:rsid w:val="00E93F34"/>
    <w:rsid w:val="00EA109D"/>
    <w:rsid w:val="00EA6AC0"/>
    <w:rsid w:val="00EB10F1"/>
    <w:rsid w:val="00EB4D5F"/>
    <w:rsid w:val="00EC224E"/>
    <w:rsid w:val="00EC24E9"/>
    <w:rsid w:val="00EC2587"/>
    <w:rsid w:val="00EC7293"/>
    <w:rsid w:val="00ED58D7"/>
    <w:rsid w:val="00ED6E36"/>
    <w:rsid w:val="00EE3D6B"/>
    <w:rsid w:val="00EF2EDE"/>
    <w:rsid w:val="00EF4296"/>
    <w:rsid w:val="00F066F1"/>
    <w:rsid w:val="00F12C41"/>
    <w:rsid w:val="00F30A09"/>
    <w:rsid w:val="00F3118C"/>
    <w:rsid w:val="00F4398E"/>
    <w:rsid w:val="00F477EA"/>
    <w:rsid w:val="00F505AC"/>
    <w:rsid w:val="00F52D38"/>
    <w:rsid w:val="00F54F1B"/>
    <w:rsid w:val="00F65136"/>
    <w:rsid w:val="00F75510"/>
    <w:rsid w:val="00F84119"/>
    <w:rsid w:val="00F85064"/>
    <w:rsid w:val="00F972F9"/>
    <w:rsid w:val="00FC59C9"/>
    <w:rsid w:val="00FD3E68"/>
    <w:rsid w:val="00FE1538"/>
    <w:rsid w:val="00FE4B30"/>
    <w:rsid w:val="00FE5AA4"/>
    <w:rsid w:val="00FF06D9"/>
    <w:rsid w:val="00FF0EE1"/>
    <w:rsid w:val="00FF51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80D52E2F-2207-4FD1-8B51-4F5B00F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con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semiHidden/>
    <w:unhideWhenUsed/>
    <w:rsid w:val="00DD1B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B59"/>
    <w:rPr>
      <w:sz w:val="20"/>
      <w:szCs w:val="20"/>
    </w:rPr>
  </w:style>
  <w:style w:type="character" w:styleId="Refdenotaalpie">
    <w:name w:val="footnote reference"/>
    <w:basedOn w:val="Fuentedeprrafopredeter"/>
    <w:uiPriority w:val="99"/>
    <w:semiHidden/>
    <w:unhideWhenUsed/>
    <w:rsid w:val="00DD1B59"/>
    <w:rPr>
      <w:vertAlign w:val="superscript"/>
    </w:rPr>
  </w:style>
  <w:style w:type="paragraph" w:styleId="Piedepgina">
    <w:name w:val="footer"/>
    <w:basedOn w:val="Normal"/>
    <w:link w:val="PiedepginaCar"/>
    <w:uiPriority w:val="99"/>
    <w:unhideWhenUsed/>
    <w:rsid w:val="00D21B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B64"/>
  </w:style>
  <w:style w:type="paragraph" w:styleId="Revisin">
    <w:name w:val="Revision"/>
    <w:hidden/>
    <w:uiPriority w:val="99"/>
    <w:semiHidden/>
    <w:rsid w:val="00057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122240474">
      <w:bodyDiv w:val="1"/>
      <w:marLeft w:val="0"/>
      <w:marRight w:val="0"/>
      <w:marTop w:val="0"/>
      <w:marBottom w:val="0"/>
      <w:divBdr>
        <w:top w:val="none" w:sz="0" w:space="0" w:color="auto"/>
        <w:left w:val="none" w:sz="0" w:space="0" w:color="auto"/>
        <w:bottom w:val="none" w:sz="0" w:space="0" w:color="auto"/>
        <w:right w:val="none" w:sz="0" w:space="0" w:color="auto"/>
      </w:divBdr>
    </w:div>
    <w:div w:id="125248288">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48907476">
      <w:bodyDiv w:val="1"/>
      <w:marLeft w:val="0"/>
      <w:marRight w:val="0"/>
      <w:marTop w:val="0"/>
      <w:marBottom w:val="0"/>
      <w:divBdr>
        <w:top w:val="none" w:sz="0" w:space="0" w:color="auto"/>
        <w:left w:val="none" w:sz="0" w:space="0" w:color="auto"/>
        <w:bottom w:val="none" w:sz="0" w:space="0" w:color="auto"/>
        <w:right w:val="none" w:sz="0" w:space="0" w:color="auto"/>
      </w:divBdr>
    </w:div>
    <w:div w:id="201865527">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339818049">
      <w:bodyDiv w:val="1"/>
      <w:marLeft w:val="0"/>
      <w:marRight w:val="0"/>
      <w:marTop w:val="0"/>
      <w:marBottom w:val="0"/>
      <w:divBdr>
        <w:top w:val="none" w:sz="0" w:space="0" w:color="auto"/>
        <w:left w:val="none" w:sz="0" w:space="0" w:color="auto"/>
        <w:bottom w:val="none" w:sz="0" w:space="0" w:color="auto"/>
        <w:right w:val="none" w:sz="0" w:space="0" w:color="auto"/>
      </w:divBdr>
    </w:div>
    <w:div w:id="352075573">
      <w:bodyDiv w:val="1"/>
      <w:marLeft w:val="0"/>
      <w:marRight w:val="0"/>
      <w:marTop w:val="0"/>
      <w:marBottom w:val="0"/>
      <w:divBdr>
        <w:top w:val="none" w:sz="0" w:space="0" w:color="auto"/>
        <w:left w:val="none" w:sz="0" w:space="0" w:color="auto"/>
        <w:bottom w:val="none" w:sz="0" w:space="0" w:color="auto"/>
        <w:right w:val="none" w:sz="0" w:space="0" w:color="auto"/>
      </w:divBdr>
    </w:div>
    <w:div w:id="396784029">
      <w:bodyDiv w:val="1"/>
      <w:marLeft w:val="0"/>
      <w:marRight w:val="0"/>
      <w:marTop w:val="0"/>
      <w:marBottom w:val="0"/>
      <w:divBdr>
        <w:top w:val="none" w:sz="0" w:space="0" w:color="auto"/>
        <w:left w:val="none" w:sz="0" w:space="0" w:color="auto"/>
        <w:bottom w:val="none" w:sz="0" w:space="0" w:color="auto"/>
        <w:right w:val="none" w:sz="0" w:space="0" w:color="auto"/>
      </w:divBdr>
    </w:div>
    <w:div w:id="439493414">
      <w:bodyDiv w:val="1"/>
      <w:marLeft w:val="0"/>
      <w:marRight w:val="0"/>
      <w:marTop w:val="0"/>
      <w:marBottom w:val="0"/>
      <w:divBdr>
        <w:top w:val="none" w:sz="0" w:space="0" w:color="auto"/>
        <w:left w:val="none" w:sz="0" w:space="0" w:color="auto"/>
        <w:bottom w:val="none" w:sz="0" w:space="0" w:color="auto"/>
        <w:right w:val="none" w:sz="0" w:space="0" w:color="auto"/>
      </w:divBdr>
    </w:div>
    <w:div w:id="625551796">
      <w:bodyDiv w:val="1"/>
      <w:marLeft w:val="0"/>
      <w:marRight w:val="0"/>
      <w:marTop w:val="0"/>
      <w:marBottom w:val="0"/>
      <w:divBdr>
        <w:top w:val="none" w:sz="0" w:space="0" w:color="auto"/>
        <w:left w:val="none" w:sz="0" w:space="0" w:color="auto"/>
        <w:bottom w:val="none" w:sz="0" w:space="0" w:color="auto"/>
        <w:right w:val="none" w:sz="0" w:space="0" w:color="auto"/>
      </w:divBdr>
    </w:div>
    <w:div w:id="719136437">
      <w:bodyDiv w:val="1"/>
      <w:marLeft w:val="0"/>
      <w:marRight w:val="0"/>
      <w:marTop w:val="0"/>
      <w:marBottom w:val="0"/>
      <w:divBdr>
        <w:top w:val="none" w:sz="0" w:space="0" w:color="auto"/>
        <w:left w:val="none" w:sz="0" w:space="0" w:color="auto"/>
        <w:bottom w:val="none" w:sz="0" w:space="0" w:color="auto"/>
        <w:right w:val="none" w:sz="0" w:space="0" w:color="auto"/>
      </w:divBdr>
    </w:div>
    <w:div w:id="754983437">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52783224">
      <w:bodyDiv w:val="1"/>
      <w:marLeft w:val="0"/>
      <w:marRight w:val="0"/>
      <w:marTop w:val="0"/>
      <w:marBottom w:val="0"/>
      <w:divBdr>
        <w:top w:val="none" w:sz="0" w:space="0" w:color="auto"/>
        <w:left w:val="none" w:sz="0" w:space="0" w:color="auto"/>
        <w:bottom w:val="none" w:sz="0" w:space="0" w:color="auto"/>
        <w:right w:val="none" w:sz="0" w:space="0" w:color="auto"/>
      </w:divBdr>
    </w:div>
    <w:div w:id="993414741">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080833016">
      <w:bodyDiv w:val="1"/>
      <w:marLeft w:val="0"/>
      <w:marRight w:val="0"/>
      <w:marTop w:val="0"/>
      <w:marBottom w:val="0"/>
      <w:divBdr>
        <w:top w:val="none" w:sz="0" w:space="0" w:color="auto"/>
        <w:left w:val="none" w:sz="0" w:space="0" w:color="auto"/>
        <w:bottom w:val="none" w:sz="0" w:space="0" w:color="auto"/>
        <w:right w:val="none" w:sz="0" w:space="0" w:color="auto"/>
      </w:divBdr>
    </w:div>
    <w:div w:id="1115948306">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159734673">
      <w:bodyDiv w:val="1"/>
      <w:marLeft w:val="0"/>
      <w:marRight w:val="0"/>
      <w:marTop w:val="0"/>
      <w:marBottom w:val="0"/>
      <w:divBdr>
        <w:top w:val="none" w:sz="0" w:space="0" w:color="auto"/>
        <w:left w:val="none" w:sz="0" w:space="0" w:color="auto"/>
        <w:bottom w:val="none" w:sz="0" w:space="0" w:color="auto"/>
        <w:right w:val="none" w:sz="0" w:space="0" w:color="auto"/>
      </w:divBdr>
    </w:div>
    <w:div w:id="1187863658">
      <w:bodyDiv w:val="1"/>
      <w:marLeft w:val="0"/>
      <w:marRight w:val="0"/>
      <w:marTop w:val="0"/>
      <w:marBottom w:val="0"/>
      <w:divBdr>
        <w:top w:val="none" w:sz="0" w:space="0" w:color="auto"/>
        <w:left w:val="none" w:sz="0" w:space="0" w:color="auto"/>
        <w:bottom w:val="none" w:sz="0" w:space="0" w:color="auto"/>
        <w:right w:val="none" w:sz="0" w:space="0" w:color="auto"/>
      </w:divBdr>
    </w:div>
    <w:div w:id="1273317813">
      <w:bodyDiv w:val="1"/>
      <w:marLeft w:val="0"/>
      <w:marRight w:val="0"/>
      <w:marTop w:val="0"/>
      <w:marBottom w:val="0"/>
      <w:divBdr>
        <w:top w:val="none" w:sz="0" w:space="0" w:color="auto"/>
        <w:left w:val="none" w:sz="0" w:space="0" w:color="auto"/>
        <w:bottom w:val="none" w:sz="0" w:space="0" w:color="auto"/>
        <w:right w:val="none" w:sz="0" w:space="0" w:color="auto"/>
      </w:divBdr>
    </w:div>
    <w:div w:id="1299844693">
      <w:bodyDiv w:val="1"/>
      <w:marLeft w:val="0"/>
      <w:marRight w:val="0"/>
      <w:marTop w:val="0"/>
      <w:marBottom w:val="0"/>
      <w:divBdr>
        <w:top w:val="none" w:sz="0" w:space="0" w:color="auto"/>
        <w:left w:val="none" w:sz="0" w:space="0" w:color="auto"/>
        <w:bottom w:val="none" w:sz="0" w:space="0" w:color="auto"/>
        <w:right w:val="none" w:sz="0" w:space="0" w:color="auto"/>
      </w:divBdr>
    </w:div>
    <w:div w:id="1300457411">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387027488">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75678592">
      <w:bodyDiv w:val="1"/>
      <w:marLeft w:val="0"/>
      <w:marRight w:val="0"/>
      <w:marTop w:val="0"/>
      <w:marBottom w:val="0"/>
      <w:divBdr>
        <w:top w:val="none" w:sz="0" w:space="0" w:color="auto"/>
        <w:left w:val="none" w:sz="0" w:space="0" w:color="auto"/>
        <w:bottom w:val="none" w:sz="0" w:space="0" w:color="auto"/>
        <w:right w:val="none" w:sz="0" w:space="0" w:color="auto"/>
      </w:divBdr>
    </w:div>
    <w:div w:id="1524127843">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75357797">
      <w:bodyDiv w:val="1"/>
      <w:marLeft w:val="0"/>
      <w:marRight w:val="0"/>
      <w:marTop w:val="0"/>
      <w:marBottom w:val="0"/>
      <w:divBdr>
        <w:top w:val="none" w:sz="0" w:space="0" w:color="auto"/>
        <w:left w:val="none" w:sz="0" w:space="0" w:color="auto"/>
        <w:bottom w:val="none" w:sz="0" w:space="0" w:color="auto"/>
        <w:right w:val="none" w:sz="0" w:space="0" w:color="auto"/>
      </w:divBdr>
    </w:div>
    <w:div w:id="1581327209">
      <w:bodyDiv w:val="1"/>
      <w:marLeft w:val="0"/>
      <w:marRight w:val="0"/>
      <w:marTop w:val="0"/>
      <w:marBottom w:val="0"/>
      <w:divBdr>
        <w:top w:val="none" w:sz="0" w:space="0" w:color="auto"/>
        <w:left w:val="none" w:sz="0" w:space="0" w:color="auto"/>
        <w:bottom w:val="none" w:sz="0" w:space="0" w:color="auto"/>
        <w:right w:val="none" w:sz="0" w:space="0" w:color="auto"/>
      </w:divBdr>
    </w:div>
    <w:div w:id="1647583956">
      <w:bodyDiv w:val="1"/>
      <w:marLeft w:val="0"/>
      <w:marRight w:val="0"/>
      <w:marTop w:val="0"/>
      <w:marBottom w:val="0"/>
      <w:divBdr>
        <w:top w:val="none" w:sz="0" w:space="0" w:color="auto"/>
        <w:left w:val="none" w:sz="0" w:space="0" w:color="auto"/>
        <w:bottom w:val="none" w:sz="0" w:space="0" w:color="auto"/>
        <w:right w:val="none" w:sz="0" w:space="0" w:color="auto"/>
      </w:divBdr>
    </w:div>
    <w:div w:id="1649896080">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80638179">
      <w:bodyDiv w:val="1"/>
      <w:marLeft w:val="0"/>
      <w:marRight w:val="0"/>
      <w:marTop w:val="0"/>
      <w:marBottom w:val="0"/>
      <w:divBdr>
        <w:top w:val="none" w:sz="0" w:space="0" w:color="auto"/>
        <w:left w:val="none" w:sz="0" w:space="0" w:color="auto"/>
        <w:bottom w:val="none" w:sz="0" w:space="0" w:color="auto"/>
        <w:right w:val="none" w:sz="0" w:space="0" w:color="auto"/>
      </w:divBdr>
    </w:div>
    <w:div w:id="1812088573">
      <w:bodyDiv w:val="1"/>
      <w:marLeft w:val="0"/>
      <w:marRight w:val="0"/>
      <w:marTop w:val="0"/>
      <w:marBottom w:val="0"/>
      <w:divBdr>
        <w:top w:val="none" w:sz="0" w:space="0" w:color="auto"/>
        <w:left w:val="none" w:sz="0" w:space="0" w:color="auto"/>
        <w:bottom w:val="none" w:sz="0" w:space="0" w:color="auto"/>
        <w:right w:val="none" w:sz="0" w:space="0" w:color="auto"/>
      </w:divBdr>
    </w:div>
    <w:div w:id="1851483327">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889219537">
      <w:bodyDiv w:val="1"/>
      <w:marLeft w:val="0"/>
      <w:marRight w:val="0"/>
      <w:marTop w:val="0"/>
      <w:marBottom w:val="0"/>
      <w:divBdr>
        <w:top w:val="none" w:sz="0" w:space="0" w:color="auto"/>
        <w:left w:val="none" w:sz="0" w:space="0" w:color="auto"/>
        <w:bottom w:val="none" w:sz="0" w:space="0" w:color="auto"/>
        <w:right w:val="none" w:sz="0" w:space="0" w:color="auto"/>
      </w:divBdr>
    </w:div>
    <w:div w:id="2025740320">
      <w:bodyDiv w:val="1"/>
      <w:marLeft w:val="0"/>
      <w:marRight w:val="0"/>
      <w:marTop w:val="0"/>
      <w:marBottom w:val="0"/>
      <w:divBdr>
        <w:top w:val="none" w:sz="0" w:space="0" w:color="auto"/>
        <w:left w:val="none" w:sz="0" w:space="0" w:color="auto"/>
        <w:bottom w:val="none" w:sz="0" w:space="0" w:color="auto"/>
        <w:right w:val="none" w:sz="0" w:space="0" w:color="auto"/>
      </w:divBdr>
    </w:div>
    <w:div w:id="2057507320">
      <w:bodyDiv w:val="1"/>
      <w:marLeft w:val="0"/>
      <w:marRight w:val="0"/>
      <w:marTop w:val="0"/>
      <w:marBottom w:val="0"/>
      <w:divBdr>
        <w:top w:val="none" w:sz="0" w:space="0" w:color="auto"/>
        <w:left w:val="none" w:sz="0" w:space="0" w:color="auto"/>
        <w:bottom w:val="none" w:sz="0" w:space="0" w:color="auto"/>
        <w:right w:val="none" w:sz="0" w:space="0" w:color="auto"/>
      </w:divBdr>
    </w:div>
    <w:div w:id="2071615250">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 w:id="2100253946">
      <w:bodyDiv w:val="1"/>
      <w:marLeft w:val="0"/>
      <w:marRight w:val="0"/>
      <w:marTop w:val="0"/>
      <w:marBottom w:val="0"/>
      <w:divBdr>
        <w:top w:val="none" w:sz="0" w:space="0" w:color="auto"/>
        <w:left w:val="none" w:sz="0" w:space="0" w:color="auto"/>
        <w:bottom w:val="none" w:sz="0" w:space="0" w:color="auto"/>
        <w:right w:val="none" w:sz="0" w:space="0" w:color="auto"/>
      </w:divBdr>
    </w:div>
    <w:div w:id="21199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THE%20BRICS%20&amp;%20Emerging%20Economies%20%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eenk\Dropbox\DGEI%20-%20UNAM\Reportes%20Rankings\Estadisticas\THE%20BRICS%20&amp;%20Emerging%20Economies%20%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4"/>
              </a:solidFill>
              <a:ln>
                <a:noFill/>
              </a:ln>
              <a:effectLst/>
            </c:spPr>
            <c:extLst>
              <c:ext xmlns:c16="http://schemas.microsoft.com/office/drawing/2014/chart" uri="{C3380CC4-5D6E-409C-BE32-E72D297353CC}">
                <c16:uniqueId val="{00000001-0FB1-4A54-B714-850A0A039972}"/>
              </c:ext>
            </c:extLst>
          </c:dPt>
          <c:dPt>
            <c:idx val="2"/>
            <c:invertIfNegative val="0"/>
            <c:bubble3D val="0"/>
            <c:spPr>
              <a:solidFill>
                <a:schemeClr val="accent6"/>
              </a:solidFill>
              <a:ln>
                <a:noFill/>
              </a:ln>
              <a:effectLst/>
            </c:spPr>
            <c:extLst>
              <c:ext xmlns:c16="http://schemas.microsoft.com/office/drawing/2014/chart" uri="{C3380CC4-5D6E-409C-BE32-E72D297353CC}">
                <c16:uniqueId val="{00000003-0FB1-4A54-B714-850A0A039972}"/>
              </c:ext>
            </c:extLst>
          </c:dPt>
          <c:dPt>
            <c:idx val="3"/>
            <c:invertIfNegative val="0"/>
            <c:bubble3D val="0"/>
            <c:spPr>
              <a:solidFill>
                <a:schemeClr val="accent2">
                  <a:lumMod val="50000"/>
                </a:schemeClr>
              </a:solidFill>
              <a:ln>
                <a:noFill/>
              </a:ln>
              <a:effectLst/>
            </c:spPr>
            <c:extLst>
              <c:ext xmlns:c16="http://schemas.microsoft.com/office/drawing/2014/chart" uri="{C3380CC4-5D6E-409C-BE32-E72D297353CC}">
                <c16:uniqueId val="{00000005-0FB1-4A54-B714-850A0A039972}"/>
              </c:ext>
            </c:extLst>
          </c:dPt>
          <c:dPt>
            <c:idx val="4"/>
            <c:invertIfNegative val="0"/>
            <c:bubble3D val="0"/>
            <c:spPr>
              <a:solidFill>
                <a:srgbClr val="7030A0"/>
              </a:solidFill>
              <a:ln>
                <a:noFill/>
              </a:ln>
              <a:effectLst/>
            </c:spPr>
            <c:extLst>
              <c:ext xmlns:c16="http://schemas.microsoft.com/office/drawing/2014/chart" uri="{C3380CC4-5D6E-409C-BE32-E72D297353CC}">
                <c16:uniqueId val="{00000007-0FB1-4A54-B714-850A0A039972}"/>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Paises!$A$1:$A$5</c:f>
              <c:strCache>
                <c:ptCount val="5"/>
                <c:pt idx="0">
                  <c:v>Brasil</c:v>
                </c:pt>
                <c:pt idx="1">
                  <c:v>Chile</c:v>
                </c:pt>
                <c:pt idx="2">
                  <c:v>México</c:v>
                </c:pt>
                <c:pt idx="3">
                  <c:v>Colombia</c:v>
                </c:pt>
                <c:pt idx="4">
                  <c:v>Perú</c:v>
                </c:pt>
              </c:strCache>
            </c:strRef>
          </c:cat>
          <c:val>
            <c:numRef>
              <c:f>Paises!$B$1:$B$5</c:f>
              <c:numCache>
                <c:formatCode>General</c:formatCode>
                <c:ptCount val="5"/>
                <c:pt idx="0">
                  <c:v>52</c:v>
                </c:pt>
                <c:pt idx="1">
                  <c:v>21</c:v>
                </c:pt>
                <c:pt idx="2">
                  <c:v>16</c:v>
                </c:pt>
                <c:pt idx="3">
                  <c:v>9</c:v>
                </c:pt>
                <c:pt idx="4">
                  <c:v>2</c:v>
                </c:pt>
              </c:numCache>
            </c:numRef>
          </c:val>
          <c:extLst>
            <c:ext xmlns:c16="http://schemas.microsoft.com/office/drawing/2014/chart" uri="{C3380CC4-5D6E-409C-BE32-E72D297353CC}">
              <c16:uniqueId val="{00000008-0FB1-4A54-B714-850A0A039972}"/>
            </c:ext>
          </c:extLst>
        </c:ser>
        <c:dLbls>
          <c:dLblPos val="outEnd"/>
          <c:showLegendKey val="0"/>
          <c:showVal val="1"/>
          <c:showCatName val="0"/>
          <c:showSerName val="0"/>
          <c:showPercent val="0"/>
          <c:showBubbleSize val="0"/>
        </c:dLbls>
        <c:gapWidth val="219"/>
        <c:overlap val="-27"/>
        <c:axId val="1007392272"/>
        <c:axId val="1007540528"/>
      </c:barChart>
      <c:catAx>
        <c:axId val="100739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007540528"/>
        <c:crosses val="autoZero"/>
        <c:auto val="1"/>
        <c:lblAlgn val="ctr"/>
        <c:lblOffset val="100"/>
        <c:noMultiLvlLbl val="0"/>
      </c:catAx>
      <c:valAx>
        <c:axId val="10075405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1007392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'UNAM historico'!$A$27</c:f>
              <c:strCache>
                <c:ptCount val="1"/>
                <c:pt idx="0">
                  <c:v>UNAM</c:v>
                </c:pt>
              </c:strCache>
            </c:strRef>
          </c:tx>
          <c:spPr>
            <a:ln w="28575" cap="rnd">
              <a:solidFill>
                <a:schemeClr val="accent1"/>
              </a:solidFill>
              <a:round/>
            </a:ln>
            <a:effectLst/>
          </c:spPr>
          <c:marker>
            <c:symbol val="none"/>
          </c:marker>
          <c:dLbls>
            <c:dLbl>
              <c:idx val="0"/>
              <c:layout>
                <c:manualLayout>
                  <c:x val="-3.9055555555555656E-2"/>
                  <c:y val="3.238557070610072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5B-4573-9635-EE9C598316E7}"/>
                </c:ext>
              </c:extLst>
            </c:dLbl>
            <c:dLbl>
              <c:idx val="1"/>
              <c:layout>
                <c:manualLayout>
                  <c:x val="-4.9684684684684767E-2"/>
                  <c:y val="1.11747666268712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5B-4573-9635-EE9C598316E7}"/>
                </c:ext>
              </c:extLst>
            </c:dLbl>
            <c:dLbl>
              <c:idx val="2"/>
              <c:layout>
                <c:manualLayout>
                  <c:x val="-5.4267441399947408E-2"/>
                  <c:y val="-1.56915849704970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5B-4573-9635-EE9C598316E7}"/>
                </c:ext>
              </c:extLst>
            </c:dLbl>
            <c:dLbl>
              <c:idx val="3"/>
              <c:layout>
                <c:manualLayout>
                  <c:x val="-5.2643478066283063E-2"/>
                  <c:y val="2.39186917507920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5B-4573-9635-EE9C598316E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'UNAM historico'!$E$26:$I$26</c:f>
              <c:numCache>
                <c:formatCode>General</c:formatCode>
                <c:ptCount val="5"/>
                <c:pt idx="0">
                  <c:v>2017</c:v>
                </c:pt>
                <c:pt idx="1">
                  <c:v>2018</c:v>
                </c:pt>
                <c:pt idx="2">
                  <c:v>2019</c:v>
                </c:pt>
                <c:pt idx="3">
                  <c:v>2020</c:v>
                </c:pt>
                <c:pt idx="4">
                  <c:v>2021</c:v>
                </c:pt>
              </c:numCache>
            </c:numRef>
          </c:cat>
          <c:val>
            <c:numRef>
              <c:f>'UNAM historico'!$E$27:$I$27</c:f>
              <c:numCache>
                <c:formatCode>General</c:formatCode>
                <c:ptCount val="5"/>
                <c:pt idx="0">
                  <c:v>46</c:v>
                </c:pt>
                <c:pt idx="1">
                  <c:v>68</c:v>
                </c:pt>
                <c:pt idx="2">
                  <c:v>93</c:v>
                </c:pt>
                <c:pt idx="3">
                  <c:v>120</c:v>
                </c:pt>
                <c:pt idx="4">
                  <c:v>129</c:v>
                </c:pt>
              </c:numCache>
            </c:numRef>
          </c:val>
          <c:smooth val="0"/>
          <c:extLst>
            <c:ext xmlns:c16="http://schemas.microsoft.com/office/drawing/2014/chart" uri="{C3380CC4-5D6E-409C-BE32-E72D297353CC}">
              <c16:uniqueId val="{00000004-A85B-4573-9635-EE9C598316E7}"/>
            </c:ext>
          </c:extLst>
        </c:ser>
        <c:ser>
          <c:idx val="1"/>
          <c:order val="1"/>
          <c:tx>
            <c:strRef>
              <c:f>'UNAM historico'!$A$28</c:f>
              <c:strCache>
                <c:ptCount val="1"/>
                <c:pt idx="0">
                  <c:v>ITESM</c:v>
                </c:pt>
              </c:strCache>
            </c:strRef>
          </c:tx>
          <c:spPr>
            <a:ln w="28575" cap="rnd">
              <a:solidFill>
                <a:schemeClr val="accent2"/>
              </a:solidFill>
              <a:round/>
            </a:ln>
            <a:effectLst/>
          </c:spPr>
          <c:marker>
            <c:symbol val="none"/>
          </c:marker>
          <c:dLbls>
            <c:dLbl>
              <c:idx val="0"/>
              <c:layout>
                <c:manualLayout>
                  <c:x val="-2.7268745123075831E-2"/>
                  <c:y val="-2.65733416653851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5B-4573-9635-EE9C598316E7}"/>
                </c:ext>
              </c:extLst>
            </c:dLbl>
            <c:dLbl>
              <c:idx val="1"/>
              <c:layout>
                <c:manualLayout>
                  <c:x val="-1.8153153153153152E-2"/>
                  <c:y val="-3.02429900258716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5B-4573-9635-EE9C598316E7}"/>
                </c:ext>
              </c:extLst>
            </c:dLbl>
            <c:dLbl>
              <c:idx val="4"/>
              <c:layout>
                <c:manualLayout>
                  <c:x val="-5.4202795375759033E-2"/>
                  <c:y val="2.71046730317721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5B-4573-9635-EE9C598316E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'UNAM historico'!$E$26:$I$26</c:f>
              <c:numCache>
                <c:formatCode>General</c:formatCode>
                <c:ptCount val="5"/>
                <c:pt idx="0">
                  <c:v>2017</c:v>
                </c:pt>
                <c:pt idx="1">
                  <c:v>2018</c:v>
                </c:pt>
                <c:pt idx="2">
                  <c:v>2019</c:v>
                </c:pt>
                <c:pt idx="3">
                  <c:v>2020</c:v>
                </c:pt>
                <c:pt idx="4">
                  <c:v>2021</c:v>
                </c:pt>
              </c:numCache>
            </c:numRef>
          </c:cat>
          <c:val>
            <c:numRef>
              <c:f>'UNAM historico'!$E$28:$I$28</c:f>
              <c:numCache>
                <c:formatCode>General</c:formatCode>
                <c:ptCount val="5"/>
                <c:pt idx="0">
                  <c:v>36</c:v>
                </c:pt>
                <c:pt idx="1">
                  <c:v>68</c:v>
                </c:pt>
                <c:pt idx="2">
                  <c:v>90</c:v>
                </c:pt>
                <c:pt idx="3">
                  <c:v>115</c:v>
                </c:pt>
                <c:pt idx="4">
                  <c:v>131</c:v>
                </c:pt>
              </c:numCache>
            </c:numRef>
          </c:val>
          <c:smooth val="0"/>
          <c:extLst>
            <c:ext xmlns:c16="http://schemas.microsoft.com/office/drawing/2014/chart" uri="{C3380CC4-5D6E-409C-BE32-E72D297353CC}">
              <c16:uniqueId val="{00000008-A85B-4573-9635-EE9C598316E7}"/>
            </c:ext>
          </c:extLst>
        </c:ser>
        <c:dLbls>
          <c:dLblPos val="t"/>
          <c:showLegendKey val="0"/>
          <c:showVal val="1"/>
          <c:showCatName val="0"/>
          <c:showSerName val="0"/>
          <c:showPercent val="0"/>
          <c:showBubbleSize val="0"/>
        </c:dLbls>
        <c:smooth val="0"/>
        <c:axId val="334142416"/>
        <c:axId val="334137712"/>
      </c:lineChart>
      <c:catAx>
        <c:axId val="33414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34137712"/>
        <c:crosses val="max"/>
        <c:auto val="1"/>
        <c:lblAlgn val="ctr"/>
        <c:lblOffset val="100"/>
        <c:noMultiLvlLbl val="0"/>
      </c:catAx>
      <c:valAx>
        <c:axId val="334137712"/>
        <c:scaling>
          <c:orientation val="maxMin"/>
          <c:max val="140"/>
          <c:min val="30"/>
        </c:scaling>
        <c:delete val="1"/>
        <c:axPos val="l"/>
        <c:numFmt formatCode="General" sourceLinked="1"/>
        <c:majorTickMark val="none"/>
        <c:minorTickMark val="none"/>
        <c:tickLblPos val="nextTo"/>
        <c:crossAx val="334142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6C9D3-1E3F-4526-A45F-CCF7A9CF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Pages>
  <Words>2976</Words>
  <Characters>16374</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JESUS ADRIAN QUINTERO LOPEZ</cp:lastModifiedBy>
  <cp:revision>75</cp:revision>
  <cp:lastPrinted>2020-02-18T23:26:00Z</cp:lastPrinted>
  <dcterms:created xsi:type="dcterms:W3CDTF">2020-02-18T17:21:00Z</dcterms:created>
  <dcterms:modified xsi:type="dcterms:W3CDTF">2021-03-10T20:44:00Z</dcterms:modified>
</cp:coreProperties>
</file>