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5EB3" w14:textId="77777777" w:rsidR="001511A2" w:rsidRPr="00742115" w:rsidRDefault="001511A2" w:rsidP="00365884">
      <w:pPr>
        <w:spacing w:after="0" w:line="240" w:lineRule="auto"/>
        <w:jc w:val="center"/>
        <w:rPr>
          <w:b/>
          <w:sz w:val="24"/>
        </w:rPr>
      </w:pPr>
      <w:bookmarkStart w:id="0" w:name="_Hlk66210034"/>
      <w:r w:rsidRPr="00742115">
        <w:rPr>
          <w:b/>
          <w:sz w:val="24"/>
        </w:rPr>
        <w:t>Dirección General de Evaluación Institucional</w:t>
      </w:r>
    </w:p>
    <w:p w14:paraId="6A06AB9A" w14:textId="5596A88F" w:rsidR="001511A2" w:rsidRPr="00742115" w:rsidRDefault="00E7560F" w:rsidP="00365884">
      <w:pPr>
        <w:spacing w:after="0" w:line="240" w:lineRule="auto"/>
        <w:jc w:val="center"/>
        <w:rPr>
          <w:b/>
          <w:sz w:val="24"/>
        </w:rPr>
      </w:pPr>
      <w:r w:rsidRPr="00742115">
        <w:rPr>
          <w:b/>
          <w:sz w:val="24"/>
        </w:rPr>
        <w:t>Ciudad Universitaria, CDMX, 1</w:t>
      </w:r>
      <w:r w:rsidR="00607B17">
        <w:rPr>
          <w:b/>
          <w:sz w:val="24"/>
        </w:rPr>
        <w:t>2</w:t>
      </w:r>
      <w:r w:rsidR="007934C0" w:rsidRPr="00742115">
        <w:rPr>
          <w:b/>
          <w:sz w:val="24"/>
        </w:rPr>
        <w:t xml:space="preserve"> de </w:t>
      </w:r>
      <w:r w:rsidR="00607B17">
        <w:rPr>
          <w:b/>
          <w:sz w:val="24"/>
        </w:rPr>
        <w:t xml:space="preserve">octubre </w:t>
      </w:r>
      <w:r w:rsidR="007934C0" w:rsidRPr="00742115">
        <w:rPr>
          <w:b/>
          <w:sz w:val="24"/>
        </w:rPr>
        <w:t>de 202</w:t>
      </w:r>
      <w:r w:rsidR="00607B17">
        <w:rPr>
          <w:b/>
          <w:sz w:val="24"/>
        </w:rPr>
        <w:t>1</w:t>
      </w:r>
    </w:p>
    <w:p w14:paraId="1CF22417" w14:textId="77777777" w:rsidR="001511A2" w:rsidRPr="00742115" w:rsidRDefault="001511A2" w:rsidP="00365884">
      <w:pPr>
        <w:spacing w:after="0" w:line="240" w:lineRule="auto"/>
        <w:jc w:val="center"/>
        <w:rPr>
          <w:b/>
          <w:sz w:val="24"/>
        </w:rPr>
      </w:pPr>
    </w:p>
    <w:p w14:paraId="105F4479" w14:textId="58B17B57" w:rsidR="001511A2" w:rsidRPr="00742115" w:rsidRDefault="001511A2" w:rsidP="00365884">
      <w:pPr>
        <w:spacing w:after="0" w:line="240" w:lineRule="auto"/>
        <w:jc w:val="center"/>
        <w:rPr>
          <w:b/>
          <w:sz w:val="28"/>
          <w:szCs w:val="28"/>
        </w:rPr>
      </w:pPr>
      <w:r w:rsidRPr="00742115">
        <w:rPr>
          <w:b/>
          <w:sz w:val="28"/>
          <w:szCs w:val="28"/>
        </w:rPr>
        <w:t xml:space="preserve">UNAM EN </w:t>
      </w:r>
      <w:r w:rsidR="001A7CDB" w:rsidRPr="00D63267">
        <w:rPr>
          <w:b/>
          <w:i/>
          <w:iCs/>
          <w:sz w:val="28"/>
          <w:szCs w:val="28"/>
        </w:rPr>
        <w:t>TIMES HIGHER EDUCATION</w:t>
      </w:r>
      <w:r w:rsidR="001A7CDB" w:rsidRPr="00742115">
        <w:rPr>
          <w:b/>
          <w:sz w:val="28"/>
          <w:szCs w:val="28"/>
        </w:rPr>
        <w:t xml:space="preserve"> </w:t>
      </w:r>
      <w:r w:rsidR="0093746B" w:rsidRPr="00742115">
        <w:rPr>
          <w:b/>
          <w:sz w:val="28"/>
          <w:szCs w:val="28"/>
        </w:rPr>
        <w:t>BRICS Y ECONOMÍAS EMERGENTES</w:t>
      </w:r>
      <w:r w:rsidR="008B1BC3">
        <w:rPr>
          <w:b/>
          <w:sz w:val="28"/>
          <w:szCs w:val="28"/>
        </w:rPr>
        <w:t xml:space="preserve"> 2022</w:t>
      </w:r>
    </w:p>
    <w:p w14:paraId="47439AF1" w14:textId="77777777" w:rsidR="002577CF" w:rsidRPr="00742115" w:rsidRDefault="002577CF" w:rsidP="002577CF">
      <w:pPr>
        <w:spacing w:after="0" w:line="240" w:lineRule="auto"/>
        <w:ind w:left="708" w:hanging="708"/>
        <w:rPr>
          <w:sz w:val="24"/>
        </w:rPr>
      </w:pPr>
    </w:p>
    <w:p w14:paraId="079BE559" w14:textId="77777777" w:rsidR="002577CF" w:rsidRPr="00742115" w:rsidRDefault="002577CF" w:rsidP="002577C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42115">
        <w:rPr>
          <w:b/>
          <w:bCs/>
          <w:sz w:val="28"/>
          <w:szCs w:val="28"/>
        </w:rPr>
        <w:t>Resumen</w:t>
      </w:r>
    </w:p>
    <w:p w14:paraId="02BA39FD" w14:textId="77777777" w:rsidR="002577CF" w:rsidRPr="00742115" w:rsidRDefault="002577CF" w:rsidP="002577C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BC1AD1F" w14:textId="5A422C2E" w:rsidR="0085263B" w:rsidRPr="0085263B" w:rsidRDefault="008B1BC3" w:rsidP="00E44F28">
      <w:pPr>
        <w:spacing w:after="0" w:line="240" w:lineRule="auto"/>
        <w:jc w:val="both"/>
        <w:rPr>
          <w:b/>
          <w:bCs/>
          <w:sz w:val="24"/>
        </w:rPr>
      </w:pPr>
      <w:r w:rsidRPr="00607B17">
        <w:rPr>
          <w:b/>
          <w:bCs/>
          <w:sz w:val="24"/>
        </w:rPr>
        <w:t xml:space="preserve">En la edición 2022 del </w:t>
      </w:r>
      <w:r w:rsidR="008067C4" w:rsidRPr="0085263B">
        <w:rPr>
          <w:b/>
          <w:bCs/>
          <w:sz w:val="24"/>
        </w:rPr>
        <w:t>Ranking BRICS y Economías Emergentes</w:t>
      </w:r>
      <w:r w:rsidRPr="0085263B">
        <w:rPr>
          <w:b/>
          <w:bCs/>
          <w:sz w:val="24"/>
        </w:rPr>
        <w:t xml:space="preserve">, </w:t>
      </w:r>
      <w:r w:rsidRPr="00607B17">
        <w:rPr>
          <w:b/>
          <w:bCs/>
          <w:sz w:val="24"/>
        </w:rPr>
        <w:t xml:space="preserve">del </w:t>
      </w:r>
      <w:r w:rsidRPr="00D63267">
        <w:rPr>
          <w:b/>
          <w:bCs/>
          <w:i/>
          <w:iCs/>
          <w:sz w:val="24"/>
        </w:rPr>
        <w:t>Times Higher</w:t>
      </w:r>
      <w:r w:rsidR="0085263B" w:rsidRPr="00D63267">
        <w:rPr>
          <w:b/>
          <w:bCs/>
          <w:i/>
          <w:iCs/>
          <w:sz w:val="24"/>
        </w:rPr>
        <w:t xml:space="preserve"> Education</w:t>
      </w:r>
      <w:r w:rsidR="00607B17">
        <w:rPr>
          <w:b/>
          <w:bCs/>
          <w:sz w:val="24"/>
        </w:rPr>
        <w:t xml:space="preserve"> (THE)</w:t>
      </w:r>
      <w:r w:rsidRPr="00607B17">
        <w:rPr>
          <w:b/>
          <w:bCs/>
          <w:sz w:val="24"/>
        </w:rPr>
        <w:t xml:space="preserve">, </w:t>
      </w:r>
      <w:r w:rsidRPr="0085263B">
        <w:rPr>
          <w:b/>
          <w:bCs/>
          <w:sz w:val="24"/>
        </w:rPr>
        <w:t>la UNAM se ubicó en el 165</w:t>
      </w:r>
      <w:r w:rsidR="00607B17">
        <w:rPr>
          <w:b/>
          <w:bCs/>
          <w:sz w:val="24"/>
        </w:rPr>
        <w:t>º</w:t>
      </w:r>
      <w:r w:rsidRPr="00607B17">
        <w:rPr>
          <w:b/>
          <w:bCs/>
          <w:sz w:val="24"/>
          <w:vertAlign w:val="superscript"/>
        </w:rPr>
        <w:t xml:space="preserve"> </w:t>
      </w:r>
      <w:r w:rsidRPr="00607B17">
        <w:rPr>
          <w:b/>
          <w:bCs/>
          <w:sz w:val="24"/>
        </w:rPr>
        <w:t>lugar</w:t>
      </w:r>
      <w:r w:rsidR="0085263B" w:rsidRPr="0085263B">
        <w:rPr>
          <w:b/>
          <w:bCs/>
          <w:sz w:val="24"/>
        </w:rPr>
        <w:t xml:space="preserve"> a nivel internacional. </w:t>
      </w:r>
      <w:r w:rsidR="009F4A59">
        <w:rPr>
          <w:b/>
          <w:bCs/>
          <w:sz w:val="24"/>
        </w:rPr>
        <w:t>A su vez,</w:t>
      </w:r>
      <w:r w:rsidR="0085263B" w:rsidRPr="0085263B">
        <w:rPr>
          <w:b/>
          <w:bCs/>
          <w:sz w:val="24"/>
        </w:rPr>
        <w:t xml:space="preserve"> se clasificó en </w:t>
      </w:r>
      <w:r w:rsidRPr="0085263B">
        <w:rPr>
          <w:b/>
          <w:bCs/>
          <w:sz w:val="24"/>
        </w:rPr>
        <w:t>la 10ª posición de América Latina</w:t>
      </w:r>
      <w:r w:rsidR="0085263B" w:rsidRPr="0085263B">
        <w:rPr>
          <w:b/>
          <w:bCs/>
          <w:sz w:val="24"/>
        </w:rPr>
        <w:t xml:space="preserve"> </w:t>
      </w:r>
      <w:r w:rsidR="0085263B">
        <w:rPr>
          <w:b/>
          <w:bCs/>
          <w:sz w:val="24"/>
        </w:rPr>
        <w:t xml:space="preserve">y </w:t>
      </w:r>
      <w:r w:rsidR="0085263B" w:rsidRPr="0085263B">
        <w:rPr>
          <w:b/>
          <w:bCs/>
          <w:sz w:val="24"/>
        </w:rPr>
        <w:t xml:space="preserve">en </w:t>
      </w:r>
      <w:r w:rsidR="0074388E">
        <w:rPr>
          <w:b/>
          <w:bCs/>
          <w:sz w:val="24"/>
        </w:rPr>
        <w:t xml:space="preserve">el </w:t>
      </w:r>
      <w:r w:rsidR="0085263B" w:rsidRPr="0085263B">
        <w:rPr>
          <w:b/>
          <w:bCs/>
          <w:sz w:val="24"/>
        </w:rPr>
        <w:t>2</w:t>
      </w:r>
      <w:r w:rsidR="00607B17">
        <w:rPr>
          <w:b/>
          <w:bCs/>
          <w:sz w:val="24"/>
        </w:rPr>
        <w:t>º</w:t>
      </w:r>
      <w:r w:rsidR="0085263B" w:rsidRPr="0085263B">
        <w:rPr>
          <w:b/>
          <w:bCs/>
          <w:sz w:val="24"/>
        </w:rPr>
        <w:t xml:space="preserve"> lugar de México</w:t>
      </w:r>
      <w:r w:rsidR="0085263B">
        <w:rPr>
          <w:b/>
          <w:bCs/>
          <w:sz w:val="24"/>
        </w:rPr>
        <w:t>. C</w:t>
      </w:r>
      <w:r w:rsidR="0085263B" w:rsidRPr="0085263B">
        <w:rPr>
          <w:b/>
          <w:bCs/>
          <w:sz w:val="24"/>
        </w:rPr>
        <w:t>abe resaltar que la universidad tuvo un descenso de 36 lugares</w:t>
      </w:r>
      <w:r w:rsidR="0085263B">
        <w:rPr>
          <w:b/>
          <w:bCs/>
          <w:sz w:val="24"/>
        </w:rPr>
        <w:t xml:space="preserve"> </w:t>
      </w:r>
      <w:r w:rsidR="0085263B" w:rsidRPr="0085263B">
        <w:rPr>
          <w:b/>
          <w:bCs/>
          <w:sz w:val="24"/>
        </w:rPr>
        <w:t xml:space="preserve">con respecto </w:t>
      </w:r>
      <w:r w:rsidR="00BB6F96">
        <w:rPr>
          <w:b/>
          <w:bCs/>
          <w:sz w:val="24"/>
        </w:rPr>
        <w:t>al año pasado</w:t>
      </w:r>
      <w:r w:rsidR="0085263B" w:rsidRPr="00742115">
        <w:rPr>
          <w:sz w:val="24"/>
        </w:rPr>
        <w:t>.</w:t>
      </w:r>
    </w:p>
    <w:p w14:paraId="6605F167" w14:textId="77777777" w:rsidR="0085263B" w:rsidRDefault="0085263B" w:rsidP="00271E02">
      <w:pPr>
        <w:spacing w:after="0" w:line="240" w:lineRule="auto"/>
        <w:jc w:val="both"/>
        <w:rPr>
          <w:b/>
          <w:bCs/>
          <w:sz w:val="24"/>
        </w:rPr>
      </w:pPr>
    </w:p>
    <w:p w14:paraId="2C9EA28D" w14:textId="671BB186" w:rsidR="001D27C3" w:rsidRPr="00994952" w:rsidRDefault="001D27C3" w:rsidP="001D27C3">
      <w:pPr>
        <w:spacing w:after="0" w:line="240" w:lineRule="auto"/>
        <w:jc w:val="both"/>
        <w:rPr>
          <w:sz w:val="24"/>
        </w:rPr>
      </w:pPr>
      <w:r w:rsidRPr="00994952">
        <w:rPr>
          <w:sz w:val="24"/>
        </w:rPr>
        <w:t xml:space="preserve">El ranking incluye a universidades </w:t>
      </w:r>
      <w:r w:rsidR="00185910">
        <w:rPr>
          <w:sz w:val="24"/>
        </w:rPr>
        <w:t>pertenecientes a</w:t>
      </w:r>
      <w:r w:rsidR="009F4A59">
        <w:rPr>
          <w:sz w:val="24"/>
        </w:rPr>
        <w:t>l grupo de los BRICS (</w:t>
      </w:r>
      <w:r w:rsidR="009F4A59" w:rsidRPr="00620D2F">
        <w:rPr>
          <w:sz w:val="24"/>
        </w:rPr>
        <w:t>Brasil, Rusia, India, China y Sudáfrica</w:t>
      </w:r>
      <w:r w:rsidR="009F4A59">
        <w:rPr>
          <w:sz w:val="24"/>
        </w:rPr>
        <w:t>) y otros</w:t>
      </w:r>
      <w:r>
        <w:rPr>
          <w:sz w:val="24"/>
        </w:rPr>
        <w:t xml:space="preserve"> de los 54 </w:t>
      </w:r>
      <w:r w:rsidRPr="00994952">
        <w:rPr>
          <w:sz w:val="24"/>
        </w:rPr>
        <w:t>países considerados</w:t>
      </w:r>
      <w:r w:rsidR="00BB6F96">
        <w:rPr>
          <w:sz w:val="24"/>
        </w:rPr>
        <w:t xml:space="preserve"> como e</w:t>
      </w:r>
      <w:r w:rsidRPr="00994952">
        <w:rPr>
          <w:sz w:val="24"/>
        </w:rPr>
        <w:t xml:space="preserve">conomías </w:t>
      </w:r>
      <w:r w:rsidR="00BB6F96">
        <w:rPr>
          <w:sz w:val="24"/>
        </w:rPr>
        <w:t>e</w:t>
      </w:r>
      <w:r w:rsidRPr="00994952">
        <w:rPr>
          <w:sz w:val="24"/>
        </w:rPr>
        <w:t xml:space="preserve">mergentes </w:t>
      </w:r>
      <w:r>
        <w:rPr>
          <w:sz w:val="24"/>
        </w:rPr>
        <w:t xml:space="preserve">por el </w:t>
      </w:r>
      <w:r w:rsidRPr="009B2E10">
        <w:rPr>
          <w:sz w:val="24"/>
        </w:rPr>
        <w:t>FTSE Group</w:t>
      </w:r>
      <w:r w:rsidRPr="00742115">
        <w:rPr>
          <w:rStyle w:val="FootnoteReference"/>
          <w:bCs/>
          <w:iCs/>
          <w:sz w:val="24"/>
        </w:rPr>
        <w:footnoteReference w:id="1"/>
      </w:r>
      <w:r w:rsidRPr="001D27C3">
        <w:rPr>
          <w:i/>
          <w:sz w:val="24"/>
        </w:rPr>
        <w:t xml:space="preserve"> </w:t>
      </w:r>
      <w:r w:rsidRPr="00994952">
        <w:rPr>
          <w:sz w:val="24"/>
        </w:rPr>
        <w:t>de la Bolsa de Valores de Londres</w:t>
      </w:r>
      <w:r w:rsidR="00BB6F96">
        <w:rPr>
          <w:sz w:val="24"/>
        </w:rPr>
        <w:t>; esta clasificación incluye países catalogados</w:t>
      </w:r>
      <w:r w:rsidR="00BB6F96" w:rsidRPr="00994952">
        <w:rPr>
          <w:sz w:val="24"/>
        </w:rPr>
        <w:t xml:space="preserve"> </w:t>
      </w:r>
      <w:r w:rsidRPr="00994952">
        <w:rPr>
          <w:sz w:val="24"/>
        </w:rPr>
        <w:t xml:space="preserve">como “emergentes avanzados”, “emergentes secundarios” y “frontera”. </w:t>
      </w:r>
      <w:r>
        <w:rPr>
          <w:sz w:val="24"/>
        </w:rPr>
        <w:t xml:space="preserve">En </w:t>
      </w:r>
      <w:r w:rsidR="009B2E10">
        <w:rPr>
          <w:sz w:val="24"/>
        </w:rPr>
        <w:t>la región</w:t>
      </w:r>
      <w:r>
        <w:rPr>
          <w:sz w:val="24"/>
        </w:rPr>
        <w:t xml:space="preserve"> de América Latina, el</w:t>
      </w:r>
      <w:r w:rsidR="00284C0A">
        <w:rPr>
          <w:sz w:val="24"/>
        </w:rPr>
        <w:t xml:space="preserve"> ranking</w:t>
      </w:r>
      <w:r>
        <w:rPr>
          <w:sz w:val="24"/>
        </w:rPr>
        <w:t xml:space="preserve"> </w:t>
      </w:r>
      <w:r w:rsidR="00284C0A">
        <w:rPr>
          <w:sz w:val="24"/>
        </w:rPr>
        <w:t xml:space="preserve">solamente </w:t>
      </w:r>
      <w:r>
        <w:rPr>
          <w:sz w:val="24"/>
        </w:rPr>
        <w:t xml:space="preserve">considera como países emergentes a </w:t>
      </w:r>
      <w:r w:rsidRPr="00994952">
        <w:rPr>
          <w:sz w:val="24"/>
        </w:rPr>
        <w:t>Brasil</w:t>
      </w:r>
      <w:r>
        <w:rPr>
          <w:sz w:val="24"/>
        </w:rPr>
        <w:t xml:space="preserve">, </w:t>
      </w:r>
      <w:r w:rsidRPr="00994952">
        <w:rPr>
          <w:sz w:val="24"/>
        </w:rPr>
        <w:t>Chile</w:t>
      </w:r>
      <w:r>
        <w:rPr>
          <w:sz w:val="24"/>
        </w:rPr>
        <w:t xml:space="preserve">, </w:t>
      </w:r>
      <w:r w:rsidRPr="00994952">
        <w:rPr>
          <w:sz w:val="24"/>
        </w:rPr>
        <w:t>Colombia</w:t>
      </w:r>
      <w:r>
        <w:rPr>
          <w:sz w:val="24"/>
        </w:rPr>
        <w:t xml:space="preserve">, </w:t>
      </w:r>
      <w:r w:rsidRPr="00994952">
        <w:rPr>
          <w:sz w:val="24"/>
        </w:rPr>
        <w:t>México</w:t>
      </w:r>
      <w:r>
        <w:rPr>
          <w:sz w:val="24"/>
        </w:rPr>
        <w:t xml:space="preserve"> y </w:t>
      </w:r>
      <w:r w:rsidRPr="00994952">
        <w:rPr>
          <w:sz w:val="24"/>
        </w:rPr>
        <w:t>Perú</w:t>
      </w:r>
      <w:r>
        <w:rPr>
          <w:sz w:val="24"/>
        </w:rPr>
        <w:t xml:space="preserve">. </w:t>
      </w:r>
      <w:r w:rsidRPr="00620D2F">
        <w:rPr>
          <w:sz w:val="24"/>
        </w:rPr>
        <w:t xml:space="preserve">En esos países, se seleccionan </w:t>
      </w:r>
      <w:r>
        <w:rPr>
          <w:sz w:val="24"/>
        </w:rPr>
        <w:t xml:space="preserve">aquellas </w:t>
      </w:r>
      <w:r w:rsidRPr="00620D2F">
        <w:rPr>
          <w:sz w:val="24"/>
        </w:rPr>
        <w:t xml:space="preserve">universidades que cumplen con un mínimo de </w:t>
      </w:r>
      <w:r w:rsidRPr="00994952">
        <w:rPr>
          <w:sz w:val="24"/>
        </w:rPr>
        <w:t xml:space="preserve">1,000 publicaciones en revistas indexadas durante los últimos 5 años. </w:t>
      </w:r>
    </w:p>
    <w:p w14:paraId="0122BC4E" w14:textId="77777777" w:rsidR="001D27C3" w:rsidRPr="009D66AC" w:rsidRDefault="001D27C3" w:rsidP="00271E02">
      <w:pPr>
        <w:spacing w:after="0" w:line="240" w:lineRule="auto"/>
        <w:jc w:val="both"/>
        <w:rPr>
          <w:sz w:val="24"/>
        </w:rPr>
      </w:pPr>
    </w:p>
    <w:p w14:paraId="053E7FCC" w14:textId="46047621" w:rsidR="00271E02" w:rsidRPr="00742115" w:rsidRDefault="002577CF" w:rsidP="00271E02">
      <w:pPr>
        <w:spacing w:after="0" w:line="240" w:lineRule="auto"/>
        <w:jc w:val="both"/>
        <w:rPr>
          <w:sz w:val="24"/>
        </w:rPr>
      </w:pPr>
      <w:r w:rsidRPr="00742115">
        <w:rPr>
          <w:bCs/>
          <w:sz w:val="24"/>
        </w:rPr>
        <w:t xml:space="preserve">El ranking clasifica </w:t>
      </w:r>
      <w:r w:rsidRPr="00742115">
        <w:rPr>
          <w:sz w:val="24"/>
        </w:rPr>
        <w:t xml:space="preserve">a las universidades </w:t>
      </w:r>
      <w:r w:rsidR="00271E02" w:rsidRPr="00742115">
        <w:rPr>
          <w:sz w:val="24"/>
        </w:rPr>
        <w:t xml:space="preserve">utilizando </w:t>
      </w:r>
      <w:r w:rsidRPr="00742115">
        <w:rPr>
          <w:sz w:val="24"/>
        </w:rPr>
        <w:t xml:space="preserve">indicadores </w:t>
      </w:r>
      <w:r w:rsidR="00271E02" w:rsidRPr="00742115">
        <w:rPr>
          <w:sz w:val="24"/>
        </w:rPr>
        <w:t>bibliométricos</w:t>
      </w:r>
      <w:r w:rsidR="00D63267">
        <w:rPr>
          <w:sz w:val="24"/>
        </w:rPr>
        <w:t>,</w:t>
      </w:r>
      <w:r w:rsidR="00271E02" w:rsidRPr="00742115">
        <w:rPr>
          <w:sz w:val="24"/>
        </w:rPr>
        <w:t xml:space="preserve"> </w:t>
      </w:r>
      <w:r w:rsidRPr="00742115">
        <w:rPr>
          <w:sz w:val="24"/>
        </w:rPr>
        <w:t xml:space="preserve">como </w:t>
      </w:r>
      <w:r w:rsidR="00271E02" w:rsidRPr="00742115">
        <w:rPr>
          <w:sz w:val="24"/>
        </w:rPr>
        <w:t>artículos</w:t>
      </w:r>
      <w:r w:rsidR="00D63267">
        <w:rPr>
          <w:sz w:val="24"/>
        </w:rPr>
        <w:t xml:space="preserve"> y</w:t>
      </w:r>
      <w:r w:rsidR="00271E02" w:rsidRPr="00742115">
        <w:rPr>
          <w:sz w:val="24"/>
        </w:rPr>
        <w:t xml:space="preserve"> citas, financiamiento, entre otros</w:t>
      </w:r>
      <w:r w:rsidR="007A3ACB">
        <w:rPr>
          <w:sz w:val="24"/>
        </w:rPr>
        <w:t>;</w:t>
      </w:r>
      <w:r w:rsidR="007A3ACB" w:rsidRPr="00742115">
        <w:rPr>
          <w:sz w:val="24"/>
        </w:rPr>
        <w:t xml:space="preserve"> </w:t>
      </w:r>
      <w:r w:rsidR="00271E02" w:rsidRPr="00742115">
        <w:rPr>
          <w:sz w:val="24"/>
        </w:rPr>
        <w:t xml:space="preserve">así como los resultados de </w:t>
      </w:r>
      <w:r w:rsidR="0009674E">
        <w:rPr>
          <w:sz w:val="24"/>
        </w:rPr>
        <w:t xml:space="preserve">una encuesta reputacional aplicada por el </w:t>
      </w:r>
      <w:r w:rsidR="0009674E" w:rsidRPr="00D63267">
        <w:rPr>
          <w:i/>
          <w:iCs/>
          <w:sz w:val="24"/>
        </w:rPr>
        <w:t xml:space="preserve">Times </w:t>
      </w:r>
      <w:proofErr w:type="spellStart"/>
      <w:r w:rsidR="0009674E" w:rsidRPr="00D63267">
        <w:rPr>
          <w:i/>
          <w:iCs/>
          <w:sz w:val="24"/>
        </w:rPr>
        <w:t>Higher</w:t>
      </w:r>
      <w:proofErr w:type="spellEnd"/>
      <w:r w:rsidR="0009674E" w:rsidRPr="00D63267">
        <w:rPr>
          <w:i/>
          <w:iCs/>
          <w:sz w:val="24"/>
        </w:rPr>
        <w:t xml:space="preserve"> </w:t>
      </w:r>
      <w:proofErr w:type="spellStart"/>
      <w:r w:rsidR="0009674E" w:rsidRPr="00D63267">
        <w:rPr>
          <w:i/>
          <w:iCs/>
          <w:sz w:val="24"/>
        </w:rPr>
        <w:t>Education</w:t>
      </w:r>
      <w:proofErr w:type="spellEnd"/>
      <w:r w:rsidR="0009674E">
        <w:rPr>
          <w:sz w:val="24"/>
        </w:rPr>
        <w:t xml:space="preserve"> a</w:t>
      </w:r>
      <w:r w:rsidR="00AC03FD">
        <w:rPr>
          <w:sz w:val="24"/>
        </w:rPr>
        <w:t xml:space="preserve"> más de 20,000</w:t>
      </w:r>
      <w:r w:rsidR="0009674E">
        <w:rPr>
          <w:sz w:val="24"/>
        </w:rPr>
        <w:t xml:space="preserve"> académicos en distintas partes del mundo. La </w:t>
      </w:r>
      <w:r w:rsidR="00D000B2" w:rsidRPr="00742115">
        <w:rPr>
          <w:i/>
          <w:sz w:val="24"/>
        </w:rPr>
        <w:t>Encuesta Reputación Académica</w:t>
      </w:r>
      <w:r w:rsidR="00D000B2" w:rsidRPr="00742115">
        <w:rPr>
          <w:sz w:val="24"/>
        </w:rPr>
        <w:t xml:space="preserve"> </w:t>
      </w:r>
      <w:r w:rsidR="0009674E">
        <w:rPr>
          <w:sz w:val="24"/>
        </w:rPr>
        <w:t>tiene preguntas sobre la calidad de</w:t>
      </w:r>
      <w:r w:rsidR="00EB7BCF">
        <w:rPr>
          <w:sz w:val="24"/>
        </w:rPr>
        <w:t xml:space="preserve"> </w:t>
      </w:r>
      <w:r w:rsidR="0009674E">
        <w:rPr>
          <w:sz w:val="24"/>
        </w:rPr>
        <w:t>la</w:t>
      </w:r>
      <w:r w:rsidR="00271E02" w:rsidRPr="00742115">
        <w:rPr>
          <w:sz w:val="24"/>
        </w:rPr>
        <w:t xml:space="preserve"> doc</w:t>
      </w:r>
      <w:r w:rsidR="00476C56" w:rsidRPr="00742115">
        <w:rPr>
          <w:sz w:val="24"/>
        </w:rPr>
        <w:t xml:space="preserve">encia </w:t>
      </w:r>
      <w:r w:rsidR="00EB7BCF">
        <w:rPr>
          <w:sz w:val="24"/>
        </w:rPr>
        <w:t>y la</w:t>
      </w:r>
      <w:r w:rsidR="00476C56" w:rsidRPr="00742115">
        <w:rPr>
          <w:sz w:val="24"/>
        </w:rPr>
        <w:t xml:space="preserve"> investigación</w:t>
      </w:r>
      <w:r w:rsidR="00271E02" w:rsidRPr="00742115">
        <w:rPr>
          <w:sz w:val="24"/>
        </w:rPr>
        <w:t>.</w:t>
      </w:r>
    </w:p>
    <w:p w14:paraId="19190FDE" w14:textId="77777777" w:rsidR="00271E02" w:rsidRPr="00742115" w:rsidRDefault="00271E02" w:rsidP="002577CF">
      <w:pPr>
        <w:spacing w:after="0" w:line="240" w:lineRule="auto"/>
        <w:jc w:val="both"/>
        <w:rPr>
          <w:sz w:val="24"/>
        </w:rPr>
      </w:pPr>
    </w:p>
    <w:p w14:paraId="12D1BE35" w14:textId="6868F40D" w:rsidR="00C70BB5" w:rsidRPr="00742115" w:rsidRDefault="00C70BB5" w:rsidP="002577CF">
      <w:pPr>
        <w:spacing w:after="0" w:line="240" w:lineRule="auto"/>
        <w:jc w:val="both"/>
        <w:rPr>
          <w:rFonts w:cstheme="minorHAnsi"/>
          <w:bCs/>
          <w:sz w:val="24"/>
        </w:rPr>
      </w:pPr>
      <w:r w:rsidRPr="00742115">
        <w:rPr>
          <w:rFonts w:cstheme="minorHAnsi"/>
          <w:sz w:val="24"/>
        </w:rPr>
        <w:t xml:space="preserve">En la región de América Latina, Brasil es el país con el mayor número de universidades incluidas (59), </w:t>
      </w:r>
      <w:r w:rsidR="00167C47" w:rsidRPr="00742115">
        <w:rPr>
          <w:rFonts w:cstheme="minorHAnsi"/>
          <w:sz w:val="24"/>
        </w:rPr>
        <w:t>seguid</w:t>
      </w:r>
      <w:r w:rsidR="00167C47">
        <w:rPr>
          <w:rFonts w:cstheme="minorHAnsi"/>
          <w:sz w:val="24"/>
        </w:rPr>
        <w:t>o</w:t>
      </w:r>
      <w:r w:rsidR="00167C47" w:rsidRPr="00742115">
        <w:rPr>
          <w:rFonts w:cstheme="minorHAnsi"/>
          <w:sz w:val="24"/>
        </w:rPr>
        <w:t xml:space="preserve"> </w:t>
      </w:r>
      <w:r w:rsidRPr="00742115">
        <w:rPr>
          <w:rFonts w:cstheme="minorHAnsi"/>
          <w:sz w:val="24"/>
        </w:rPr>
        <w:t xml:space="preserve">por Chile (20), México (17), Colombia (10) y Perú (3). También resalta el hecho de que las universidades brasileñas ocuparon 6 de los primeros 10 lugares del </w:t>
      </w:r>
      <w:r w:rsidRPr="00742115">
        <w:rPr>
          <w:rFonts w:cstheme="minorHAnsi"/>
          <w:bCs/>
          <w:iCs/>
          <w:sz w:val="24"/>
        </w:rPr>
        <w:t xml:space="preserve">ranking </w:t>
      </w:r>
      <w:r w:rsidRPr="00742115">
        <w:rPr>
          <w:rFonts w:cstheme="minorHAnsi"/>
          <w:sz w:val="24"/>
        </w:rPr>
        <w:t>dentro de la región</w:t>
      </w:r>
      <w:r w:rsidR="004F0C87" w:rsidRPr="00742115">
        <w:rPr>
          <w:rFonts w:cstheme="minorHAnsi"/>
          <w:sz w:val="24"/>
        </w:rPr>
        <w:t xml:space="preserve">. </w:t>
      </w:r>
    </w:p>
    <w:p w14:paraId="2BF0D1EF" w14:textId="77777777" w:rsidR="002577CF" w:rsidRPr="00742115" w:rsidRDefault="002577CF" w:rsidP="002577CF">
      <w:pPr>
        <w:spacing w:after="0" w:line="240" w:lineRule="auto"/>
        <w:jc w:val="both"/>
        <w:rPr>
          <w:rFonts w:cstheme="minorHAnsi"/>
          <w:b/>
          <w:bCs/>
          <w:sz w:val="24"/>
        </w:rPr>
      </w:pPr>
    </w:p>
    <w:p w14:paraId="50B2871A" w14:textId="743D44CE" w:rsidR="002577CF" w:rsidRPr="00742115" w:rsidRDefault="002577CF" w:rsidP="002577C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742115">
        <w:rPr>
          <w:sz w:val="24"/>
          <w:szCs w:val="24"/>
        </w:rPr>
        <w:t>Las universidades de América Latina clasificadas en los primeros 10 lugares</w:t>
      </w:r>
      <w:r w:rsidR="00E44F28">
        <w:rPr>
          <w:sz w:val="24"/>
          <w:szCs w:val="24"/>
        </w:rPr>
        <w:t xml:space="preserve"> </w:t>
      </w:r>
      <w:r w:rsidRPr="00742115">
        <w:rPr>
          <w:sz w:val="24"/>
          <w:szCs w:val="24"/>
        </w:rPr>
        <w:t xml:space="preserve">son: </w:t>
      </w:r>
    </w:p>
    <w:p w14:paraId="64EB1940" w14:textId="225A29DF" w:rsidR="007B3A13" w:rsidRPr="00742115" w:rsidRDefault="007B3A13" w:rsidP="007B3A13">
      <w:pPr>
        <w:pStyle w:val="ListParagraph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>Universidad de São Paulo</w:t>
      </w:r>
      <w:r w:rsidR="002F3D75">
        <w:rPr>
          <w:rFonts w:cstheme="minorHAnsi"/>
          <w:sz w:val="24"/>
        </w:rPr>
        <w:t xml:space="preserve"> (Brasil)</w:t>
      </w:r>
      <w:r w:rsidRPr="00742115">
        <w:rPr>
          <w:rFonts w:cstheme="minorHAnsi"/>
          <w:sz w:val="24"/>
        </w:rPr>
        <w:t xml:space="preserve"> (1º América Latina, 19º </w:t>
      </w:r>
      <w:r w:rsidR="00E44F28">
        <w:rPr>
          <w:rFonts w:cstheme="minorHAnsi"/>
          <w:sz w:val="24"/>
        </w:rPr>
        <w:t>lugar en el ranking</w:t>
      </w:r>
      <w:r w:rsidRPr="00742115">
        <w:rPr>
          <w:rFonts w:cstheme="minorHAnsi"/>
          <w:sz w:val="24"/>
        </w:rPr>
        <w:t>).</w:t>
      </w:r>
    </w:p>
    <w:p w14:paraId="2A348F62" w14:textId="78051B89" w:rsidR="007B3A13" w:rsidRPr="00742115" w:rsidRDefault="007B3A13" w:rsidP="007B3A13">
      <w:pPr>
        <w:pStyle w:val="ListParagraph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 xml:space="preserve">Pontificia Universidad Católica de Chile (2º América Latina, 48º </w:t>
      </w:r>
      <w:r w:rsidR="00E44F28"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3D6D61FE" w14:textId="76FE5A91" w:rsidR="007B3A13" w:rsidRPr="00742115" w:rsidRDefault="007B3A13" w:rsidP="007B3A13">
      <w:pPr>
        <w:pStyle w:val="ListParagraph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>Universidad de Campinas</w:t>
      </w:r>
      <w:r w:rsidR="002F3D75">
        <w:rPr>
          <w:rFonts w:cstheme="minorHAnsi"/>
          <w:sz w:val="24"/>
        </w:rPr>
        <w:t xml:space="preserve"> (Brasil)</w:t>
      </w:r>
      <w:r w:rsidRPr="00742115">
        <w:rPr>
          <w:rFonts w:cstheme="minorHAnsi"/>
          <w:sz w:val="24"/>
        </w:rPr>
        <w:t xml:space="preserve"> (2º América Latina, 48º </w:t>
      </w:r>
      <w:r w:rsidR="00E44F28"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28551A60" w14:textId="16E55A00" w:rsidR="007B3A13" w:rsidRPr="00742115" w:rsidRDefault="007B3A13" w:rsidP="007B3A13">
      <w:pPr>
        <w:pStyle w:val="ListParagraph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>Pontificia Universidad Católica de Río de Janeiro</w:t>
      </w:r>
      <w:r w:rsidR="002F3D75">
        <w:rPr>
          <w:rFonts w:cstheme="minorHAnsi"/>
          <w:sz w:val="24"/>
        </w:rPr>
        <w:t xml:space="preserve"> (Brasil)</w:t>
      </w:r>
      <w:r w:rsidRPr="00742115">
        <w:rPr>
          <w:rFonts w:cstheme="minorHAnsi"/>
          <w:sz w:val="24"/>
        </w:rPr>
        <w:t xml:space="preserve"> (3º América Latina, 92º </w:t>
      </w:r>
      <w:r w:rsidR="00E44F28"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63E1AB31" w14:textId="77BA6612" w:rsidR="007B3A13" w:rsidRPr="00742115" w:rsidRDefault="007B3A13" w:rsidP="007B3A13">
      <w:pPr>
        <w:pStyle w:val="ListParagraph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 xml:space="preserve">Universidad Autónoma de Chile (4º América Latina, 122º </w:t>
      </w:r>
      <w:r w:rsidR="00E44F28"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63715A3B" w14:textId="37EAABB6" w:rsidR="007B3A13" w:rsidRPr="00742115" w:rsidRDefault="007B3A13" w:rsidP="007B3A13">
      <w:pPr>
        <w:pStyle w:val="ListParagraph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lastRenderedPageBreak/>
        <w:t>Universidad del Desarrollo</w:t>
      </w:r>
      <w:r w:rsidR="00B60533">
        <w:rPr>
          <w:rFonts w:cstheme="minorHAnsi"/>
          <w:sz w:val="24"/>
        </w:rPr>
        <w:t xml:space="preserve"> </w:t>
      </w:r>
      <w:r w:rsidR="002F3D75">
        <w:rPr>
          <w:rFonts w:cstheme="minorHAnsi"/>
          <w:sz w:val="24"/>
        </w:rPr>
        <w:t>(Chile)</w:t>
      </w:r>
      <w:r w:rsidRPr="00742115">
        <w:rPr>
          <w:rFonts w:cstheme="minorHAnsi"/>
          <w:sz w:val="24"/>
        </w:rPr>
        <w:t xml:space="preserve"> (5º América Latina, 132º </w:t>
      </w:r>
      <w:r w:rsidR="009D66AC"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0E9F64B3" w14:textId="2AA465C1" w:rsidR="007B3A13" w:rsidRPr="00742115" w:rsidRDefault="007B3A13" w:rsidP="007B3A13">
      <w:pPr>
        <w:pStyle w:val="ListParagraph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 xml:space="preserve">Universidad Diego Portales </w:t>
      </w:r>
      <w:r w:rsidR="002F3D75">
        <w:rPr>
          <w:rFonts w:cstheme="minorHAnsi"/>
          <w:sz w:val="24"/>
        </w:rPr>
        <w:t xml:space="preserve">(Chile) </w:t>
      </w:r>
      <w:r w:rsidRPr="00742115">
        <w:rPr>
          <w:rFonts w:cstheme="minorHAnsi"/>
          <w:sz w:val="24"/>
        </w:rPr>
        <w:t xml:space="preserve">(6º América Latina, 144º </w:t>
      </w:r>
      <w:r w:rsidR="009D66AC"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13E6E3A6" w14:textId="5ED07C60" w:rsidR="007B3A13" w:rsidRPr="00742115" w:rsidRDefault="007B3A13" w:rsidP="007B3A13">
      <w:pPr>
        <w:pStyle w:val="ListParagraph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>Instituto Tecnológico y de Estudios Superiores de Monterrey</w:t>
      </w:r>
      <w:r w:rsidR="002F3D75">
        <w:rPr>
          <w:rFonts w:cstheme="minorHAnsi"/>
          <w:sz w:val="24"/>
        </w:rPr>
        <w:t xml:space="preserve"> (México)</w:t>
      </w:r>
      <w:r w:rsidRPr="00742115">
        <w:rPr>
          <w:rFonts w:cstheme="minorHAnsi"/>
          <w:sz w:val="24"/>
        </w:rPr>
        <w:t xml:space="preserve"> (6º América Latina, 144º </w:t>
      </w:r>
      <w:r w:rsidR="009D66AC"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1BB808C3" w14:textId="61ED123C" w:rsidR="007B3A13" w:rsidRPr="00742115" w:rsidRDefault="007B3A13" w:rsidP="007B3A13">
      <w:pPr>
        <w:pStyle w:val="ListParagraph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>Pontificia Universidad Javeriana</w:t>
      </w:r>
      <w:r w:rsidR="002F3D75">
        <w:rPr>
          <w:rFonts w:cstheme="minorHAnsi"/>
          <w:sz w:val="24"/>
        </w:rPr>
        <w:t xml:space="preserve"> (Colombia)</w:t>
      </w:r>
      <w:r w:rsidRPr="00742115">
        <w:rPr>
          <w:rFonts w:cstheme="minorHAnsi"/>
          <w:sz w:val="24"/>
        </w:rPr>
        <w:t xml:space="preserve"> (7º América Latina, 149º </w:t>
      </w:r>
      <w:r w:rsidR="009D66AC"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7E34CFD1" w14:textId="09FADE67" w:rsidR="007B3A13" w:rsidRPr="00742115" w:rsidRDefault="007B3A13" w:rsidP="007B3A13">
      <w:pPr>
        <w:pStyle w:val="ListParagraph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 xml:space="preserve">Universidad Peruana Cayetano Heredia (8º América Latina, 160º </w:t>
      </w:r>
      <w:r w:rsidR="009D66AC"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4B1580DB" w14:textId="7294A393" w:rsidR="007B3A13" w:rsidRPr="00742115" w:rsidRDefault="007B3A13" w:rsidP="007B3A13">
      <w:pPr>
        <w:pStyle w:val="ListParagraph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>Universidad Federal de Río Grande del Sur</w:t>
      </w:r>
      <w:r w:rsidR="002F3D75">
        <w:rPr>
          <w:rFonts w:cstheme="minorHAnsi"/>
          <w:sz w:val="24"/>
        </w:rPr>
        <w:t xml:space="preserve"> (Brasil)</w:t>
      </w:r>
      <w:r w:rsidRPr="00742115">
        <w:rPr>
          <w:rFonts w:cstheme="minorHAnsi"/>
          <w:sz w:val="24"/>
        </w:rPr>
        <w:t xml:space="preserve"> (9º América Latina, 163º </w:t>
      </w:r>
      <w:r w:rsidR="009D66AC"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6123BA9C" w14:textId="522BEA04" w:rsidR="007B3A13" w:rsidRPr="00742115" w:rsidRDefault="007B3A13" w:rsidP="007B3A13">
      <w:pPr>
        <w:pStyle w:val="ListParagraph"/>
        <w:numPr>
          <w:ilvl w:val="1"/>
          <w:numId w:val="1"/>
        </w:numPr>
        <w:spacing w:after="0" w:line="240" w:lineRule="auto"/>
        <w:ind w:left="567"/>
        <w:jc w:val="both"/>
        <w:rPr>
          <w:b/>
          <w:sz w:val="24"/>
          <w:szCs w:val="24"/>
        </w:rPr>
      </w:pPr>
      <w:r w:rsidRPr="00742115">
        <w:rPr>
          <w:rFonts w:cstheme="minorHAnsi"/>
          <w:b/>
          <w:sz w:val="24"/>
        </w:rPr>
        <w:t>Universidad</w:t>
      </w:r>
      <w:r w:rsidRPr="00742115">
        <w:rPr>
          <w:b/>
          <w:sz w:val="24"/>
          <w:szCs w:val="24"/>
        </w:rPr>
        <w:t xml:space="preserve"> Nacional Autónoma de México (10º América Latina, 165º </w:t>
      </w:r>
      <w:r w:rsidR="009D66AC" w:rsidRPr="009D66AC">
        <w:rPr>
          <w:rFonts w:cstheme="minorHAnsi"/>
          <w:b/>
          <w:sz w:val="24"/>
        </w:rPr>
        <w:t>general</w:t>
      </w:r>
      <w:r w:rsidRPr="00742115">
        <w:rPr>
          <w:b/>
          <w:sz w:val="24"/>
          <w:szCs w:val="24"/>
        </w:rPr>
        <w:t>).</w:t>
      </w:r>
    </w:p>
    <w:p w14:paraId="38213528" w14:textId="5004E1B0" w:rsidR="00D474C9" w:rsidRPr="00742115" w:rsidRDefault="00D474C9" w:rsidP="002577CF">
      <w:pPr>
        <w:spacing w:after="0" w:line="240" w:lineRule="auto"/>
        <w:jc w:val="both"/>
        <w:rPr>
          <w:rFonts w:cstheme="minorHAnsi"/>
          <w:sz w:val="24"/>
        </w:rPr>
      </w:pPr>
    </w:p>
    <w:p w14:paraId="66530EE7" w14:textId="77777777" w:rsidR="002D101E" w:rsidRPr="00742115" w:rsidRDefault="002D101E" w:rsidP="002577CF">
      <w:pPr>
        <w:spacing w:after="0" w:line="240" w:lineRule="auto"/>
        <w:jc w:val="both"/>
        <w:rPr>
          <w:rFonts w:cstheme="minorHAnsi"/>
          <w:sz w:val="24"/>
        </w:rPr>
      </w:pPr>
    </w:p>
    <w:p w14:paraId="596A247F" w14:textId="2A21A2A0" w:rsidR="002E5C8D" w:rsidRPr="00742115" w:rsidRDefault="002577CF" w:rsidP="00335571">
      <w:pPr>
        <w:spacing w:after="0" w:line="240" w:lineRule="auto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>------------------------------------------------------------------------------------------------------------------------</w:t>
      </w:r>
    </w:p>
    <w:p w14:paraId="5DFADCE7" w14:textId="1B6F9853" w:rsidR="00D474C9" w:rsidRPr="00742115" w:rsidRDefault="00D474C9" w:rsidP="002577CF">
      <w:pPr>
        <w:spacing w:after="0" w:line="240" w:lineRule="auto"/>
        <w:jc w:val="both"/>
        <w:rPr>
          <w:b/>
          <w:sz w:val="24"/>
        </w:rPr>
      </w:pPr>
    </w:p>
    <w:p w14:paraId="23336AEA" w14:textId="77777777" w:rsidR="002D101E" w:rsidRPr="00742115" w:rsidRDefault="002D101E" w:rsidP="002577CF">
      <w:pPr>
        <w:spacing w:after="0" w:line="240" w:lineRule="auto"/>
        <w:jc w:val="both"/>
        <w:rPr>
          <w:b/>
          <w:sz w:val="24"/>
        </w:rPr>
      </w:pPr>
    </w:p>
    <w:p w14:paraId="346563DE" w14:textId="6D0117CC" w:rsidR="002E3C48" w:rsidRPr="00742115" w:rsidRDefault="00501AE5" w:rsidP="002577CF">
      <w:pPr>
        <w:spacing w:after="0" w:line="240" w:lineRule="auto"/>
        <w:jc w:val="both"/>
        <w:rPr>
          <w:b/>
          <w:sz w:val="24"/>
        </w:rPr>
      </w:pPr>
      <w:r w:rsidRPr="00742115">
        <w:rPr>
          <w:b/>
          <w:sz w:val="24"/>
        </w:rPr>
        <w:t>Metodología e Indicadores</w:t>
      </w:r>
    </w:p>
    <w:p w14:paraId="76359982" w14:textId="262D80C7" w:rsidR="00C30BBD" w:rsidRPr="00742115" w:rsidRDefault="008D2B20" w:rsidP="00C30BBD">
      <w:pPr>
        <w:pStyle w:val="ListParagraph"/>
        <w:spacing w:after="0" w:line="240" w:lineRule="auto"/>
        <w:ind w:left="0"/>
        <w:jc w:val="both"/>
        <w:rPr>
          <w:bCs/>
          <w:iCs/>
          <w:sz w:val="24"/>
        </w:rPr>
      </w:pPr>
      <w:r w:rsidRPr="00742115">
        <w:rPr>
          <w:bCs/>
          <w:sz w:val="24"/>
        </w:rPr>
        <w:t xml:space="preserve">La siguiente sección describe la metodología y los indicadores utilizados por el </w:t>
      </w:r>
      <w:r w:rsidRPr="00742115">
        <w:rPr>
          <w:b/>
          <w:bCs/>
          <w:sz w:val="24"/>
        </w:rPr>
        <w:t>THE</w:t>
      </w:r>
      <w:r w:rsidRPr="00742115">
        <w:rPr>
          <w:sz w:val="24"/>
        </w:rPr>
        <w:t xml:space="preserve"> </w:t>
      </w:r>
      <w:r w:rsidRPr="00742115">
        <w:rPr>
          <w:b/>
          <w:bCs/>
          <w:sz w:val="24"/>
        </w:rPr>
        <w:t>Ranking BRICS y Economías Emergentes 2022</w:t>
      </w:r>
      <w:r w:rsidRPr="00742115">
        <w:rPr>
          <w:bCs/>
          <w:sz w:val="24"/>
        </w:rPr>
        <w:t xml:space="preserve">. </w:t>
      </w:r>
      <w:r w:rsidRPr="00742115">
        <w:rPr>
          <w:bCs/>
          <w:iCs/>
          <w:sz w:val="24"/>
        </w:rPr>
        <w:t>Para ser evaluadas por el ranking, las universidades deben pertenecer a alguno de los países BRICS (Brasil, Rusia, India, China y Sudáfrica) y/o economías emergentes</w:t>
      </w:r>
      <w:r w:rsidR="0024141D">
        <w:rPr>
          <w:bCs/>
          <w:iCs/>
          <w:sz w:val="24"/>
        </w:rPr>
        <w:t xml:space="preserve">, según </w:t>
      </w:r>
      <w:r w:rsidR="009D7347">
        <w:rPr>
          <w:bCs/>
          <w:iCs/>
          <w:sz w:val="24"/>
        </w:rPr>
        <w:t xml:space="preserve">el </w:t>
      </w:r>
      <w:r w:rsidR="0024141D" w:rsidRPr="009B2E10">
        <w:rPr>
          <w:bCs/>
          <w:iCs/>
          <w:sz w:val="24"/>
        </w:rPr>
        <w:t>FTSE Group</w:t>
      </w:r>
      <w:r w:rsidR="009D7347">
        <w:rPr>
          <w:bCs/>
          <w:i/>
          <w:iCs/>
          <w:sz w:val="24"/>
        </w:rPr>
        <w:t xml:space="preserve"> </w:t>
      </w:r>
      <w:r w:rsidR="009D7347" w:rsidRPr="00994952">
        <w:rPr>
          <w:sz w:val="24"/>
        </w:rPr>
        <w:t>de la Bolsa de Valores de Lon</w:t>
      </w:r>
      <w:r w:rsidR="009D7347">
        <w:rPr>
          <w:sz w:val="24"/>
        </w:rPr>
        <w:t>dres</w:t>
      </w:r>
      <w:r w:rsidR="00C30BBD" w:rsidRPr="00742115">
        <w:rPr>
          <w:bCs/>
          <w:iCs/>
          <w:sz w:val="24"/>
        </w:rPr>
        <w:t>. Además, las universidades deben contar con un mínimo de 1,000 publicaciones en revistas indexadas durante los últimos 5 años.</w:t>
      </w:r>
      <w:r w:rsidR="009F1F54" w:rsidRPr="00742115">
        <w:rPr>
          <w:bCs/>
          <w:iCs/>
          <w:sz w:val="24"/>
        </w:rPr>
        <w:t xml:space="preserve"> </w:t>
      </w:r>
      <w:r w:rsidR="00C30BBD" w:rsidRPr="00742115">
        <w:rPr>
          <w:bCs/>
          <w:iCs/>
          <w:sz w:val="24"/>
        </w:rPr>
        <w:t xml:space="preserve">Una vez que </w:t>
      </w:r>
      <w:r w:rsidR="00E46BC1" w:rsidRPr="00742115">
        <w:rPr>
          <w:bCs/>
          <w:iCs/>
          <w:sz w:val="24"/>
        </w:rPr>
        <w:t>cumpl</w:t>
      </w:r>
      <w:r w:rsidR="00E46BC1">
        <w:rPr>
          <w:bCs/>
          <w:iCs/>
          <w:sz w:val="24"/>
        </w:rPr>
        <w:t>e</w:t>
      </w:r>
      <w:r w:rsidR="00E46BC1" w:rsidRPr="00742115">
        <w:rPr>
          <w:bCs/>
          <w:iCs/>
          <w:sz w:val="24"/>
        </w:rPr>
        <w:t xml:space="preserve">n </w:t>
      </w:r>
      <w:r w:rsidR="00C30BBD" w:rsidRPr="00742115">
        <w:rPr>
          <w:bCs/>
          <w:iCs/>
          <w:sz w:val="24"/>
        </w:rPr>
        <w:t xml:space="preserve">con los requisitos mínimos, las universidades son evaluadas sobre </w:t>
      </w:r>
      <w:r w:rsidR="00E46BC1">
        <w:rPr>
          <w:bCs/>
          <w:iCs/>
          <w:sz w:val="24"/>
        </w:rPr>
        <w:t>5</w:t>
      </w:r>
      <w:r w:rsidR="00E46BC1" w:rsidRPr="00742115">
        <w:rPr>
          <w:bCs/>
          <w:iCs/>
          <w:sz w:val="24"/>
        </w:rPr>
        <w:t xml:space="preserve"> </w:t>
      </w:r>
      <w:r w:rsidR="00C30BBD" w:rsidRPr="00742115">
        <w:rPr>
          <w:bCs/>
          <w:iCs/>
          <w:sz w:val="24"/>
        </w:rPr>
        <w:t>grandes campos, que se describen en la siguiente tabla:</w:t>
      </w:r>
    </w:p>
    <w:p w14:paraId="57811C2A" w14:textId="77777777" w:rsidR="009D7347" w:rsidRPr="00742115" w:rsidRDefault="009D7347" w:rsidP="00C30BBD">
      <w:pPr>
        <w:spacing w:after="0" w:line="240" w:lineRule="auto"/>
        <w:jc w:val="both"/>
        <w:rPr>
          <w:sz w:val="24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6624"/>
        <w:gridCol w:w="1126"/>
      </w:tblGrid>
      <w:tr w:rsidR="005031E4" w:rsidRPr="00742115" w14:paraId="66F0FE3E" w14:textId="77777777" w:rsidTr="005031E4">
        <w:trPr>
          <w:trHeight w:val="92"/>
          <w:jc w:val="center"/>
        </w:trPr>
        <w:tc>
          <w:tcPr>
            <w:tcW w:w="961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0E26BE" w14:textId="0EDF043B" w:rsidR="005031E4" w:rsidRPr="00742115" w:rsidRDefault="005031E4" w:rsidP="005031E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42115">
              <w:rPr>
                <w:b/>
                <w:sz w:val="20"/>
              </w:rPr>
              <w:t>Tabla 1. Metodología del THE Ranking BRICS y Economías Emergentes 2022.</w:t>
            </w:r>
          </w:p>
        </w:tc>
      </w:tr>
      <w:tr w:rsidR="00501AE5" w:rsidRPr="00742115" w14:paraId="3B322442" w14:textId="77777777" w:rsidTr="005031E4">
        <w:trPr>
          <w:trHeight w:val="92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6A6FEC0A" w14:textId="77777777" w:rsidR="00501AE5" w:rsidRPr="00742115" w:rsidRDefault="00501AE5" w:rsidP="0036588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42115">
              <w:rPr>
                <w:b/>
                <w:sz w:val="20"/>
              </w:rPr>
              <w:t>Indicador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62BF1C10" w14:textId="77777777" w:rsidR="00501AE5" w:rsidRPr="00742115" w:rsidRDefault="00501AE5" w:rsidP="0036588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42115">
              <w:rPr>
                <w:b/>
                <w:sz w:val="20"/>
              </w:rPr>
              <w:t>Descripción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58A4893F" w14:textId="77777777" w:rsidR="00501AE5" w:rsidRPr="00742115" w:rsidRDefault="00501AE5" w:rsidP="0036588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42115">
              <w:rPr>
                <w:b/>
                <w:sz w:val="20"/>
              </w:rPr>
              <w:t>Ponderador</w:t>
            </w:r>
          </w:p>
        </w:tc>
      </w:tr>
      <w:tr w:rsidR="00501AE5" w:rsidRPr="00742115" w14:paraId="74ED7EA7" w14:textId="77777777" w:rsidTr="000A04AE">
        <w:trPr>
          <w:trHeight w:val="629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C0CF" w14:textId="4D9823D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  <w:r w:rsidRPr="00742115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Citas </w:t>
            </w:r>
            <w:r w:rsidRPr="00742115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</w:r>
            <w:r w:rsidRPr="00742115">
              <w:rPr>
                <w:rFonts w:ascii="Calibri" w:hAnsi="Calibri" w:cs="Calibri"/>
                <w:color w:val="000000"/>
                <w:sz w:val="20"/>
              </w:rPr>
              <w:t>(20%)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8DF5" w14:textId="77777777" w:rsidR="00501AE5" w:rsidRPr="00742115" w:rsidRDefault="00501AE5" w:rsidP="00365884">
            <w:pPr>
              <w:spacing w:after="0" w:line="240" w:lineRule="auto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Promedio de citas a los artículos en revistas indexadas en Elsevier Scopus entre la planta académica, en un periodo de 5 años.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B1CA" w14:textId="04BD1079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20%</w:t>
            </w:r>
          </w:p>
        </w:tc>
      </w:tr>
      <w:tr w:rsidR="00501AE5" w:rsidRPr="00742115" w14:paraId="76E38D01" w14:textId="77777777" w:rsidTr="000A04AE">
        <w:trPr>
          <w:trHeight w:val="306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B890" w14:textId="7777777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  <w:r w:rsidRPr="00742115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Docencia </w:t>
            </w:r>
            <w:r w:rsidRPr="00742115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</w:r>
            <w:r w:rsidRPr="00742115">
              <w:rPr>
                <w:rFonts w:ascii="Calibri" w:hAnsi="Calibri" w:cs="Calibri"/>
                <w:color w:val="000000"/>
                <w:sz w:val="20"/>
              </w:rPr>
              <w:t>(30%)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5BBB" w14:textId="77777777" w:rsidR="00501AE5" w:rsidRPr="00742115" w:rsidRDefault="00501AE5" w:rsidP="00365884">
            <w:pPr>
              <w:spacing w:after="0" w:line="240" w:lineRule="auto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Encuesta de reputación sobre docencia aplicada a académicos.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F299" w14:textId="7777777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15%</w:t>
            </w:r>
          </w:p>
        </w:tc>
      </w:tr>
      <w:tr w:rsidR="00501AE5" w:rsidRPr="00742115" w14:paraId="3AC1BE8A" w14:textId="77777777" w:rsidTr="000A04AE">
        <w:trPr>
          <w:trHeight w:val="306"/>
          <w:jc w:val="center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4CC3" w14:textId="7777777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8FCE" w14:textId="77777777" w:rsidR="00501AE5" w:rsidRPr="00742115" w:rsidRDefault="00501AE5" w:rsidP="00365884">
            <w:pPr>
              <w:spacing w:after="0" w:line="240" w:lineRule="auto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Proporción de estudiantes entre número de académicos.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D02B" w14:textId="7777777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4.5%</w:t>
            </w:r>
          </w:p>
        </w:tc>
      </w:tr>
      <w:tr w:rsidR="00501AE5" w:rsidRPr="00742115" w14:paraId="5320379A" w14:textId="77777777" w:rsidTr="000A04AE">
        <w:trPr>
          <w:trHeight w:val="306"/>
          <w:jc w:val="center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8176" w14:textId="7777777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50BA" w14:textId="77777777" w:rsidR="00501AE5" w:rsidRPr="00742115" w:rsidRDefault="00501AE5" w:rsidP="00365884">
            <w:pPr>
              <w:spacing w:after="0" w:line="240" w:lineRule="auto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Doctorados otorgados entre licenciaturas otorgadas.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C6A3" w14:textId="7777777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2.25%</w:t>
            </w:r>
          </w:p>
        </w:tc>
      </w:tr>
      <w:tr w:rsidR="00501AE5" w:rsidRPr="00742115" w14:paraId="4D14DBAC" w14:textId="77777777" w:rsidTr="000A04AE">
        <w:trPr>
          <w:trHeight w:val="306"/>
          <w:jc w:val="center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E75D" w14:textId="7777777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9B26" w14:textId="77777777" w:rsidR="00501AE5" w:rsidRPr="00742115" w:rsidRDefault="00501AE5" w:rsidP="00365884">
            <w:pPr>
              <w:spacing w:after="0" w:line="240" w:lineRule="auto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Doctorados otorgados entre número de académicos.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DBC4" w14:textId="7777777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6%</w:t>
            </w:r>
          </w:p>
        </w:tc>
      </w:tr>
      <w:tr w:rsidR="00501AE5" w:rsidRPr="00742115" w14:paraId="4590C78F" w14:textId="77777777" w:rsidTr="000A04AE">
        <w:trPr>
          <w:trHeight w:val="306"/>
          <w:jc w:val="center"/>
        </w:trPr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3DDC" w14:textId="7777777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FBBD" w14:textId="318CAD2C" w:rsidR="00501AE5" w:rsidRPr="00742115" w:rsidRDefault="00501AE5" w:rsidP="00365884">
            <w:pPr>
              <w:spacing w:after="0" w:line="240" w:lineRule="auto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Presupuesto para docencia entre número de académicos</w:t>
            </w:r>
            <w:r w:rsidR="000A04AE" w:rsidRPr="00742115">
              <w:rPr>
                <w:rFonts w:ascii="Calibri" w:hAnsi="Calibri" w:cs="Calibri"/>
                <w:color w:val="000000"/>
                <w:sz w:val="20"/>
              </w:rPr>
              <w:t>*</w:t>
            </w:r>
            <w:r w:rsidRPr="00742115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3AD5" w14:textId="7777777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2.25%</w:t>
            </w:r>
          </w:p>
        </w:tc>
      </w:tr>
      <w:tr w:rsidR="00501AE5" w:rsidRPr="00742115" w14:paraId="0BDBB74D" w14:textId="77777777" w:rsidTr="000A04AE">
        <w:trPr>
          <w:trHeight w:val="364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8C0B" w14:textId="7777777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  <w:r w:rsidRPr="00742115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Investigación </w:t>
            </w:r>
            <w:r w:rsidRPr="00742115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</w:r>
            <w:r w:rsidRPr="00742115">
              <w:rPr>
                <w:rFonts w:ascii="Calibri" w:hAnsi="Calibri" w:cs="Calibri"/>
                <w:color w:val="000000"/>
                <w:sz w:val="20"/>
              </w:rPr>
              <w:t>(30%)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6CB3" w14:textId="77777777" w:rsidR="00501AE5" w:rsidRPr="00742115" w:rsidRDefault="00501AE5" w:rsidP="00365884">
            <w:pPr>
              <w:spacing w:after="0" w:line="240" w:lineRule="auto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Encuesta de reputación sobre investigación aplicada a académicos.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B551" w14:textId="7777777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18%</w:t>
            </w:r>
          </w:p>
        </w:tc>
      </w:tr>
      <w:tr w:rsidR="00501AE5" w:rsidRPr="00742115" w14:paraId="1A59C2E6" w14:textId="77777777" w:rsidTr="000A04AE">
        <w:trPr>
          <w:trHeight w:val="364"/>
          <w:jc w:val="center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B468" w14:textId="7777777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AC6F" w14:textId="77777777" w:rsidR="00501AE5" w:rsidRPr="00742115" w:rsidRDefault="00501AE5" w:rsidP="0036588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Promedio de artículos publicados en revistas indexadas en Elsevier Scopus entre el número de académicos.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F013" w14:textId="7777777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6%</w:t>
            </w:r>
          </w:p>
        </w:tc>
      </w:tr>
      <w:tr w:rsidR="00501AE5" w:rsidRPr="00742115" w14:paraId="53AB5D7E" w14:textId="77777777" w:rsidTr="000A04AE">
        <w:trPr>
          <w:trHeight w:val="364"/>
          <w:jc w:val="center"/>
        </w:trPr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BBAA" w14:textId="7777777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0E86" w14:textId="5CAA7A12" w:rsidR="00501AE5" w:rsidRPr="00742115" w:rsidRDefault="00501AE5" w:rsidP="00365884">
            <w:pPr>
              <w:spacing w:after="0" w:line="240" w:lineRule="auto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Financiamiento para investigación entre número de académicos</w:t>
            </w:r>
            <w:r w:rsidR="000A04AE" w:rsidRPr="00742115">
              <w:rPr>
                <w:rFonts w:ascii="Calibri" w:hAnsi="Calibri" w:cs="Calibri"/>
                <w:color w:val="000000"/>
                <w:sz w:val="20"/>
              </w:rPr>
              <w:t>*</w:t>
            </w:r>
            <w:r w:rsidRPr="00742115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F322" w14:textId="7777777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6%</w:t>
            </w:r>
          </w:p>
        </w:tc>
      </w:tr>
      <w:tr w:rsidR="00501AE5" w:rsidRPr="00742115" w14:paraId="51AD81E5" w14:textId="77777777" w:rsidTr="000A04AE">
        <w:trPr>
          <w:trHeight w:val="364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8FC6" w14:textId="77777777" w:rsidR="00501AE5" w:rsidRPr="00742115" w:rsidRDefault="00501AE5" w:rsidP="003658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42115">
              <w:rPr>
                <w:rFonts w:ascii="Calibri" w:hAnsi="Calibri" w:cs="Calibri"/>
                <w:b/>
                <w:bCs/>
                <w:color w:val="000000"/>
                <w:sz w:val="20"/>
              </w:rPr>
              <w:t>Perspectiva internacional</w:t>
            </w:r>
            <w:r w:rsidRPr="00742115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14:paraId="454E9970" w14:textId="3AFAB154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(10%)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36ED" w14:textId="77777777" w:rsidR="00501AE5" w:rsidRPr="00742115" w:rsidRDefault="00501AE5" w:rsidP="00365884">
            <w:pPr>
              <w:spacing w:after="0" w:line="240" w:lineRule="auto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Proporción de académicos internacionales entre académicos nacionales.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08BF" w14:textId="7ADF4BFC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3.33%</w:t>
            </w:r>
          </w:p>
        </w:tc>
      </w:tr>
      <w:tr w:rsidR="00501AE5" w:rsidRPr="00742115" w14:paraId="127A2236" w14:textId="77777777" w:rsidTr="000A04AE">
        <w:trPr>
          <w:trHeight w:val="364"/>
          <w:jc w:val="center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076F" w14:textId="7777777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ED9C" w14:textId="7CE2D8B2" w:rsidR="00501AE5" w:rsidRPr="00742115" w:rsidRDefault="00501AE5" w:rsidP="00365884">
            <w:pPr>
              <w:spacing w:after="0" w:line="240" w:lineRule="auto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Proporción de estudiantes internacionales entre estudiantes nacionales</w:t>
            </w:r>
            <w:r w:rsidR="008D6D0B" w:rsidRPr="00742115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7408" w14:textId="1C96403F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3.33%</w:t>
            </w:r>
          </w:p>
        </w:tc>
      </w:tr>
      <w:tr w:rsidR="00501AE5" w:rsidRPr="00742115" w14:paraId="39329DEB" w14:textId="77777777" w:rsidTr="000A04AE">
        <w:trPr>
          <w:trHeight w:val="364"/>
          <w:jc w:val="center"/>
        </w:trPr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3A25" w14:textId="77777777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970E" w14:textId="77777777" w:rsidR="00501AE5" w:rsidRPr="00742115" w:rsidRDefault="00501AE5" w:rsidP="00365884">
            <w:pPr>
              <w:spacing w:after="0" w:line="240" w:lineRule="auto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Proporción de artículos publicados con coautores internacionales.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A012" w14:textId="7AA7D593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3.34%</w:t>
            </w:r>
          </w:p>
        </w:tc>
      </w:tr>
      <w:tr w:rsidR="00501AE5" w:rsidRPr="00742115" w14:paraId="3DB255DD" w14:textId="77777777" w:rsidTr="000A04AE">
        <w:trPr>
          <w:trHeight w:val="364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0FDE" w14:textId="77777777" w:rsidR="00501AE5" w:rsidRPr="00742115" w:rsidRDefault="00501AE5" w:rsidP="003658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42115">
              <w:rPr>
                <w:rFonts w:ascii="Calibri" w:hAnsi="Calibri" w:cs="Calibri"/>
                <w:b/>
                <w:bCs/>
                <w:color w:val="000000"/>
                <w:sz w:val="20"/>
              </w:rPr>
              <w:t>Financiamiento de la industria</w:t>
            </w:r>
            <w:r w:rsidRPr="00742115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14:paraId="062AAD24" w14:textId="2BBF4623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(10%)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EA5D" w14:textId="1319DB4F" w:rsidR="00501AE5" w:rsidRPr="00742115" w:rsidRDefault="00501AE5" w:rsidP="007934C0">
            <w:pPr>
              <w:spacing w:after="0" w:line="240" w:lineRule="auto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Financiamiento proveniente de la industria dedicado a la investigación entre el número de académicos</w:t>
            </w:r>
            <w:r w:rsidR="000A04AE" w:rsidRPr="00742115">
              <w:rPr>
                <w:rFonts w:ascii="Calibri" w:hAnsi="Calibri" w:cs="Calibri"/>
                <w:color w:val="000000"/>
                <w:sz w:val="20"/>
              </w:rPr>
              <w:t>*</w:t>
            </w:r>
            <w:r w:rsidRPr="00742115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B2AD" w14:textId="209A1956" w:rsidR="00501AE5" w:rsidRPr="00742115" w:rsidRDefault="00501AE5" w:rsidP="00365884">
            <w:pPr>
              <w:spacing w:after="0" w:line="240" w:lineRule="auto"/>
              <w:jc w:val="center"/>
              <w:rPr>
                <w:sz w:val="20"/>
              </w:rPr>
            </w:pPr>
            <w:r w:rsidRPr="00742115">
              <w:rPr>
                <w:rFonts w:ascii="Calibri" w:hAnsi="Calibri" w:cs="Calibri"/>
                <w:color w:val="000000"/>
                <w:sz w:val="20"/>
              </w:rPr>
              <w:t>10%</w:t>
            </w:r>
          </w:p>
        </w:tc>
      </w:tr>
      <w:tr w:rsidR="000A04AE" w:rsidRPr="00742115" w14:paraId="57DDEAC0" w14:textId="77777777" w:rsidTr="00A043F9">
        <w:trPr>
          <w:trHeight w:val="173"/>
          <w:jc w:val="center"/>
        </w:trPr>
        <w:tc>
          <w:tcPr>
            <w:tcW w:w="96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6BBC2" w14:textId="7C223D72" w:rsidR="000A04AE" w:rsidRPr="00742115" w:rsidRDefault="009F1F54" w:rsidP="000A04AE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</w:rPr>
            </w:pPr>
            <w:r w:rsidRPr="00742115">
              <w:rPr>
                <w:rFonts w:ascii="Calibri" w:hAnsi="Calibri" w:cs="Calibri"/>
                <w:color w:val="000000"/>
                <w:sz w:val="16"/>
              </w:rPr>
              <w:t>* Los indicadores de financiamiento y presupuesto fueron normalizados bajo la fórmula de la paridad del poder adquisitivo (PPP).</w:t>
            </w:r>
          </w:p>
        </w:tc>
      </w:tr>
    </w:tbl>
    <w:p w14:paraId="03ED1960" w14:textId="77777777" w:rsidR="00C30BBD" w:rsidRPr="00742115" w:rsidRDefault="00C30BBD" w:rsidP="00C30BBD">
      <w:pPr>
        <w:pStyle w:val="ListParagraph"/>
        <w:spacing w:after="0" w:line="240" w:lineRule="auto"/>
        <w:jc w:val="both"/>
        <w:rPr>
          <w:sz w:val="24"/>
        </w:rPr>
      </w:pPr>
    </w:p>
    <w:p w14:paraId="644E2BEB" w14:textId="77777777" w:rsidR="009F1F54" w:rsidRPr="00742115" w:rsidRDefault="009F1F54" w:rsidP="009F1F54">
      <w:pPr>
        <w:pStyle w:val="ListParagraph"/>
        <w:spacing w:after="0" w:line="240" w:lineRule="auto"/>
        <w:ind w:left="0"/>
        <w:jc w:val="both"/>
        <w:rPr>
          <w:sz w:val="24"/>
        </w:rPr>
      </w:pPr>
      <w:r w:rsidRPr="00742115">
        <w:rPr>
          <w:sz w:val="24"/>
        </w:rPr>
        <w:t>Todos los puntajes del ranking se encuentran normalizados al 100% con referencia al valor de 100 puntos asignados a la universidad con mejor desempeño en cada indicador.</w:t>
      </w:r>
    </w:p>
    <w:p w14:paraId="07EFA76B" w14:textId="77777777" w:rsidR="00C30BBD" w:rsidRPr="00742115" w:rsidRDefault="00C30BBD" w:rsidP="00365884">
      <w:pPr>
        <w:spacing w:after="0" w:line="240" w:lineRule="auto"/>
        <w:rPr>
          <w:sz w:val="19"/>
          <w:szCs w:val="19"/>
        </w:rPr>
      </w:pPr>
    </w:p>
    <w:p w14:paraId="2668B341" w14:textId="77777777" w:rsidR="00360DB0" w:rsidRPr="00742115" w:rsidRDefault="00360DB0" w:rsidP="009F1F54">
      <w:pPr>
        <w:spacing w:after="0" w:line="240" w:lineRule="auto"/>
        <w:jc w:val="both"/>
        <w:rPr>
          <w:b/>
          <w:sz w:val="24"/>
        </w:rPr>
      </w:pPr>
      <w:r w:rsidRPr="00742115">
        <w:rPr>
          <w:b/>
          <w:sz w:val="24"/>
        </w:rPr>
        <w:t>Resultados</w:t>
      </w:r>
    </w:p>
    <w:p w14:paraId="20B7EDDC" w14:textId="0A37AFA3" w:rsidR="00360DB0" w:rsidRPr="009B2E10" w:rsidRDefault="00360DB0" w:rsidP="009B2E10">
      <w:pPr>
        <w:pStyle w:val="ListParagraph"/>
        <w:numPr>
          <w:ilvl w:val="0"/>
          <w:numId w:val="31"/>
        </w:numPr>
        <w:spacing w:after="0" w:line="240" w:lineRule="auto"/>
        <w:ind w:left="0"/>
        <w:jc w:val="both"/>
        <w:rPr>
          <w:sz w:val="24"/>
        </w:rPr>
      </w:pPr>
      <w:r w:rsidRPr="009B2E10">
        <w:rPr>
          <w:sz w:val="24"/>
        </w:rPr>
        <w:t>E</w:t>
      </w:r>
      <w:r w:rsidR="00DF1252" w:rsidRPr="009B2E10">
        <w:rPr>
          <w:sz w:val="24"/>
        </w:rPr>
        <w:t xml:space="preserve">l </w:t>
      </w:r>
      <w:r w:rsidR="00790E2A" w:rsidRPr="009B2E10">
        <w:rPr>
          <w:b/>
          <w:bCs/>
          <w:sz w:val="24"/>
        </w:rPr>
        <w:t>THE</w:t>
      </w:r>
      <w:r w:rsidR="00790E2A" w:rsidRPr="009B2E10">
        <w:rPr>
          <w:sz w:val="24"/>
        </w:rPr>
        <w:t xml:space="preserve"> </w:t>
      </w:r>
      <w:r w:rsidR="00790E2A" w:rsidRPr="009B2E10">
        <w:rPr>
          <w:b/>
          <w:bCs/>
          <w:sz w:val="24"/>
        </w:rPr>
        <w:t xml:space="preserve">Ranking BRICS y Economías Emergentes 2022 </w:t>
      </w:r>
      <w:r w:rsidRPr="009B2E10">
        <w:rPr>
          <w:sz w:val="24"/>
        </w:rPr>
        <w:t xml:space="preserve">clasificó a </w:t>
      </w:r>
      <w:r w:rsidR="002B7783" w:rsidRPr="009B2E10">
        <w:rPr>
          <w:sz w:val="24"/>
        </w:rPr>
        <w:t>10</w:t>
      </w:r>
      <w:r w:rsidR="004F5A6B" w:rsidRPr="009B2E10">
        <w:rPr>
          <w:sz w:val="24"/>
        </w:rPr>
        <w:t>9</w:t>
      </w:r>
      <w:r w:rsidR="002B7783" w:rsidRPr="009B2E10">
        <w:rPr>
          <w:sz w:val="24"/>
        </w:rPr>
        <w:t xml:space="preserve"> </w:t>
      </w:r>
      <w:r w:rsidR="00DF1252" w:rsidRPr="009B2E10">
        <w:rPr>
          <w:sz w:val="24"/>
        </w:rPr>
        <w:t xml:space="preserve">universidades </w:t>
      </w:r>
      <w:r w:rsidR="004F5A6B" w:rsidRPr="009B2E10">
        <w:rPr>
          <w:sz w:val="24"/>
        </w:rPr>
        <w:t>latino</w:t>
      </w:r>
      <w:r w:rsidR="00DF1252" w:rsidRPr="009B2E10">
        <w:rPr>
          <w:sz w:val="24"/>
        </w:rPr>
        <w:t>ameri</w:t>
      </w:r>
      <w:r w:rsidRPr="009B2E10">
        <w:rPr>
          <w:sz w:val="24"/>
        </w:rPr>
        <w:t xml:space="preserve">canas </w:t>
      </w:r>
      <w:r w:rsidR="00DF1252" w:rsidRPr="009B2E10">
        <w:rPr>
          <w:sz w:val="24"/>
        </w:rPr>
        <w:t xml:space="preserve">de </w:t>
      </w:r>
      <w:r w:rsidR="002B7783" w:rsidRPr="009B2E10">
        <w:rPr>
          <w:sz w:val="24"/>
        </w:rPr>
        <w:t xml:space="preserve">5 </w:t>
      </w:r>
      <w:r w:rsidR="00DF1252" w:rsidRPr="009B2E10">
        <w:rPr>
          <w:sz w:val="24"/>
        </w:rPr>
        <w:t>países</w:t>
      </w:r>
      <w:r w:rsidRPr="009B2E10">
        <w:rPr>
          <w:sz w:val="24"/>
        </w:rPr>
        <w:t>. A continuación</w:t>
      </w:r>
      <w:r w:rsidR="00930264" w:rsidRPr="009B2E10">
        <w:rPr>
          <w:sz w:val="24"/>
        </w:rPr>
        <w:t>,</w:t>
      </w:r>
      <w:r w:rsidRPr="009B2E10">
        <w:rPr>
          <w:sz w:val="24"/>
        </w:rPr>
        <w:t xml:space="preserve"> se presentan los datos del número de universidades por país, así como el puntaje obtenido por las universidades en los diferentes indicadores.</w:t>
      </w:r>
    </w:p>
    <w:p w14:paraId="447B7A05" w14:textId="77777777" w:rsidR="002D101E" w:rsidRPr="00742115" w:rsidRDefault="002D101E" w:rsidP="00365884">
      <w:pPr>
        <w:pStyle w:val="ListParagraph"/>
        <w:spacing w:after="0" w:line="240" w:lineRule="auto"/>
        <w:jc w:val="both"/>
        <w:rPr>
          <w:sz w:val="24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8"/>
      </w:tblGrid>
      <w:tr w:rsidR="00BC7A0E" w:rsidRPr="00742115" w14:paraId="1B85A466" w14:textId="77777777" w:rsidTr="002B7783">
        <w:trPr>
          <w:trHeight w:val="427"/>
          <w:jc w:val="center"/>
        </w:trPr>
        <w:tc>
          <w:tcPr>
            <w:tcW w:w="8838" w:type="dxa"/>
            <w:shd w:val="clear" w:color="auto" w:fill="auto"/>
            <w:noWrap/>
            <w:vAlign w:val="center"/>
          </w:tcPr>
          <w:p w14:paraId="371AD5B7" w14:textId="581E5F49" w:rsidR="00BC7A0E" w:rsidRPr="00742115" w:rsidRDefault="00BC7A0E" w:rsidP="004F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Gráfico </w:t>
            </w:r>
            <w:r w:rsidR="00305498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</w:t>
            </w:r>
            <w:r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. Total de universidades </w:t>
            </w:r>
            <w:r w:rsidR="00B054F2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latinoamericanas </w:t>
            </w:r>
            <w:r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por país en el ranking THE B</w:t>
            </w:r>
            <w:r w:rsidR="00360DB0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RICS y Economías Emergentes 202</w:t>
            </w:r>
            <w:r w:rsidR="004F5A6B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</w:t>
            </w:r>
            <w:r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</w:p>
        </w:tc>
      </w:tr>
      <w:tr w:rsidR="002B7783" w:rsidRPr="00742115" w14:paraId="39495865" w14:textId="77777777" w:rsidTr="004F5A6B">
        <w:trPr>
          <w:trHeight w:val="427"/>
          <w:jc w:val="center"/>
        </w:trPr>
        <w:tc>
          <w:tcPr>
            <w:tcW w:w="8838" w:type="dxa"/>
            <w:shd w:val="clear" w:color="auto" w:fill="auto"/>
            <w:noWrap/>
            <w:vAlign w:val="center"/>
          </w:tcPr>
          <w:p w14:paraId="66FDFFC0" w14:textId="6231DD03" w:rsidR="002B7783" w:rsidRPr="00742115" w:rsidRDefault="004F5A6B" w:rsidP="00365884">
            <w:pPr>
              <w:spacing w:after="0" w:line="240" w:lineRule="auto"/>
              <w:jc w:val="center"/>
              <w:rPr>
                <w:lang w:eastAsia="es-MX"/>
              </w:rPr>
            </w:pPr>
            <w:r w:rsidRPr="00742115">
              <w:rPr>
                <w:noProof/>
                <w:lang w:eastAsia="es-MX"/>
              </w:rPr>
              <w:drawing>
                <wp:inline distT="0" distB="0" distL="0" distR="0" wp14:anchorId="2DF8B6AD" wp14:editId="44E1F99B">
                  <wp:extent cx="5398618" cy="2004365"/>
                  <wp:effectExtent l="0" t="0" r="0" b="0"/>
                  <wp:docPr id="5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43EC8769" w14:textId="77777777" w:rsidR="00DF1252" w:rsidRPr="00742115" w:rsidRDefault="00DF1252" w:rsidP="00365884">
      <w:pPr>
        <w:pStyle w:val="ListParagraph"/>
        <w:spacing w:after="0" w:line="240" w:lineRule="auto"/>
        <w:jc w:val="both"/>
        <w:rPr>
          <w:sz w:val="20"/>
          <w:szCs w:val="18"/>
        </w:rPr>
      </w:pPr>
    </w:p>
    <w:p w14:paraId="463CD837" w14:textId="77777777" w:rsidR="00C23E14" w:rsidRPr="00742115" w:rsidRDefault="00C23E14" w:rsidP="00365884">
      <w:pPr>
        <w:spacing w:after="0" w:line="240" w:lineRule="auto"/>
        <w:rPr>
          <w:sz w:val="2"/>
          <w:szCs w:val="4"/>
        </w:rPr>
      </w:pPr>
    </w:p>
    <w:p w14:paraId="219D3E13" w14:textId="77777777" w:rsidR="00C23E14" w:rsidRPr="00742115" w:rsidRDefault="00C23E14" w:rsidP="00365884">
      <w:pPr>
        <w:pStyle w:val="ListParagraph"/>
        <w:spacing w:after="0" w:line="240" w:lineRule="auto"/>
        <w:jc w:val="both"/>
        <w:rPr>
          <w:sz w:val="2"/>
          <w:szCs w:val="2"/>
        </w:rPr>
      </w:pPr>
    </w:p>
    <w:p w14:paraId="4AAE71C8" w14:textId="77777777" w:rsidR="00C23E14" w:rsidRPr="00742115" w:rsidRDefault="00C23E14" w:rsidP="00365884">
      <w:pPr>
        <w:pStyle w:val="ListParagraph"/>
        <w:spacing w:after="0" w:line="240" w:lineRule="auto"/>
        <w:jc w:val="both"/>
        <w:rPr>
          <w:sz w:val="2"/>
          <w:szCs w:val="2"/>
        </w:rPr>
      </w:pPr>
    </w:p>
    <w:tbl>
      <w:tblPr>
        <w:tblW w:w="118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4073"/>
        <w:gridCol w:w="842"/>
        <w:gridCol w:w="983"/>
        <w:gridCol w:w="840"/>
        <w:gridCol w:w="982"/>
        <w:gridCol w:w="701"/>
        <w:gridCol w:w="1118"/>
        <w:gridCol w:w="1398"/>
        <w:gridCol w:w="46"/>
      </w:tblGrid>
      <w:tr w:rsidR="00592830" w:rsidRPr="00742115" w14:paraId="779F89F9" w14:textId="77777777" w:rsidTr="009D7347">
        <w:trPr>
          <w:trHeight w:val="184"/>
          <w:tblHeader/>
          <w:jc w:val="center"/>
        </w:trPr>
        <w:tc>
          <w:tcPr>
            <w:tcW w:w="11825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084082" w14:textId="2028568C" w:rsidR="00592830" w:rsidRPr="00742115" w:rsidRDefault="00592830" w:rsidP="004F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lang w:eastAsia="es-MX"/>
              </w:rPr>
            </w:pPr>
            <w:r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lang w:eastAsia="es-MX"/>
              </w:rPr>
              <w:t xml:space="preserve">Tabla </w:t>
            </w:r>
            <w:r w:rsidR="00305498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lang w:eastAsia="es-MX"/>
              </w:rPr>
              <w:t>3</w:t>
            </w:r>
            <w:r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lang w:eastAsia="es-MX"/>
              </w:rPr>
              <w:t xml:space="preserve">. Posición de las universidades </w:t>
            </w:r>
            <w:r w:rsidR="004F5A6B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lang w:eastAsia="es-MX"/>
              </w:rPr>
              <w:t>latino</w:t>
            </w:r>
            <w:r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lang w:eastAsia="es-MX"/>
              </w:rPr>
              <w:t>americanas en el ranking THE BRICS y Economías Emergentes 202</w:t>
            </w:r>
            <w:r w:rsidR="004F5A6B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lang w:eastAsia="es-MX"/>
              </w:rPr>
              <w:t>2</w:t>
            </w:r>
            <w:r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lang w:eastAsia="es-MX"/>
              </w:rPr>
              <w:t>.</w:t>
            </w:r>
          </w:p>
        </w:tc>
      </w:tr>
      <w:tr w:rsidR="004E48B5" w:rsidRPr="00742115" w14:paraId="7CD9E4B3" w14:textId="77777777" w:rsidTr="009D7347">
        <w:trPr>
          <w:gridAfter w:val="1"/>
          <w:wAfter w:w="46" w:type="dxa"/>
          <w:trHeight w:val="153"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BF47430" w14:textId="77777777" w:rsidR="007D5832" w:rsidRPr="00742115" w:rsidRDefault="007D5832" w:rsidP="0036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8"/>
                <w:szCs w:val="20"/>
                <w:lang w:eastAsia="es-MX"/>
              </w:rPr>
            </w:pPr>
            <w:r w:rsidRPr="00742115">
              <w:rPr>
                <w:b/>
                <w:sz w:val="18"/>
                <w:szCs w:val="20"/>
              </w:rPr>
              <w:t>Posición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C1A2816" w14:textId="77777777" w:rsidR="007D5832" w:rsidRPr="00742115" w:rsidRDefault="007D5832" w:rsidP="0036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8"/>
                <w:szCs w:val="20"/>
                <w:lang w:eastAsia="es-MX"/>
              </w:rPr>
            </w:pPr>
            <w:r w:rsidRPr="00742115">
              <w:rPr>
                <w:b/>
                <w:sz w:val="18"/>
                <w:szCs w:val="20"/>
              </w:rPr>
              <w:t>Institución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28094E1" w14:textId="77777777" w:rsidR="007D5832" w:rsidRPr="00742115" w:rsidRDefault="007D5832" w:rsidP="0036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8"/>
                <w:szCs w:val="20"/>
                <w:lang w:eastAsia="es-MX"/>
              </w:rPr>
            </w:pPr>
            <w:r w:rsidRPr="00742115">
              <w:rPr>
                <w:b/>
                <w:sz w:val="18"/>
                <w:szCs w:val="20"/>
              </w:rPr>
              <w:t>País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9DC611D" w14:textId="77777777" w:rsidR="007D5832" w:rsidRPr="00742115" w:rsidRDefault="007D5832" w:rsidP="00365884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42115">
              <w:rPr>
                <w:b/>
                <w:sz w:val="18"/>
                <w:szCs w:val="20"/>
              </w:rPr>
              <w:t>Puntaje</w:t>
            </w:r>
          </w:p>
          <w:p w14:paraId="16868C86" w14:textId="77777777" w:rsidR="007D5832" w:rsidRPr="00742115" w:rsidRDefault="007D5832" w:rsidP="0036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8"/>
                <w:szCs w:val="20"/>
                <w:lang w:eastAsia="es-MX"/>
              </w:rPr>
            </w:pPr>
            <w:r w:rsidRPr="00742115">
              <w:rPr>
                <w:b/>
                <w:sz w:val="18"/>
                <w:szCs w:val="20"/>
              </w:rPr>
              <w:t>General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2C9B53D" w14:textId="77777777" w:rsidR="007D5832" w:rsidRPr="00742115" w:rsidRDefault="007D5832" w:rsidP="0036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8"/>
                <w:szCs w:val="20"/>
                <w:lang w:eastAsia="es-MX"/>
              </w:rPr>
            </w:pPr>
            <w:r w:rsidRPr="00742115">
              <w:rPr>
                <w:b/>
                <w:sz w:val="18"/>
                <w:szCs w:val="20"/>
              </w:rPr>
              <w:t>Docencia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F3AC6B7" w14:textId="77777777" w:rsidR="007D5832" w:rsidRPr="00742115" w:rsidRDefault="007D5832" w:rsidP="0036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8"/>
                <w:szCs w:val="20"/>
                <w:lang w:eastAsia="es-MX"/>
              </w:rPr>
            </w:pPr>
            <w:r w:rsidRPr="00742115">
              <w:rPr>
                <w:rFonts w:ascii="Calibri" w:eastAsia="Times New Roman" w:hAnsi="Calibri" w:cs="Times New Roman"/>
                <w:b/>
                <w:color w:val="050505"/>
                <w:sz w:val="18"/>
                <w:szCs w:val="20"/>
                <w:lang w:eastAsia="es-MX"/>
              </w:rPr>
              <w:t>Investigación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CE6475B" w14:textId="77777777" w:rsidR="007D5832" w:rsidRPr="00742115" w:rsidRDefault="007D5832" w:rsidP="0036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8"/>
                <w:szCs w:val="20"/>
                <w:lang w:eastAsia="es-MX"/>
              </w:rPr>
            </w:pPr>
            <w:r w:rsidRPr="00742115">
              <w:rPr>
                <w:rFonts w:ascii="Calibri" w:eastAsia="Times New Roman" w:hAnsi="Calibri" w:cs="Times New Roman"/>
                <w:b/>
                <w:color w:val="050505"/>
                <w:sz w:val="18"/>
                <w:szCs w:val="20"/>
                <w:lang w:eastAsia="es-MX"/>
              </w:rPr>
              <w:t>Citas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94C1E9D" w14:textId="77777777" w:rsidR="007D5832" w:rsidRPr="00742115" w:rsidRDefault="007D5832" w:rsidP="0036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8"/>
                <w:szCs w:val="20"/>
                <w:lang w:eastAsia="es-MX"/>
              </w:rPr>
            </w:pPr>
            <w:r w:rsidRPr="00742115">
              <w:rPr>
                <w:rFonts w:ascii="Calibri" w:eastAsia="Times New Roman" w:hAnsi="Calibri" w:cs="Times New Roman"/>
                <w:b/>
                <w:color w:val="050505"/>
                <w:sz w:val="18"/>
                <w:szCs w:val="20"/>
                <w:lang w:eastAsia="es-MX"/>
              </w:rPr>
              <w:t>Perspectiva internacional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83F3B7D" w14:textId="77777777" w:rsidR="007D5832" w:rsidRPr="00742115" w:rsidRDefault="007D5832" w:rsidP="0036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8"/>
                <w:szCs w:val="20"/>
                <w:lang w:eastAsia="es-MX"/>
              </w:rPr>
            </w:pPr>
            <w:r w:rsidRPr="00742115">
              <w:rPr>
                <w:rFonts w:ascii="Calibri" w:eastAsia="Times New Roman" w:hAnsi="Calibri" w:cs="Times New Roman"/>
                <w:b/>
                <w:color w:val="050505"/>
                <w:sz w:val="18"/>
                <w:szCs w:val="20"/>
                <w:lang w:eastAsia="es-MX"/>
              </w:rPr>
              <w:t>Financiamiento de la industria</w:t>
            </w:r>
          </w:p>
        </w:tc>
      </w:tr>
      <w:tr w:rsidR="000D2075" w:rsidRPr="00742115" w14:paraId="7844FE09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B35E" w14:textId="00928AE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19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FF3A" w14:textId="10E82A99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São Paulo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4B5C" w14:textId="35B6DF2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C27D" w14:textId="439C1A5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50.9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2CD9" w14:textId="56ABA07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55.8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48FD" w14:textId="113726A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58.9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E8AE" w14:textId="0BD1D9F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43.3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1BB9" w14:textId="0CA291C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36.1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711C" w14:textId="53C00F2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42.3</w:t>
            </w:r>
          </w:p>
        </w:tc>
      </w:tr>
      <w:tr w:rsidR="000D2075" w:rsidRPr="00742115" w14:paraId="507AD7F6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D28853" w14:textId="0A1164E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C47EBD" w14:textId="58585AFD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Pontificia Universidad Católica de Chile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3F0767" w14:textId="50A785C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0BE63E" w14:textId="45C43CB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43.0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8C9A9C" w14:textId="145B453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24.8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143474" w14:textId="0C7B93B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2D21A2" w14:textId="7BDFB96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66.4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6FEF03" w14:textId="50D8E5B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58.5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31118C" w14:textId="2BF2290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73.0</w:t>
            </w:r>
          </w:p>
        </w:tc>
      </w:tr>
      <w:tr w:rsidR="000D2075" w:rsidRPr="00742115" w14:paraId="4E433DD5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E9BD" w14:textId="041DA3B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A452" w14:textId="001DEAEA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Campinas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9B28" w14:textId="16C9C12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1E4E" w14:textId="55043DE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43.0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68D5" w14:textId="1EC7A05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47.2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8CB2" w14:textId="6B5FECD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44.9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4FEC" w14:textId="5A0E0B3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36.2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E09C" w14:textId="67D1E4D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33.1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8C47" w14:textId="7A46245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47.7</w:t>
            </w:r>
          </w:p>
        </w:tc>
      </w:tr>
      <w:tr w:rsidR="000D2075" w:rsidRPr="00742115" w14:paraId="1B1DD715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A7FD82" w14:textId="6FEC011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B511A2" w14:textId="4BF24B62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Pontificia Universidad Católica de Río de Janeiro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72508A" w14:textId="2942D6D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888C0F" w14:textId="04384FE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36.8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71F1B1" w14:textId="7F5DC59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29.1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51EFC3" w14:textId="4B7294B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29.1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67EB3A" w14:textId="05C0F0C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28.0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B7CC4F" w14:textId="55E2AFA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37.9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25F467" w14:textId="747988E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100.0</w:t>
            </w:r>
          </w:p>
        </w:tc>
      </w:tr>
      <w:tr w:rsidR="000D2075" w:rsidRPr="00742115" w14:paraId="1DF05717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F4ED" w14:textId="75872EE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122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2010" w14:textId="5E1F84AC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Autónoma de Chile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B1E0" w14:textId="7A31A73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8A5C" w14:textId="5DE8653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B6CD" w14:textId="378085A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A5F9" w14:textId="5893AC0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1095" w14:textId="343CA03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96.7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F6C7" w14:textId="14DBB6A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52.1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F12F" w14:textId="4BFBCA0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54145D44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49DDFB" w14:textId="1581B3A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D5AABE" w14:textId="2BD5C9FD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del Desarrollo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041C96" w14:textId="43B2AAD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C946A3" w14:textId="3851530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A7B222" w14:textId="22EAE14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6990CC" w14:textId="27D0267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E4E921" w14:textId="775FC73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89.4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D07D1F" w14:textId="306A871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50.8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5CB18D" w14:textId="01CD257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38.0</w:t>
            </w:r>
          </w:p>
        </w:tc>
      </w:tr>
      <w:tr w:rsidR="000D2075" w:rsidRPr="00742115" w14:paraId="16FCA2E1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5A" w14:textId="362240B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CCB5" w14:textId="5B1945BB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Instituto Tecnológico y de Estudios Superiores de Monterrey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1692" w14:textId="73950FF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México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9836" w14:textId="389177C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33.9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19CC" w14:textId="3FADD90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7A34" w14:textId="0B6AB39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19.1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0797" w14:textId="177757A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46.8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F882" w14:textId="58699DC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59.8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6619" w14:textId="66D75A9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66.5</w:t>
            </w:r>
          </w:p>
        </w:tc>
      </w:tr>
      <w:tr w:rsidR="000D2075" w:rsidRPr="00742115" w14:paraId="7310AC39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014463" w14:textId="6EBA8D7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A98213" w14:textId="05D22D28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Diego Portales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EFF356" w14:textId="6B1B150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56FB51" w14:textId="09034C1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33.9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F41A6F" w14:textId="5E8A18C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15.6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A6DD29" w14:textId="72E5FDC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11.0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7F104A" w14:textId="7C46D4C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86.2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A0A8AB" w14:textId="445DA36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51.7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739465" w14:textId="5752301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1A5157F5" w14:textId="77777777" w:rsidTr="009D7347">
        <w:trPr>
          <w:gridAfter w:val="1"/>
          <w:wAfter w:w="46" w:type="dxa"/>
          <w:trHeight w:val="10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F620" w14:textId="070B800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149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075D" w14:textId="5F3B63AF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Pontificia Universidad Javeriana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372E" w14:textId="046C13E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Colombia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A29F" w14:textId="414565C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8F77" w14:textId="1E5D843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C30A" w14:textId="04A6096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2562" w14:textId="70C44D1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88.2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F6C6" w14:textId="35CEA24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44.4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B910" w14:textId="5333804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35.1</w:t>
            </w:r>
          </w:p>
        </w:tc>
      </w:tr>
      <w:tr w:rsidR="000D2075" w:rsidRPr="00742115" w14:paraId="76834F13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A80DDF" w14:textId="79CD673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2902DE" w14:textId="57FD2B4D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Peruana Cayetano Heredia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5FFD35" w14:textId="26731B1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Perú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8185CA" w14:textId="28E30D5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32.9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F65E50" w14:textId="298356C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19.4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8D0B49" w14:textId="2EA44B5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F6E2D5" w14:textId="6FEBDE1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78.3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68F420" w14:textId="46B2FD4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48.0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6A3516" w14:textId="5BAA80C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35.7</w:t>
            </w:r>
          </w:p>
        </w:tc>
      </w:tr>
      <w:tr w:rsidR="000D2075" w:rsidRPr="00742115" w14:paraId="6168F91A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940D" w14:textId="371A334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6BD9" w14:textId="032EB385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Río Grande del Sur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355A" w14:textId="31A99EA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AF83" w14:textId="533936E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32.8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0B21" w14:textId="54FB330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31.5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E953" w14:textId="43E14C7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E433" w14:textId="3540330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49.5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6A92" w14:textId="7AF332D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28.1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2832" w14:textId="5EF1658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46.7</w:t>
            </w:r>
          </w:p>
        </w:tc>
      </w:tr>
      <w:tr w:rsidR="000D2075" w:rsidRPr="00742115" w14:paraId="6111974D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294CB7" w14:textId="6DCFB6CA" w:rsidR="000D2075" w:rsidRPr="00607B17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7B17">
              <w:rPr>
                <w:rFonts w:ascii="Calibri" w:hAnsi="Calibri" w:cs="Calibri"/>
                <w:b/>
                <w:bCs/>
                <w:color w:val="000000"/>
                <w:sz w:val="18"/>
              </w:rPr>
              <w:t>165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70BC08" w14:textId="54A454AC" w:rsidR="000D2075" w:rsidRPr="00607B17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7B17">
              <w:rPr>
                <w:rFonts w:ascii="Calibri" w:hAnsi="Calibri" w:cs="Calibri"/>
                <w:b/>
                <w:bCs/>
                <w:color w:val="000000"/>
                <w:sz w:val="18"/>
              </w:rPr>
              <w:t>Universidad Nacional Autónoma de México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EA578C" w14:textId="3F513CE6" w:rsidR="000D2075" w:rsidRPr="00607B17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7B17">
              <w:rPr>
                <w:rFonts w:ascii="Calibri" w:hAnsi="Calibri" w:cs="Calibri"/>
                <w:b/>
                <w:bCs/>
                <w:color w:val="000000"/>
                <w:sz w:val="18"/>
              </w:rPr>
              <w:t>México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2D6B21" w14:textId="2A9A2B68" w:rsidR="000D2075" w:rsidRPr="00607B17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7B17">
              <w:rPr>
                <w:rFonts w:ascii="Calibri" w:hAnsi="Calibri" w:cs="Calibri"/>
                <w:b/>
                <w:bCs/>
                <w:color w:val="000000"/>
                <w:sz w:val="18"/>
              </w:rPr>
              <w:t>32.7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739F96" w14:textId="7780052D" w:rsidR="000D2075" w:rsidRPr="00607B17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7B17">
              <w:rPr>
                <w:rFonts w:ascii="Calibri" w:hAnsi="Calibri" w:cs="Calibri"/>
                <w:b/>
                <w:bCs/>
                <w:color w:val="000000"/>
                <w:sz w:val="18"/>
              </w:rPr>
              <w:t>30.6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BE2C17" w14:textId="05538BBC" w:rsidR="000D2075" w:rsidRPr="00607B17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7B17">
              <w:rPr>
                <w:rFonts w:ascii="Calibri" w:hAnsi="Calibri" w:cs="Calibri"/>
                <w:b/>
                <w:bCs/>
                <w:color w:val="000000"/>
                <w:sz w:val="18"/>
              </w:rPr>
              <w:t>28.2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AE25BB" w14:textId="71244C7D" w:rsidR="000D2075" w:rsidRPr="00607B17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7B17">
              <w:rPr>
                <w:rFonts w:ascii="Calibri" w:hAnsi="Calibri" w:cs="Calibri"/>
                <w:b/>
                <w:bCs/>
                <w:color w:val="000000"/>
                <w:sz w:val="18"/>
              </w:rPr>
              <w:t>20.2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EA3354" w14:textId="18974329" w:rsidR="000D2075" w:rsidRPr="00607B17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7B17">
              <w:rPr>
                <w:rFonts w:ascii="Calibri" w:hAnsi="Calibri" w:cs="Calibri"/>
                <w:b/>
                <w:bCs/>
                <w:color w:val="000000"/>
                <w:sz w:val="18"/>
              </w:rPr>
              <w:t>47.4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BFE06D" w14:textId="7DF83729" w:rsidR="000D2075" w:rsidRPr="00607B17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7B17">
              <w:rPr>
                <w:rFonts w:ascii="Calibri" w:hAnsi="Calibri" w:cs="Calibri"/>
                <w:b/>
                <w:bCs/>
                <w:color w:val="000000"/>
                <w:sz w:val="18"/>
              </w:rPr>
              <w:t>63.1</w:t>
            </w:r>
          </w:p>
        </w:tc>
      </w:tr>
      <w:tr w:rsidR="000D2075" w:rsidRPr="00742115" w14:paraId="37C20B6C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5FC7" w14:textId="366913B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4A54" w14:textId="7826E63D" w:rsidR="000D2075" w:rsidRPr="009B2E10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MX"/>
              </w:rPr>
            </w:pPr>
            <w:r w:rsidRPr="009B2E10">
              <w:rPr>
                <w:rFonts w:ascii="Calibri" w:hAnsi="Calibri" w:cs="Calibri"/>
                <w:color w:val="000000"/>
                <w:sz w:val="18"/>
                <w:lang w:val="pt-BR"/>
              </w:rPr>
              <w:t>Universidad Federal de Minas Gerais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6E3A" w14:textId="075BB54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8EB2" w14:textId="6446869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32.5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2486" w14:textId="00A5226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33.3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E4B3" w14:textId="5A246B1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6D76" w14:textId="422DC76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17D1" w14:textId="71484CA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29.6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7F80" w14:textId="7DB19B6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39.3</w:t>
            </w:r>
          </w:p>
        </w:tc>
      </w:tr>
      <w:tr w:rsidR="000D2075" w:rsidRPr="00742115" w14:paraId="00D4045D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3CF15F" w14:textId="21A2A3B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190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0499C2" w14:textId="776E93D7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Sergipe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8B95EB" w14:textId="682A977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034EAE" w14:textId="4500991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31.2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EE6239" w14:textId="42FE461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3AE5AB" w14:textId="2FD4FEA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89BD77" w14:textId="193971D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87.0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367118" w14:textId="4BD1B2B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9D9117" w14:textId="46C17C8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4A101D7E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1191" w14:textId="07D4334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201–250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C0D8" w14:textId="72BFB62E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Pontificia Universidad Católica de Río Grande del Sur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E341" w14:textId="3FBCF3E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04B6" w14:textId="4EE6B69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29.0–30.7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9A9F" w14:textId="03F8BE5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C42A" w14:textId="78AADB8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6982" w14:textId="4DB3E42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46.9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696E" w14:textId="094411B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31.2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8C8F" w14:textId="1368951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61.3</w:t>
            </w:r>
          </w:p>
        </w:tc>
      </w:tr>
      <w:tr w:rsidR="000D2075" w:rsidRPr="00742115" w14:paraId="5851822C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4858EA" w14:textId="2E2D482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201–250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8809A9" w14:textId="1A352EF3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Chile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E76D83" w14:textId="0556D7A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61219E" w14:textId="6F9BDE0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29.0–30.7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537AE0" w14:textId="49A2CEB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23.8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9D9A00" w14:textId="05E170F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29B570" w14:textId="34B8755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36.7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224F73" w14:textId="2379BBB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50.8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4EA661" w14:textId="1022DE5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40.3</w:t>
            </w:r>
          </w:p>
        </w:tc>
      </w:tr>
      <w:tr w:rsidR="000D2075" w:rsidRPr="00742115" w14:paraId="358E2211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AEE5" w14:textId="24B8129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201–250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6A05" w14:textId="44AEB932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Los Andes (Colombia)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320F" w14:textId="7E039AC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Colombia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4708" w14:textId="6B56193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29.0–30.7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F918" w14:textId="61131BB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21.6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B283" w14:textId="351A29B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062E" w14:textId="47C0531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39.2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1490" w14:textId="383F5C0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55.8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A9E8" w14:textId="71B9B8B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39.3</w:t>
            </w:r>
          </w:p>
        </w:tc>
      </w:tr>
      <w:tr w:rsidR="000D2075" w:rsidRPr="00742115" w14:paraId="62179716" w14:textId="77777777" w:rsidTr="009D7347">
        <w:trPr>
          <w:gridAfter w:val="1"/>
          <w:wAfter w:w="46" w:type="dxa"/>
          <w:trHeight w:val="8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BDB886" w14:textId="7CEFB48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201–250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5CB810" w14:textId="12ED3826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Río de Janeiro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0DE6F3" w14:textId="318FB79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61C768" w14:textId="7182CEA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29.0–30.7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2B8D11" w14:textId="423EE2B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31.9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CF8611" w14:textId="018C5EA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56F931" w14:textId="0118BE4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23.1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A29D6D" w14:textId="2D499DA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29.6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7E2328" w14:textId="7C32543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64.2</w:t>
            </w:r>
          </w:p>
        </w:tc>
      </w:tr>
      <w:tr w:rsidR="000D2075" w:rsidRPr="00742115" w14:paraId="3F89D597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C13DD" w14:textId="31D692A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201–250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DC33" w14:textId="0FC59EF0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Santa Catarina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8558" w14:textId="2B6F177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3B56" w14:textId="5FE4AFA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29.0–30.7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3F30" w14:textId="6333C86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28.1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F254" w14:textId="549BE15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247B" w14:textId="7B21DE1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47.1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63B8" w14:textId="5D5102D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31.0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45F0" w14:textId="07E816F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44.4</w:t>
            </w:r>
          </w:p>
        </w:tc>
      </w:tr>
      <w:tr w:rsidR="000D2075" w:rsidRPr="00742115" w14:paraId="1799EDB1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D3CDAF" w14:textId="6DC6593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201–250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868585" w14:textId="6D59C8D4" w:rsidR="000D2075" w:rsidRPr="00B60533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MX"/>
              </w:rPr>
            </w:pPr>
            <w:r w:rsidRPr="00B60533">
              <w:rPr>
                <w:rFonts w:ascii="Calibri" w:hAnsi="Calibri" w:cs="Calibri"/>
                <w:color w:val="000000"/>
                <w:sz w:val="18"/>
                <w:lang w:val="pt-BR"/>
              </w:rPr>
              <w:t>Universidad Federal de São Paulo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BD1C14" w14:textId="287A673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EB0029" w14:textId="7AD6D96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29.0–30.7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71F704" w14:textId="1F606E7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27.4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1E314B" w14:textId="517A778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55BFBF" w14:textId="6247C3D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46.5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A9D063" w14:textId="7630F47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29.3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AC432E" w14:textId="4F2009A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35.3</w:t>
            </w:r>
          </w:p>
        </w:tc>
      </w:tr>
      <w:tr w:rsidR="000D2075" w:rsidRPr="00742115" w14:paraId="6D4E0166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58B3" w14:textId="1B1FD00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251–300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783BF" w14:textId="2E7D178E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Antioquia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237C" w14:textId="0FFD691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Colombia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1181" w14:textId="07B594A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27.1–28.9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6A50" w14:textId="5C13FFA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60D7" w14:textId="0643FD6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19E2" w14:textId="795DB17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BDA8" w14:textId="1A6EC40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37.9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0A59B" w14:textId="2664170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76.6</w:t>
            </w:r>
          </w:p>
        </w:tc>
      </w:tr>
      <w:tr w:rsidR="000D2075" w:rsidRPr="00742115" w14:paraId="510F171D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989AF1" w14:textId="68D4BF2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251–300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7CF72D" w14:textId="44B76523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Fortaleza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235B34" w14:textId="4AAFBB3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6EBC46" w14:textId="52AF16F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27.1–28.9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398FDC" w14:textId="2210A24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50E13C" w14:textId="732D44A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DD8D5E" w14:textId="2AAF4E2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65.2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852F6F" w14:textId="2255EA5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797875" w14:textId="550BB99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592D800C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A1FB" w14:textId="3DDC83B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251–300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E9FB" w14:textId="4FB6E358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Estatal Paulista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2D2F" w14:textId="363C803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263C" w14:textId="4A0F57E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27.1–28.9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B48D" w14:textId="49AC334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33.4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364E" w14:textId="6E37F60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24.5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00D6" w14:textId="73E605B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076B" w14:textId="5A77217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29.2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64DF" w14:textId="274BAB2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39.6</w:t>
            </w:r>
          </w:p>
        </w:tc>
      </w:tr>
      <w:tr w:rsidR="000D2075" w:rsidRPr="00742115" w14:paraId="0EC03F1D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963FAD" w14:textId="1CF281C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301–350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15983B" w14:textId="1E68FA52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Pontificia Universidad Católica de Valparaíso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7DD4BF" w14:textId="3C57E58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57578A" w14:textId="130CEEF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25.2–27.0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C60CCC" w14:textId="723856C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E5A268" w14:textId="7666742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9467BF" w14:textId="5382BDE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5CB686" w14:textId="59BB461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49.7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D2E5A2" w14:textId="007DBD8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43.9</w:t>
            </w:r>
          </w:p>
        </w:tc>
      </w:tr>
      <w:tr w:rsidR="000D2075" w:rsidRPr="00742115" w14:paraId="54F9B391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E50D" w14:textId="72DC823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301–350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C8F5" w14:textId="107D3FB9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Autónoma Metropolitana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69C6" w14:textId="300247E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México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A214" w14:textId="628CCBB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25.2–27.0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A83E" w14:textId="4E6F4BA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173B" w14:textId="1EB5ECE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21ED" w14:textId="444F473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51.4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65BA" w14:textId="306B0FB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683C" w14:textId="1647F04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37.0</w:t>
            </w:r>
          </w:p>
        </w:tc>
      </w:tr>
      <w:tr w:rsidR="000D2075" w:rsidRPr="00742115" w14:paraId="37B415BE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6A9F7D" w14:textId="60D977C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301–350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7541C6" w14:textId="11D42E83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Brasilia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6907B9" w14:textId="140913A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59FFEC" w14:textId="3B44EDF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25.2–27.0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BBF804" w14:textId="5E6A5BA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26.2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26B841" w14:textId="314AC24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774066" w14:textId="1C0AEE0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EE5809" w14:textId="6A59BDF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31.5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B3FB14" w14:textId="0FDA3EA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41.7</w:t>
            </w:r>
          </w:p>
        </w:tc>
      </w:tr>
      <w:tr w:rsidR="000D2075" w:rsidRPr="00742115" w14:paraId="72170F17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EE05" w14:textId="42A302F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301–350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010B" w14:textId="02B54CDF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Concepción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EAEC" w14:textId="0052AEA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372D" w14:textId="7F02F38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25.2–27.0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9237" w14:textId="2F44FE4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0BCA" w14:textId="04DC49C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2CFC" w14:textId="1206480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28.3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9FE8" w14:textId="1606295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50.7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5163" w14:textId="056D68B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56.1</w:t>
            </w:r>
          </w:p>
        </w:tc>
      </w:tr>
      <w:tr w:rsidR="000D2075" w:rsidRPr="00742115" w14:paraId="527D9800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AAD42C" w14:textId="51571A7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301–350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9A8EB4" w14:textId="159EDC83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Nacional de Colombia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614677" w14:textId="0A7E578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Colombia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D90A1E" w14:textId="2BF1540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25.2–27.0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65CDEF" w14:textId="6432476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9A03AB" w14:textId="77EAC5C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8B99A6" w14:textId="04B1A74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41.4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927009" w14:textId="2E6B15C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37.1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E0F756" w14:textId="5D2E411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35.3</w:t>
            </w:r>
          </w:p>
        </w:tc>
      </w:tr>
      <w:tr w:rsidR="000D2075" w:rsidRPr="00742115" w14:paraId="79DB638A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1849" w14:textId="5284D19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351–400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6BA8" w14:textId="4C6AA3AB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Pontificia Universidad Católica de Paraná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DC47" w14:textId="3215A7F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7E3E" w14:textId="03D9AE9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23.9–25.1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B9F5" w14:textId="510A792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D700" w14:textId="19D6481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12.4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0387" w14:textId="4C97CD4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37.4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146E" w14:textId="76AA13F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27.3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9741" w14:textId="75CD1DB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38.0</w:t>
            </w:r>
          </w:p>
        </w:tc>
      </w:tr>
      <w:tr w:rsidR="000D2075" w:rsidRPr="00742115" w14:paraId="6BC07B11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86978C" w14:textId="58FA8CE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351–400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70BDC8" w14:textId="1EFBC758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La Frontera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2D9F76" w14:textId="3C1B3D8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4B4ACF" w14:textId="7C13631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23.9–25.1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81B1FA" w14:textId="0ECD526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15.3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95A84D" w14:textId="75DF2CB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19.9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665BB3" w14:textId="0DC3F0A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30.6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D8D80A" w14:textId="30F508A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50.0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E4D4B2" w14:textId="435A709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3A5AED7B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232D" w14:textId="7F9D72D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351–400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53AF" w14:textId="564ABDB3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los Andes (Chile)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2E59" w14:textId="0C5C6CF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FB00" w14:textId="50CC4F7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23.9–25.1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13B5" w14:textId="4912448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BF06" w14:textId="5CDAD76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12.9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32D5" w14:textId="5285D89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32.3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CD33" w14:textId="73D2FAB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48.3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03BB" w14:textId="7FE8FA7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36.2</w:t>
            </w:r>
          </w:p>
        </w:tc>
      </w:tr>
      <w:tr w:rsidR="000D2075" w:rsidRPr="00742115" w14:paraId="4425E5E5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556BA3" w14:textId="27DEC70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351–400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0F31E4" w14:textId="28856EB8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del Valle del Río de los Sinos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F9E454" w14:textId="21F55E4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B91E97" w14:textId="5D2E0CE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23.9–25.1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D769EA" w14:textId="4AB0D3B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26.6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06EE95" w14:textId="7CB7650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FB82EC" w14:textId="22ACA5C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23.1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DA8BCD" w14:textId="5461698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31F8E3" w14:textId="381A923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51.3</w:t>
            </w:r>
          </w:p>
        </w:tc>
      </w:tr>
      <w:tr w:rsidR="000D2075" w:rsidRPr="00742115" w14:paraId="66839054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5C54" w14:textId="6E686C4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351–400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F00F" w14:textId="370F8669" w:rsidR="000D2075" w:rsidRPr="00B60533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MX"/>
              </w:rPr>
            </w:pPr>
            <w:r w:rsidRPr="00B60533">
              <w:rPr>
                <w:rFonts w:ascii="Calibri" w:hAnsi="Calibri" w:cs="Calibri"/>
                <w:color w:val="000000"/>
                <w:sz w:val="18"/>
                <w:lang w:val="pt-BR"/>
              </w:rPr>
              <w:t>Universidad Federal de São Carlos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5EDF" w14:textId="69A44C1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4850" w14:textId="5F075E4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23.9–25.1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DA7C" w14:textId="38B7A5E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28.9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B472" w14:textId="7865456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3462" w14:textId="60250F4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6B92" w14:textId="08C82F4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25.7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7CF4" w14:textId="02CA5C6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41.6</w:t>
            </w:r>
          </w:p>
        </w:tc>
      </w:tr>
      <w:tr w:rsidR="000D2075" w:rsidRPr="00742115" w14:paraId="3A89E12B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44D1BD" w14:textId="2847E2A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401–500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2F16BA" w14:textId="68CF6847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Pontificia Universidad Católica del Perú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87B9F4" w14:textId="77E0587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Perú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F5C46C" w14:textId="74ADA90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20.8–23.8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7D239A" w14:textId="453BA5B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CB7F8B" w14:textId="1C50AA9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E8E4F7" w14:textId="5DADC95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32.8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A4C01B" w14:textId="6F11B79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44.7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6AA6B2" w14:textId="15BD036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35.8</w:t>
            </w:r>
          </w:p>
        </w:tc>
      </w:tr>
      <w:tr w:rsidR="000D2075" w:rsidRPr="00742115" w14:paraId="737468F0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F4AE" w14:textId="0F3887D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401–500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8AAE" w14:textId="06BF515E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Adolfo Ibáñez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1C64" w14:textId="74A140F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E074" w14:textId="694617F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20.8–23.8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777D" w14:textId="4111A56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15.5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DCD6" w14:textId="5D0388B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15.1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E332" w14:textId="6BA0603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CCC2" w14:textId="0299183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59.8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EEEA" w14:textId="4642F33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36.6</w:t>
            </w:r>
          </w:p>
        </w:tc>
      </w:tr>
      <w:tr w:rsidR="000D2075" w:rsidRPr="00742115" w14:paraId="7FB1D78E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EAA889" w14:textId="11783FE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401–500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507898" w14:textId="4D391627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Andrés Bello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2F3D7A" w14:textId="2213B2B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565EA4" w14:textId="68BB89B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20.8–23.8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7993F1" w14:textId="7DA01C8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2D60A4" w14:textId="027282F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E1301F" w14:textId="7E16179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33.1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FFE61B" w14:textId="3094C77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48.5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2B99A4" w14:textId="56B5F51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35.0</w:t>
            </w:r>
          </w:p>
        </w:tc>
      </w:tr>
      <w:tr w:rsidR="000D2075" w:rsidRPr="00742115" w14:paraId="3B7BA5AD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75E84" w14:textId="1D87E4F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401–500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D894" w14:textId="0167DCBB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Austral de Chile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6B74" w14:textId="088BB53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F1C6" w14:textId="72B4038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20.8–23.8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E7FC" w14:textId="7EF843B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B15" w14:textId="154BD5A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8AFA" w14:textId="194F098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24.9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9DAB" w14:textId="082C846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52.1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84E8" w14:textId="2EE0953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45.8</w:t>
            </w:r>
          </w:p>
        </w:tc>
      </w:tr>
      <w:tr w:rsidR="000D2075" w:rsidRPr="00742115" w14:paraId="5F0DCF0B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8FBF2F" w14:textId="78C986D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401–500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A61FAD" w14:textId="6645FB55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Autónoma de Sinaloa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1A1321" w14:textId="25C7CC0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México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5CA650" w14:textId="7CEA6AA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20.8–23.8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653649" w14:textId="480A612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E06595" w14:textId="513E294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12.2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A607E0" w14:textId="58C34CC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29.3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891B3A" w14:textId="57657E6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23.9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E66DC3" w14:textId="6BAE346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52.0</w:t>
            </w:r>
          </w:p>
        </w:tc>
      </w:tr>
      <w:tr w:rsidR="000D2075" w:rsidRPr="00742115" w14:paraId="0F0CC695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C6EB" w14:textId="151CC26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401–500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EAC1" w14:textId="0B5B0725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Católica del Norte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CF99" w14:textId="3E2DD77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E020" w14:textId="7FB056A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20.8–23.8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E04D" w14:textId="2AF8739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15.1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B80D" w14:textId="18777A0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12.4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8889" w14:textId="3A91BA1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EA5A" w14:textId="039C996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54.8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5ED4" w14:textId="29B62C8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34.9</w:t>
            </w:r>
          </w:p>
        </w:tc>
      </w:tr>
      <w:tr w:rsidR="000D2075" w:rsidRPr="00742115" w14:paraId="2D2D6E9E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2AF441" w14:textId="4CD8348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401–500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E94F4F" w14:textId="1D630871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Talca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94608A" w14:textId="7B4786C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487BFB" w14:textId="020A752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20.8–23.8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C90AC0" w14:textId="663E4D5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AE34ED" w14:textId="7F29BE1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11.8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314563" w14:textId="7F6EBE7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3F9FE9" w14:textId="568DBEF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53.3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E68948" w14:textId="16E3B43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36.0</w:t>
            </w:r>
          </w:p>
        </w:tc>
      </w:tr>
      <w:tr w:rsidR="000D2075" w:rsidRPr="00742115" w14:paraId="16753C0B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669C" w14:textId="38857B7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401–500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45E3" w14:textId="73DD999B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Tarapacá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FFCA" w14:textId="175ABD4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B8A2" w14:textId="0F1D25B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20.8–23.8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E6EE" w14:textId="6C3BAE4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2EA0" w14:textId="489A7FE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74C2" w14:textId="6A28FF0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1F01" w14:textId="41CDA2E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51.9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2BC1" w14:textId="08EEC06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34.9</w:t>
            </w:r>
          </w:p>
        </w:tc>
      </w:tr>
      <w:tr w:rsidR="000D2075" w:rsidRPr="00742115" w14:paraId="42F97990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8D3CED" w14:textId="4A57CC0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401–500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671C27" w14:textId="253B844F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del Norte (Colombia)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AFC5A8" w14:textId="774F9B0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Colombia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3E8E6F" w14:textId="43FB043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20.8–23.8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EAE7FC" w14:textId="0FDE173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D24FBE" w14:textId="562C586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11.9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49F168" w14:textId="7E48BB6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19.6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BF0443" w14:textId="4749BFD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52.6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13643E" w14:textId="7351BD7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38.4</w:t>
            </w:r>
          </w:p>
        </w:tc>
      </w:tr>
      <w:tr w:rsidR="000D2075" w:rsidRPr="00742115" w14:paraId="594BCD7B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5762" w14:textId="21DEBC6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401–500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5525" w14:textId="78EE6F31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del Rosario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40BC" w14:textId="6E2C985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Colombia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5367" w14:textId="3FDD576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20.8–23.8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477E" w14:textId="296E4EB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AC01" w14:textId="07CE0BC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11.0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6653" w14:textId="06A6E0E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4E53" w14:textId="4B0FEC2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48.2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ADA1" w14:textId="3CE4021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38.2</w:t>
            </w:r>
          </w:p>
        </w:tc>
      </w:tr>
      <w:tr w:rsidR="000D2075" w:rsidRPr="00742115" w14:paraId="38C19127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A8497A" w14:textId="123014D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401–500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17AD74" w14:textId="599CBE65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Estatal de Londrina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6616C8" w14:textId="6D41024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84AFC0" w14:textId="72024D7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20.8–23.8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574252" w14:textId="5D62B40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23.3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98415E" w14:textId="2EA2779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109D79" w14:textId="29D2DB6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15.3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75FB22" w14:textId="19371E4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300876" w14:textId="7291AEA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53.1</w:t>
            </w:r>
          </w:p>
        </w:tc>
      </w:tr>
      <w:tr w:rsidR="000D2075" w:rsidRPr="00742115" w14:paraId="74673994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496D" w14:textId="59E56E1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401–500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C6A5" w14:textId="51BC6DB2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ABC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7F16" w14:textId="44C9389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2BFB" w14:textId="768D5E3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20.8–23.8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36D7" w14:textId="2864178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BD35" w14:textId="22E7950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71B3" w14:textId="294DC2A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9288" w14:textId="2730691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2F38" w14:textId="073C5F9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35.6</w:t>
            </w:r>
          </w:p>
        </w:tc>
      </w:tr>
      <w:tr w:rsidR="000D2075" w:rsidRPr="00742115" w14:paraId="562994FA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18D27C" w14:textId="322BDB3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401–500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4FB24B" w14:textId="578622D3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Bahía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77B984" w14:textId="4FF2E1E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14E7BA" w14:textId="33D222C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20.8–23.8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0A9E32" w14:textId="1F8E0D4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23.8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638C8D" w14:textId="27A051D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13D364" w14:textId="4C70279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A178D2" w14:textId="05AB326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23.7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A4F3CB" w14:textId="13B8965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35.1</w:t>
            </w:r>
          </w:p>
        </w:tc>
      </w:tr>
      <w:tr w:rsidR="000D2075" w:rsidRPr="00742115" w14:paraId="00F39741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19AF" w14:textId="2B6D79E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401–500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0067" w14:textId="21EA6005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Lavras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413D" w14:textId="3772762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A87E" w14:textId="3D2AD9C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20.8–23.8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964" w14:textId="2FF1A8E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B431" w14:textId="64EA225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6A72C" w14:textId="0534AE8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15.8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27FC" w14:textId="5117ACE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E90D" w14:textId="1452226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54.0</w:t>
            </w:r>
          </w:p>
        </w:tc>
      </w:tr>
      <w:tr w:rsidR="000D2075" w:rsidRPr="00742115" w14:paraId="7AA3EC1C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FE5216" w14:textId="2DFE40C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401–500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9FD5B0" w14:textId="0E08D696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Pelotas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D568B0" w14:textId="041CF15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1DFC6B" w14:textId="6564517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20.8–23.8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697A2D" w14:textId="5495B2B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80DA00" w14:textId="0DF6260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12.2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38210C" w14:textId="371E4EB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37.2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588453" w14:textId="20BF5AD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D9627B" w14:textId="680D9E9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11824E21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EFCB" w14:textId="6D89B33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401–500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483D" w14:textId="56AD0CD6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Uberlandia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31FC" w14:textId="47D24F1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8AFC" w14:textId="6A3063D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20.8–23.8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9161" w14:textId="5D741EE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21.1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1A0B" w14:textId="4AD35DC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11.1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FB33" w14:textId="29C1D33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26.8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C040" w14:textId="0BD1C89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21.1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203B" w14:textId="0A09253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41.7</w:t>
            </w:r>
          </w:p>
        </w:tc>
      </w:tr>
      <w:tr w:rsidR="000D2075" w:rsidRPr="00742115" w14:paraId="1B5F784B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FC0188" w14:textId="1BE693F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401–500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D3AB6E" w14:textId="77C644E9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Viçosa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645974" w14:textId="0C4E9FF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C87D5A" w14:textId="3F5BDAB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20.8–23.8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7DA0BD" w14:textId="41E26E5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8C5199" w14:textId="26B064A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231362" w14:textId="58128BC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AB3DF1" w14:textId="5A89FA3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7407E3" w14:textId="7A51A39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46.3</w:t>
            </w:r>
          </w:p>
        </w:tc>
      </w:tr>
      <w:tr w:rsidR="000D2075" w:rsidRPr="00742115" w14:paraId="62CA4B55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8D25" w14:textId="28FCCE5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401–500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8B41" w14:textId="058593CA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Técnica Federico Santa María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E2AD" w14:textId="7083633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EB2E" w14:textId="7B82A6C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20.8–23.8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1682" w14:textId="5E44D9C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480D" w14:textId="1262F3F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12.0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F7DD" w14:textId="79363AA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28.7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844C" w14:textId="3075C09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56.5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1521" w14:textId="3069135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41.3</w:t>
            </w:r>
          </w:p>
        </w:tc>
      </w:tr>
      <w:tr w:rsidR="000D2075" w:rsidRPr="00742115" w14:paraId="3E2EC00B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B8EC80" w14:textId="4A174E2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559E34" w14:textId="7B1D7FA2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Benemérita Universidad Autónoma de Puebla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A2F11B" w14:textId="35B671C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México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0865D7" w14:textId="33377F9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379217" w14:textId="7326825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EC63E8" w14:textId="2763568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C1962C" w14:textId="28FBCD9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12.2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AAD61F" w14:textId="5F0BE5F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29.0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E54FAE" w14:textId="6681033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7FF200E3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4D53" w14:textId="7E65962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2F23" w14:textId="1A3DEDA0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Instituto Politécnico Nacional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1E37" w14:textId="54D1C10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México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0F46" w14:textId="0DE81D3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F4D5" w14:textId="1CB491E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415A" w14:textId="564D3D9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1FD2" w14:textId="6C41271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7429" w14:textId="1A86928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1D91" w14:textId="37AF01D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40.7</w:t>
            </w:r>
          </w:p>
        </w:tc>
      </w:tr>
      <w:tr w:rsidR="000D2075" w:rsidRPr="00742115" w14:paraId="09C6FC5A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191408" w14:textId="4FE701B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222B49" w14:textId="6C3A2E3C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Pontificia Universidad Católica de Minas Gerais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E341BA" w14:textId="0F0CA2B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5D3B82" w14:textId="72CA338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C0DA3F" w14:textId="5228542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816BA3" w14:textId="703060E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0B5ABA" w14:textId="0B02AC3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6.8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A47DFD" w14:textId="00950D8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21.1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824CBF" w14:textId="713598B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35.2</w:t>
            </w:r>
          </w:p>
        </w:tc>
      </w:tr>
      <w:tr w:rsidR="000D2075" w:rsidRPr="00742115" w14:paraId="5E225ACA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CEAE" w14:textId="30306AB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B5B6" w14:textId="4C79CEF5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Autónoma de Baja California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F269" w14:textId="780571D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México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AA8B" w14:textId="03EDCB2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6ED6" w14:textId="5496927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E781" w14:textId="2F7DEB7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F896" w14:textId="0CC0422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593A" w14:textId="46B7866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33.0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E288" w14:textId="09ACC16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35.3</w:t>
            </w:r>
          </w:p>
        </w:tc>
      </w:tr>
      <w:tr w:rsidR="000D2075" w:rsidRPr="00742115" w14:paraId="2EBE959C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01DA10" w14:textId="4384D3B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177A1E" w14:textId="59BB66B4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Autónoma de Nuevo León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B4B6BB" w14:textId="055FE2F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México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D2D1A3" w14:textId="4A92832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C152C7" w14:textId="71BD76A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9159BD" w14:textId="0C7EEE6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2C590B" w14:textId="7C8D466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11.6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60A302" w14:textId="52D3AF5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30.5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5A5D6B" w14:textId="1DFAA49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35.8</w:t>
            </w:r>
          </w:p>
        </w:tc>
      </w:tr>
      <w:tr w:rsidR="000D2075" w:rsidRPr="00742115" w14:paraId="67B9E9AC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3CF0" w14:textId="3389756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B706" w14:textId="3B6A8308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Autónoma de Querétaro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5A56" w14:textId="003198B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México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8A6E" w14:textId="09BD1B1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7B19" w14:textId="36C452E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3F75" w14:textId="24ADA6E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2906" w14:textId="34E8B68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8386" w14:textId="5EAFEF6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27.4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9C4D" w14:textId="1E80146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37.0</w:t>
            </w:r>
          </w:p>
        </w:tc>
      </w:tr>
      <w:tr w:rsidR="000D2075" w:rsidRPr="00742115" w14:paraId="382AC4E9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46520F" w14:textId="329B0F3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C6FCD7" w14:textId="01A4082E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Autónoma de Yucatán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DE9374" w14:textId="0CDA739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México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CBB0B1" w14:textId="339198D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465157" w14:textId="73A1306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AB44AE" w14:textId="09CBD6A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76AB64" w14:textId="6BF56E2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15.1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99EF8C" w14:textId="418F803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30.6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87ADFD" w14:textId="3936CB1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45.5</w:t>
            </w:r>
          </w:p>
        </w:tc>
      </w:tr>
      <w:tr w:rsidR="000D2075" w:rsidRPr="00742115" w14:paraId="4BABDF9E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FE1A" w14:textId="06194C8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1504" w14:textId="1398B7F9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Autónoma del Estado de Hidalgo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3808" w14:textId="64D68D6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México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753A" w14:textId="15FB2F8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289C" w14:textId="605B7E6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A9EF" w14:textId="310DE56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17AE" w14:textId="7D26770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5097" w14:textId="47B16D3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9DA8" w14:textId="7CB77B7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36.7</w:t>
            </w:r>
          </w:p>
        </w:tc>
      </w:tr>
      <w:tr w:rsidR="000D2075" w:rsidRPr="00742115" w14:paraId="39E8D554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AE82F9" w14:textId="2608960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E34461" w14:textId="3270E9C1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Autónoma del Estado de México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C3005F" w14:textId="30C46F1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México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F2331F" w14:textId="7AE5FD3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A01AC9" w14:textId="642F6A7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30416D" w14:textId="0A132D8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4AB31C" w14:textId="1CC6113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6.7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C62212" w14:textId="758E88B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24.4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15F1C4" w14:textId="7821029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34.9</w:t>
            </w:r>
          </w:p>
        </w:tc>
      </w:tr>
      <w:tr w:rsidR="000D2075" w:rsidRPr="00742115" w14:paraId="694DFE2C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CB49" w14:textId="256C663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8C36" w14:textId="4A9946D5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Autónoma del Estado de Morelos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9B2E" w14:textId="753F3BD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México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09F5" w14:textId="15E74E2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D9C" w14:textId="65ADAD5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15.6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AAFB" w14:textId="52DFE2E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1BD8" w14:textId="720FD0B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6.7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E63B" w14:textId="63C7DE4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24.9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1C78" w14:textId="05A7B20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35.2</w:t>
            </w:r>
          </w:p>
        </w:tc>
      </w:tr>
      <w:tr w:rsidR="000D2075" w:rsidRPr="00742115" w14:paraId="0A14CF2D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1CC695" w14:textId="0D6459C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FB31D9" w14:textId="5DD60954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Caxias del Sur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B42514" w14:textId="7730BF0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FF4289" w14:textId="241D050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A86C8A" w14:textId="08577C4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15.4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58E41D" w14:textId="1F48286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3421A6" w14:textId="2E42EB7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11.0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FBB38D" w14:textId="5850B56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23DE52" w14:textId="2B4B596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35.3</w:t>
            </w:r>
          </w:p>
        </w:tc>
      </w:tr>
      <w:tr w:rsidR="000D2075" w:rsidRPr="00742115" w14:paraId="2663CE4F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AD97" w14:textId="04B288D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5532" w14:textId="503926BA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Guadalajara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22BF" w14:textId="3B8FA05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México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F372" w14:textId="1007CDC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3235" w14:textId="166D20E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F445" w14:textId="73943C2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CCD0" w14:textId="18D5404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27EB" w14:textId="4810750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28.1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52D7" w14:textId="3A6784E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1C8DEFFB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EE7C1F" w14:textId="30639F6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1C9FC8" w14:textId="78E77022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Guanajuato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2A926C" w14:textId="61C5C54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México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40201D" w14:textId="7B2D470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1CBB13" w14:textId="130A870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4186C5" w14:textId="15EBB77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DBF641" w14:textId="0EEB385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82E86A" w14:textId="70DD13B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1B0B52" w14:textId="6C4ADAA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36.6</w:t>
            </w:r>
          </w:p>
        </w:tc>
      </w:tr>
      <w:tr w:rsidR="000D2075" w:rsidRPr="00742115" w14:paraId="241B99ED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2397" w14:textId="0EB2295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FC31" w14:textId="63E8696F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La Sabana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E7AD" w14:textId="6621B31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Colombia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A5B2" w14:textId="35DF9B0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934D" w14:textId="5E4AF4B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D18E" w14:textId="7C9B11E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13AB" w14:textId="6409D92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7.6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7438" w14:textId="68DD77A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42.7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4DCE" w14:textId="13450A0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36.7</w:t>
            </w:r>
          </w:p>
        </w:tc>
      </w:tr>
      <w:tr w:rsidR="000D2075" w:rsidRPr="00742115" w14:paraId="0312749D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ECD484" w14:textId="5A9DA04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A1A75F" w14:textId="6C19B9EC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Passo Fundo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9E8BB4" w14:textId="31FE8A8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6247F7" w14:textId="0D15E16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6FA4D3" w14:textId="1B75A76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13012D" w14:textId="0BA4ED7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2102F8" w14:textId="5136EB8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21.0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7BEC64" w14:textId="42F5CF0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287B64" w14:textId="6B14934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74CB9074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50DF" w14:textId="0F6363D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70CD" w14:textId="72FAD100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Pernambuco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47B5" w14:textId="1B30E44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BF80" w14:textId="3DB2A4F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55AF" w14:textId="096EF5B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15.6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FFA8" w14:textId="00D5357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84C7" w14:textId="0E71C53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6C1B4" w14:textId="3DA8A44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24.3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D029" w14:textId="09B32B7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35.0</w:t>
            </w:r>
          </w:p>
        </w:tc>
      </w:tr>
      <w:tr w:rsidR="000D2075" w:rsidRPr="00742115" w14:paraId="3E372EE3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71B0FF" w14:textId="399688E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9FEE0B" w14:textId="5F100E77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Santiago de Chile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7BF9CE" w14:textId="0607DCA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2B3D8F" w14:textId="76A98C7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E57C1A" w14:textId="617EDD9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D6D388" w14:textId="5B06D4D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15.7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7DB2F7" w14:textId="301F71A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12.7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478E2A" w14:textId="4156F23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47.3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25B255" w14:textId="3F9657A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37.2</w:t>
            </w:r>
          </w:p>
        </w:tc>
      </w:tr>
      <w:tr w:rsidR="000D2075" w:rsidRPr="00742115" w14:paraId="48D178F0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834B" w14:textId="05ADACA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C35D" w14:textId="72C5A70F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Sonora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AEF0" w14:textId="23A6D83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México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F319" w14:textId="52C1BA3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CB9D" w14:textId="6D1233C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3573" w14:textId="6E58A0D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80E1" w14:textId="59206D8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F434" w14:textId="4C1741F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27.9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5F22" w14:textId="3349893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34.9</w:t>
            </w:r>
          </w:p>
        </w:tc>
      </w:tr>
      <w:tr w:rsidR="000D2075" w:rsidRPr="00742115" w14:paraId="1FF33B64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196402" w14:textId="2722454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1E6BE2" w14:textId="68C841AE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 Valparaíso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1D77B1" w14:textId="658C935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85C326" w14:textId="5CFD565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9C80C4" w14:textId="7DE6D48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15.5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04B1B2" w14:textId="1B73EF0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21F957" w14:textId="49A4901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19.3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676C39" w14:textId="4937B77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49.6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AFBD04" w14:textId="798526A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35.0</w:t>
            </w:r>
          </w:p>
        </w:tc>
      </w:tr>
      <w:tr w:rsidR="000D2075" w:rsidRPr="00742115" w14:paraId="6D362758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2566" w14:textId="042945F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8B21" w14:textId="3E6CDD88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del Bío-Bío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38FE" w14:textId="717B7FF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5779" w14:textId="29E95DE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5F5A" w14:textId="78C551A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C17C" w14:textId="44DA0D2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8EF5" w14:textId="7C3714F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2FD6" w14:textId="682D11D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48.1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EE9F" w14:textId="2413311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3580B837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905626" w14:textId="0F4FF99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45E153" w14:textId="0A278182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del Estado de Río de Janeiro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E1E7BE" w14:textId="28A015A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8465E1" w14:textId="206C18D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4513F9" w14:textId="6E02A4A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1C09E2" w14:textId="7673C11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11.1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B3CF16" w14:textId="51C32CC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1C4A5F" w14:textId="479A9D2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5DEE03" w14:textId="118B8B2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39.6</w:t>
            </w:r>
          </w:p>
        </w:tc>
      </w:tr>
      <w:tr w:rsidR="000D2075" w:rsidRPr="00742115" w14:paraId="07B510FC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E8A1" w14:textId="3165400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2960" w14:textId="14568B50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del Estado de Santa Catarina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2D40" w14:textId="572B411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E73D" w14:textId="316C348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D3B8" w14:textId="1F288CA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21.9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1B67" w14:textId="71A848B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0514" w14:textId="5FFB80B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8EC2" w14:textId="4E8577F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6EB0" w14:textId="715750B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35.0</w:t>
            </w:r>
          </w:p>
        </w:tc>
      </w:tr>
      <w:tr w:rsidR="000D2075" w:rsidRPr="00742115" w14:paraId="204C4CD4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594C1E" w14:textId="3DC123A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C9FA0F" w14:textId="3580772F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EAFIT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8ADF26" w14:textId="1C69198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Colombia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9F9C82" w14:textId="0705D0A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43E9B0" w14:textId="052334E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68E332" w14:textId="32B109F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E0E256" w14:textId="4CD7005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57C9BF" w14:textId="6F36219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41.6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E36953" w14:textId="0AB378F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36.3</w:t>
            </w:r>
          </w:p>
        </w:tc>
      </w:tr>
      <w:tr w:rsidR="000D2075" w:rsidRPr="00742115" w14:paraId="4EB16037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12EB" w14:textId="2234972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9A28" w14:textId="5696F9C6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Estatal de Ceará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FA1A" w14:textId="78F8F58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7DCE" w14:textId="01EFF24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10D1" w14:textId="6D2EEE3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F89E" w14:textId="3C751B4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A54F" w14:textId="73A37FC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6.8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8E5C" w14:textId="6269D61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1DEA" w14:textId="1147710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36.0</w:t>
            </w:r>
          </w:p>
        </w:tc>
      </w:tr>
      <w:tr w:rsidR="000D2075" w:rsidRPr="00742115" w14:paraId="240F8665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F44A4E" w14:textId="7CC6C06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D370BF" w14:textId="6FCFFA1E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Estatal de Maringá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992422" w14:textId="18BB54D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0BF08A" w14:textId="65B2DDB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179CD9" w14:textId="19F0FAB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E90BF1" w14:textId="4CCE352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12.0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7C17F6" w14:textId="1DD95B9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AFF210" w14:textId="369B0AC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E62467" w14:textId="74F8DE6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35.1</w:t>
            </w:r>
          </w:p>
        </w:tc>
      </w:tr>
      <w:tr w:rsidR="000D2075" w:rsidRPr="00742115" w14:paraId="05347FA4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97A7" w14:textId="0A7960D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95AB" w14:textId="6D8544AA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Estatal de Ponta Grossa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9D37" w14:textId="2CA813D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F429" w14:textId="470CD55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B709" w14:textId="5260A4E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21.4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D512" w14:textId="60A3CE6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1F6AC" w14:textId="0732D32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24.0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0E3E1" w14:textId="43DBA22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D57A" w14:textId="5BE7F52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5497AA5D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1173A5" w14:textId="6CB59EB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8E5C35" w14:textId="0E974E8B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Estatal de Santa Cruz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7419DE" w14:textId="5DACDF7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1157D5" w14:textId="4C05E88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63355D" w14:textId="19B6F03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26.3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02DFFE" w14:textId="1A295D8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57D762" w14:textId="3FF5895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EEA8B7" w14:textId="49A38AA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27.3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CB2D59" w14:textId="220B08A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35.2</w:t>
            </w:r>
          </w:p>
        </w:tc>
      </w:tr>
      <w:tr w:rsidR="000D2075" w:rsidRPr="00742115" w14:paraId="5E361ECE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9583" w14:textId="1C57BC4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B9BA" w14:textId="6CDF69FA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Estatal del Oeste de Paraná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CE712" w14:textId="51F188C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507F" w14:textId="3A18A53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B908" w14:textId="5E87ED6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37C8" w14:textId="1FAC476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D644" w14:textId="2F3B842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5.7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A3AD" w14:textId="194A525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0DCD" w14:textId="5345C2F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42.8</w:t>
            </w:r>
          </w:p>
        </w:tc>
      </w:tr>
      <w:tr w:rsidR="000D2075" w:rsidRPr="00742115" w14:paraId="000CE935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489A8D" w14:textId="3654BAF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5E0BA2" w14:textId="6B959C00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Ceará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F11BB8" w14:textId="658E990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C141D4" w14:textId="2A9139B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072FA3" w14:textId="2061219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BB874F" w14:textId="49516E9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12.1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42CEB9" w14:textId="540CC2E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014DB2" w14:textId="089D807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26.4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0E923D" w14:textId="1D5634B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36.1</w:t>
            </w:r>
          </w:p>
        </w:tc>
      </w:tr>
      <w:tr w:rsidR="000D2075" w:rsidRPr="00742115" w14:paraId="3870D8D2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4ED4" w14:textId="0F302D8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D3CF" w14:textId="464ED1CE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Espíritu Santo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ADEB" w14:textId="58D3B62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F29A" w14:textId="4D00131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DCCE" w14:textId="16E85AA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19.6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A308" w14:textId="6AEA8C9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11.0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155D" w14:textId="4320411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19.2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781D" w14:textId="476EE1A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24.1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B685" w14:textId="03D3C7F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35.7</w:t>
            </w:r>
          </w:p>
        </w:tc>
      </w:tr>
      <w:tr w:rsidR="000D2075" w:rsidRPr="00742115" w14:paraId="73DC090E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3AB539" w14:textId="6EAC2C9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4729BE" w14:textId="5E36B9F3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Goiás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193649" w14:textId="7488821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448DAD" w14:textId="33F4360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FBE2C4" w14:textId="3ACA6E7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21.5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374687" w14:textId="02FC614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11.8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999445" w14:textId="272C0A4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15.7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D9CBC6" w14:textId="5F921AF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6B20F4" w14:textId="0321147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39.2</w:t>
            </w:r>
          </w:p>
        </w:tc>
      </w:tr>
      <w:tr w:rsidR="000D2075" w:rsidRPr="00742115" w14:paraId="156BA2F8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44D0" w14:textId="271A6BC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BA9A" w14:textId="3BA474C7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Grande Dourados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7406" w14:textId="2F20C07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C7FF" w14:textId="1684B50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55DB" w14:textId="7C229E6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92B2" w14:textId="572461E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6BDC" w14:textId="29CC146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7.9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5C7" w14:textId="1537DCE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FAA0" w14:textId="1B22852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53423A1A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57CB93" w14:textId="165BE17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29AB2F" w14:textId="5DE5956E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Itajubá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98E951" w14:textId="4BA278D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3B8797" w14:textId="330204A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CD8A69" w14:textId="6F7957E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43E731" w14:textId="1D2D2B1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08FED2" w14:textId="68DA7E1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2484BA" w14:textId="21246B2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24.2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047D27" w14:textId="0D2EE05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38.3</w:t>
            </w:r>
          </w:p>
        </w:tc>
      </w:tr>
      <w:tr w:rsidR="000D2075" w:rsidRPr="00742115" w14:paraId="089CE751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D7E1" w14:textId="5A60BC5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A3CF" w14:textId="4C268743" w:rsidR="000D2075" w:rsidRPr="00B60533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MX"/>
              </w:rPr>
            </w:pPr>
            <w:r w:rsidRPr="00B60533">
              <w:rPr>
                <w:rFonts w:ascii="Calibri" w:hAnsi="Calibri" w:cs="Calibri"/>
                <w:color w:val="000000"/>
                <w:sz w:val="18"/>
                <w:lang w:val="pt-BR"/>
              </w:rPr>
              <w:t>Universidad Federal de Juiz de Fora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2A92" w14:textId="7D1FE28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EBF3" w14:textId="4B41BF3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72A3" w14:textId="3452668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BB3F" w14:textId="5834C51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262C" w14:textId="7B7A51C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24.9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27FF" w14:textId="1EA04F9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21.8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3C74" w14:textId="071AC12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35.4</w:t>
            </w:r>
          </w:p>
        </w:tc>
      </w:tr>
      <w:tr w:rsidR="000D2075" w:rsidRPr="00742115" w14:paraId="18A4378B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62B23F" w14:textId="2870D8D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5CC79F" w14:textId="0C3AE076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los Valles del Jequitinhonha y Mucuri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62E318" w14:textId="49C1BF1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AF02BD" w14:textId="28CDE13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08B92C" w14:textId="7D4552A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B47C6B" w14:textId="67814E9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7.5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15C786" w14:textId="66B133B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7.0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94486F" w14:textId="371B235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AB7B41" w14:textId="2728A61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333FDFEE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9B8C" w14:textId="5D788B2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31B7" w14:textId="747E7BD4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Maranhão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E3AB" w14:textId="3361641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D4B7" w14:textId="3A4A55D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2FCC" w14:textId="50CB365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6B3D" w14:textId="1EF0E51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03F7" w14:textId="1A91D81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D780" w14:textId="681B7BF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19.4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08E5" w14:textId="016F808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35.6</w:t>
            </w:r>
          </w:p>
        </w:tc>
      </w:tr>
      <w:tr w:rsidR="000D2075" w:rsidRPr="00742115" w14:paraId="31ACCD55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7E83C8" w14:textId="2DA1C38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924CB8" w14:textId="31D71D1D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Mato Grosso del Sur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963079" w14:textId="2484A54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CE4EB9" w14:textId="0FC699A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AEF4F5" w14:textId="5100BA7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F84E77" w14:textId="23FDA0C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E727FD" w14:textId="540D25D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F5D904" w14:textId="1772850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9372EE" w14:textId="1F65123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38.1</w:t>
            </w:r>
          </w:p>
        </w:tc>
      </w:tr>
      <w:tr w:rsidR="000D2075" w:rsidRPr="00742115" w14:paraId="0E8774EC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0A8C" w14:textId="0377965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8070" w14:textId="1DCED4A8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Ouro Preto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31E3" w14:textId="22C0F71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AC35" w14:textId="5FD400D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1F74" w14:textId="633085D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99CE" w14:textId="578AF46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11.2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46A2" w14:textId="08CFCE5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19.1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83AD" w14:textId="272BCA2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21.7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60FD" w14:textId="55F71F3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39.6</w:t>
            </w:r>
          </w:p>
        </w:tc>
      </w:tr>
      <w:tr w:rsidR="000D2075" w:rsidRPr="00742115" w14:paraId="4E791F34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9D3F3F" w14:textId="04768F0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9058F6" w14:textId="5358C80B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Pará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B19FA0" w14:textId="0FFF2E0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4570D4" w14:textId="4B96A3A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06353B" w14:textId="6D1226D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19.0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34F0EC" w14:textId="6C68339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0B7B6E" w14:textId="7490C21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8B01CE" w14:textId="70738F4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23.6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D10351" w14:textId="1C4D62C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38.6</w:t>
            </w:r>
          </w:p>
        </w:tc>
      </w:tr>
      <w:tr w:rsidR="000D2075" w:rsidRPr="00742115" w14:paraId="7A34C97E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F37F" w14:textId="5FD4269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0E4D" w14:textId="68DA5490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Paraná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7E88" w14:textId="1AEAF80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0A16" w14:textId="4338C9C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D04C" w14:textId="74A0BBF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25.6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D970" w14:textId="5557DE2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71C1" w14:textId="26F3507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F1AD" w14:textId="5F62E98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23.6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375E" w14:textId="70A6BDE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35.3</w:t>
            </w:r>
          </w:p>
        </w:tc>
      </w:tr>
      <w:tr w:rsidR="000D2075" w:rsidRPr="00742115" w14:paraId="3E552F88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22D764" w14:textId="47CF640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ADF178" w14:textId="7A3CA9EB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Pernambuco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154FC6" w14:textId="044F8C9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A24E33" w14:textId="7AD240C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9ECA40" w14:textId="6F0BA85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26.7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C1DD47" w14:textId="2D453B3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52D970" w14:textId="53FD765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6C8610" w14:textId="3DB1946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5FEEB4" w14:textId="609771C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36.3</w:t>
            </w:r>
          </w:p>
        </w:tc>
      </w:tr>
      <w:tr w:rsidR="000D2075" w:rsidRPr="00742115" w14:paraId="0AF5B457" w14:textId="77777777" w:rsidTr="009D7347">
        <w:trPr>
          <w:gridAfter w:val="1"/>
          <w:wAfter w:w="46" w:type="dxa"/>
          <w:trHeight w:val="7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3A76" w14:textId="2CF6011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BAB3" w14:textId="7494C8F6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Piauí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F4C34" w14:textId="0AEE7E0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454D" w14:textId="7A64B0E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6FB7" w14:textId="03E42F4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AA08" w14:textId="63F716E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B3C5" w14:textId="193680C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759F" w14:textId="5AF6F22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FB33" w14:textId="4EB40A1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35.6</w:t>
            </w:r>
          </w:p>
        </w:tc>
      </w:tr>
      <w:tr w:rsidR="000D2075" w:rsidRPr="00742115" w14:paraId="785C1D88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1414CC" w14:textId="6BF5263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6E8983" w14:textId="36C72B53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Río Grande del Norte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9E314A" w14:textId="11D5DD0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D5E7C1" w14:textId="548C3EA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28CB53" w14:textId="234BD3C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0D24DE" w14:textId="2F09181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4C19EA" w14:textId="0AEF1D0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19.7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8AE181" w14:textId="12395F2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27.4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F9CDE1" w14:textId="3E03105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37.8</w:t>
            </w:r>
          </w:p>
        </w:tc>
      </w:tr>
      <w:tr w:rsidR="000D2075" w:rsidRPr="00742115" w14:paraId="1B79E022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0B9" w14:textId="1696988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C57E" w14:textId="2A66FC84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Santa María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33AB" w14:textId="4BF21CA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CB46" w14:textId="2241540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1BB4" w14:textId="3F41A74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22.3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A453" w14:textId="54BBFA2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12.5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FF7C" w14:textId="4A77B6E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1149" w14:textId="6DB1945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042C" w14:textId="50958DB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35.7</w:t>
            </w:r>
          </w:p>
        </w:tc>
      </w:tr>
      <w:tr w:rsidR="000D2075" w:rsidRPr="00742115" w14:paraId="626E552C" w14:textId="77777777" w:rsidTr="009D7347">
        <w:trPr>
          <w:gridAfter w:val="1"/>
          <w:wAfter w:w="46" w:type="dxa"/>
          <w:trHeight w:val="7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A4340C" w14:textId="1469E4A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6D7ECF" w14:textId="3D764964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 Tocantins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A6ABDC" w14:textId="7DEA4FE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1BD689" w14:textId="210925B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0227C6" w14:textId="76F7D50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BCC73F" w14:textId="1CB49D0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34A083" w14:textId="57F8D89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6.3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FEBF9F" w14:textId="009A7B9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09FE51" w14:textId="41841C0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135CF517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5A77" w14:textId="04353AE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6D21" w14:textId="09207700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del Triángulo Mineiro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8C64" w14:textId="3D81E36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A67A" w14:textId="3AFD232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8179" w14:textId="1C39A4D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A8D7" w14:textId="6A75D5F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2E8E" w14:textId="459E93B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21.8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0A706" w14:textId="6F94A5C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19.7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55D0" w14:textId="34A95B4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36.2</w:t>
            </w:r>
          </w:p>
        </w:tc>
      </w:tr>
      <w:tr w:rsidR="000D2075" w:rsidRPr="00742115" w14:paraId="6B5FDEAB" w14:textId="77777777" w:rsidTr="009D7347">
        <w:trPr>
          <w:gridAfter w:val="1"/>
          <w:wAfter w:w="46" w:type="dxa"/>
          <w:trHeight w:val="2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3335D0" w14:textId="60206AD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A4712F" w14:textId="56B0B4F1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Fluminense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970564" w14:textId="541A69C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B6CE22" w14:textId="1458C42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0EAB1F" w14:textId="2C6A8D6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21.8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C783A7" w14:textId="0EBF4B7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11.0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126AC5" w14:textId="5BBFAE2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14.6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96DDE3" w14:textId="638A2E9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26.4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CB0A88" w14:textId="472B52A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35.4</w:t>
            </w:r>
          </w:p>
        </w:tc>
      </w:tr>
      <w:tr w:rsidR="000D2075" w:rsidRPr="00742115" w14:paraId="5E1A5688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291A" w14:textId="640F39D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A256" w14:textId="372AF780" w:rsidR="000D2075" w:rsidRPr="00B60533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MX"/>
              </w:rPr>
            </w:pPr>
            <w:r w:rsidRPr="00B60533">
              <w:rPr>
                <w:rFonts w:ascii="Calibri" w:hAnsi="Calibri" w:cs="Calibri"/>
                <w:color w:val="000000"/>
                <w:sz w:val="18"/>
                <w:lang w:val="pt-BR"/>
              </w:rPr>
              <w:t>Universidad Federal Rural de Pernambuco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998D" w14:textId="0665AFC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AE08" w14:textId="0615740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53C0" w14:textId="001131B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EDDA" w14:textId="2EAD3F6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99CD6" w14:textId="4765366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7.2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9304" w14:textId="10E5879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A8B0" w14:textId="50900BE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22305088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767D25" w14:textId="412507B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ABB0D5" w14:textId="44A5C1CF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 Rural del Semiárido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ABC4A7" w14:textId="2609033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A41C5F" w14:textId="42CDD0E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E16351" w14:textId="6CD3883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24.0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AC0F8A" w14:textId="0A1E0B4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DCF74D" w14:textId="3DA2DC4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081A78" w14:textId="2BE9B94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15.0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EC2ABB" w14:textId="4075D40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7F91D287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9E46" w14:textId="0354C8D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C057" w14:textId="66A9E34E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Federal de Ciencias de la Salud de Porto Alegre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FAC70" w14:textId="1E82033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0E91" w14:textId="7CC1A08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AE43" w14:textId="2B38558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1529" w14:textId="2B36DB7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12.1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910D" w14:textId="728E248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5A51" w14:textId="521BD64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B0EB" w14:textId="10F9865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4B2356F5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4676DD" w14:textId="4FA48CA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4AAC76" w14:textId="76B5C274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Industrial de Santander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C72333" w14:textId="35F1D4C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Colombia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9E50CB" w14:textId="197C9AD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8E397E" w14:textId="5C4D7EC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403DA9" w14:textId="2404789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8A60A6" w14:textId="5A9442A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23.0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AA9B7F" w14:textId="04CEDBA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1C0CC9" w14:textId="0ECDC30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35.6</w:t>
            </w:r>
          </w:p>
        </w:tc>
      </w:tr>
      <w:tr w:rsidR="000D2075" w:rsidRPr="00742115" w14:paraId="4A519B15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D57A" w14:textId="06C0AFB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6AA9" w14:textId="29214809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Michoacana de San Nicolás de Hidalgo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97DC" w14:textId="7CD54B3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México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8AD2" w14:textId="1DB3AE4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11A" w14:textId="1131113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15.8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C881" w14:textId="226D37E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078E" w14:textId="53066E1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7.7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B4D1" w14:textId="38BB162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27.8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94DC" w14:textId="7C4E3BF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35.6</w:t>
            </w:r>
          </w:p>
        </w:tc>
      </w:tr>
      <w:tr w:rsidR="000D2075" w:rsidRPr="00742115" w14:paraId="79478053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B74255" w14:textId="605F9CD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787838" w14:textId="4F0FE45A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Nacional Mayor de San Marcos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A8BECF" w14:textId="2FB8362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Perú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ACC318" w14:textId="4902276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C55CE3" w14:textId="72AE347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896342" w14:textId="2020A7B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B198F2" w14:textId="1FCE8DD1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4537B4" w14:textId="5223543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39.9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76F2A6" w14:textId="3062417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52EC8C13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EEEE" w14:textId="4475F4E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0730" w14:textId="7C42169D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Nueve de Julio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9767" w14:textId="0E6A822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1187" w14:textId="27106C4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29FC" w14:textId="3C16FCF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5608" w14:textId="58F4794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7.7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2E33" w14:textId="35DCC2C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2455" w14:textId="7129120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A77F" w14:textId="4FA65AA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35.3</w:t>
            </w:r>
          </w:p>
        </w:tc>
      </w:tr>
      <w:tr w:rsidR="000D2075" w:rsidRPr="00742115" w14:paraId="7D823F4C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C6A60B" w14:textId="3BF1BD0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DCD879" w14:textId="43ED53AA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Pontificia Bolivariana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698A0E" w14:textId="02AF7B5A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Colombia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E1E45F" w14:textId="211BCFF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02ED93" w14:textId="4305E6E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18.7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60EACF" w14:textId="5478619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1CC8D7" w14:textId="2945D699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7.3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519814" w14:textId="77466A2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36.6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44050A" w14:textId="636300F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38.5</w:t>
            </w:r>
          </w:p>
        </w:tc>
      </w:tr>
      <w:tr w:rsidR="000D2075" w:rsidRPr="00742115" w14:paraId="2DF5190C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51AE" w14:textId="68297A9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387B" w14:textId="1A51ECA6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Presbiteriana Mackenzie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B055" w14:textId="53F04956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8B11" w14:textId="443A487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CB03" w14:textId="0AFA4650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2900" w14:textId="3E68191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10.8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EC8F4" w14:textId="3A968F3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1E52" w14:textId="3D023735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21.8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F5FF" w14:textId="190CC57F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44.0</w:t>
            </w:r>
          </w:p>
        </w:tc>
      </w:tr>
      <w:tr w:rsidR="000D2075" w:rsidRPr="00742115" w14:paraId="6370617E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CE99EE" w14:textId="1A01596E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F41E9F" w14:textId="40D07E98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San Sebastián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478777" w14:textId="1995587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Chile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24A192" w14:textId="116EF55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572080" w14:textId="68C6E1F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17.5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86ACC3" w14:textId="30D7DF5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9E7BA6" w14:textId="64A06DF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8.8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FA5BBC" w14:textId="79A86B2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44.0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9DF943" w14:textId="4D22EA97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34.8</w:t>
            </w:r>
          </w:p>
        </w:tc>
      </w:tr>
      <w:tr w:rsidR="000D2075" w:rsidRPr="00742115" w14:paraId="2592F7C2" w14:textId="77777777" w:rsidTr="009D7347">
        <w:trPr>
          <w:gridAfter w:val="1"/>
          <w:wAfter w:w="46" w:type="dxa"/>
          <w:trHeight w:val="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1D07" w14:textId="4F8E8AC8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501+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71DB" w14:textId="2A6EF206" w:rsidR="000D2075" w:rsidRPr="00742115" w:rsidRDefault="000D2075" w:rsidP="000D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Universidad Tecnológica Federal de Paraná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B002" w14:textId="7D47A21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Brasil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0135" w14:textId="4021A132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13.6–20.7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4F35" w14:textId="6531E363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16.8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6EF6" w14:textId="45ED4034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9.8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8A84" w14:textId="39C4F2AB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13.9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B7CD" w14:textId="539E538D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20.4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291B" w14:textId="7BF8225C" w:rsidR="000D2075" w:rsidRPr="00742115" w:rsidRDefault="000D2075" w:rsidP="000D2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</w:rPr>
              <w:t>36.7</w:t>
            </w:r>
          </w:p>
        </w:tc>
      </w:tr>
    </w:tbl>
    <w:p w14:paraId="7DAC47B0" w14:textId="5547346E" w:rsidR="00BF3D8A" w:rsidRPr="00742115" w:rsidRDefault="00BF3D8A" w:rsidP="00BF3D8A">
      <w:pPr>
        <w:spacing w:after="0" w:line="240" w:lineRule="auto"/>
        <w:jc w:val="both"/>
        <w:rPr>
          <w:sz w:val="24"/>
        </w:rPr>
      </w:pPr>
    </w:p>
    <w:p w14:paraId="77B19FF1" w14:textId="77777777" w:rsidR="005031E4" w:rsidRPr="00742115" w:rsidRDefault="005031E4" w:rsidP="009B2E10">
      <w:pPr>
        <w:pStyle w:val="ListParagraph"/>
        <w:numPr>
          <w:ilvl w:val="0"/>
          <w:numId w:val="31"/>
        </w:numPr>
        <w:spacing w:after="0" w:line="240" w:lineRule="auto"/>
        <w:ind w:left="0"/>
        <w:jc w:val="both"/>
        <w:rPr>
          <w:sz w:val="24"/>
          <w:szCs w:val="24"/>
        </w:rPr>
      </w:pPr>
      <w:r w:rsidRPr="00742115">
        <w:rPr>
          <w:bCs/>
          <w:sz w:val="24"/>
        </w:rPr>
        <w:t xml:space="preserve">En </w:t>
      </w:r>
      <w:r w:rsidRPr="00742115">
        <w:rPr>
          <w:sz w:val="24"/>
        </w:rPr>
        <w:t>Brasil</w:t>
      </w:r>
      <w:r w:rsidRPr="00742115">
        <w:rPr>
          <w:bCs/>
          <w:sz w:val="24"/>
        </w:rPr>
        <w:t xml:space="preserve"> y México se concentra 70% de la participación de universidades de América Latina (</w:t>
      </w:r>
      <w:r w:rsidRPr="009B2E10">
        <w:rPr>
          <w:bCs/>
          <w:iCs/>
          <w:sz w:val="24"/>
        </w:rPr>
        <w:t>ver</w:t>
      </w:r>
      <w:r w:rsidRPr="00742115">
        <w:rPr>
          <w:bCs/>
          <w:sz w:val="24"/>
        </w:rPr>
        <w:t xml:space="preserve"> Gráfico 2).</w:t>
      </w:r>
      <w:r w:rsidRPr="00742115">
        <w:rPr>
          <w:sz w:val="24"/>
          <w:szCs w:val="24"/>
        </w:rPr>
        <w:t xml:space="preserve"> Se destaca la participación de 6 universidades brasileñas en las primeras 200 posiciones del ranking con un desempeño sobresaliente por parte de la Universidad de São Paulo, que fue clasificada en la posición </w:t>
      </w:r>
      <w:r w:rsidRPr="00742115">
        <w:rPr>
          <w:sz w:val="24"/>
        </w:rPr>
        <w:t>19 entre los países de BRICS y Economías Emergentes</w:t>
      </w:r>
      <w:r w:rsidRPr="00742115">
        <w:rPr>
          <w:sz w:val="24"/>
          <w:szCs w:val="24"/>
        </w:rPr>
        <w:t>.</w:t>
      </w:r>
    </w:p>
    <w:p w14:paraId="009606FD" w14:textId="77777777" w:rsidR="005031E4" w:rsidRPr="00742115" w:rsidRDefault="005031E4" w:rsidP="005031E4">
      <w:pPr>
        <w:pStyle w:val="ListParagraph"/>
        <w:spacing w:after="0" w:line="240" w:lineRule="auto"/>
        <w:ind w:left="0"/>
        <w:jc w:val="both"/>
        <w:rPr>
          <w:bCs/>
          <w:sz w:val="24"/>
        </w:rPr>
      </w:pPr>
    </w:p>
    <w:p w14:paraId="602E7656" w14:textId="7451C8EC" w:rsidR="00BF3D8A" w:rsidRPr="00742115" w:rsidRDefault="00BF3D8A" w:rsidP="009B2E10">
      <w:pPr>
        <w:pStyle w:val="ListParagraph"/>
        <w:numPr>
          <w:ilvl w:val="0"/>
          <w:numId w:val="31"/>
        </w:numPr>
        <w:spacing w:after="0" w:line="240" w:lineRule="auto"/>
        <w:ind w:left="0"/>
        <w:jc w:val="both"/>
        <w:rPr>
          <w:bCs/>
          <w:sz w:val="24"/>
        </w:rPr>
      </w:pPr>
      <w:r w:rsidRPr="00742115">
        <w:rPr>
          <w:bCs/>
          <w:sz w:val="24"/>
        </w:rPr>
        <w:t xml:space="preserve">Las </w:t>
      </w:r>
      <w:r w:rsidRPr="00742115">
        <w:rPr>
          <w:sz w:val="24"/>
        </w:rPr>
        <w:t>universidades</w:t>
      </w:r>
      <w:r w:rsidRPr="00742115">
        <w:rPr>
          <w:bCs/>
          <w:sz w:val="24"/>
        </w:rPr>
        <w:t xml:space="preserve"> latinoamericanas con un desempeño destacable en los indicadores son las siguientes (</w:t>
      </w:r>
      <w:r w:rsidRPr="009B2E10">
        <w:rPr>
          <w:bCs/>
          <w:iCs/>
          <w:sz w:val="24"/>
        </w:rPr>
        <w:t>ver</w:t>
      </w:r>
      <w:r w:rsidRPr="00742115">
        <w:rPr>
          <w:bCs/>
          <w:sz w:val="24"/>
        </w:rPr>
        <w:t xml:space="preserve"> Tabla 3):</w:t>
      </w:r>
    </w:p>
    <w:p w14:paraId="200B5E66" w14:textId="472DA274" w:rsidR="001B6472" w:rsidRPr="00742115" w:rsidRDefault="00BF3D8A" w:rsidP="0033174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bCs/>
          <w:sz w:val="24"/>
        </w:rPr>
      </w:pPr>
      <w:r w:rsidRPr="00742115">
        <w:rPr>
          <w:b/>
          <w:sz w:val="24"/>
        </w:rPr>
        <w:t>Docencia</w:t>
      </w:r>
      <w:r w:rsidRPr="00742115">
        <w:rPr>
          <w:bCs/>
          <w:sz w:val="24"/>
        </w:rPr>
        <w:t xml:space="preserve">: </w:t>
      </w:r>
      <w:r w:rsidR="001B6472" w:rsidRPr="00742115">
        <w:rPr>
          <w:bCs/>
          <w:sz w:val="24"/>
        </w:rPr>
        <w:t xml:space="preserve">La Universidad de São Paulo fue clasificada con 55.8 puntos, </w:t>
      </w:r>
      <w:r w:rsidR="00CD4900" w:rsidRPr="00742115">
        <w:rPr>
          <w:bCs/>
          <w:sz w:val="24"/>
        </w:rPr>
        <w:t xml:space="preserve">seguida de </w:t>
      </w:r>
      <w:r w:rsidR="001B6472" w:rsidRPr="00742115">
        <w:rPr>
          <w:bCs/>
          <w:sz w:val="24"/>
        </w:rPr>
        <w:t>la Universidad de Campinas con 47.2, y la Universidad Federal de Grande Dourados con 35.4 puntos.</w:t>
      </w:r>
    </w:p>
    <w:p w14:paraId="41991640" w14:textId="30F95957" w:rsidR="001B6472" w:rsidRPr="00742115" w:rsidRDefault="00BF3D8A" w:rsidP="001B647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bCs/>
          <w:sz w:val="24"/>
        </w:rPr>
      </w:pPr>
      <w:r w:rsidRPr="00742115">
        <w:rPr>
          <w:b/>
          <w:sz w:val="24"/>
        </w:rPr>
        <w:t>Investigación</w:t>
      </w:r>
      <w:r w:rsidRPr="00742115">
        <w:rPr>
          <w:bCs/>
          <w:sz w:val="24"/>
        </w:rPr>
        <w:t xml:space="preserve">: </w:t>
      </w:r>
      <w:r w:rsidR="001B6472" w:rsidRPr="00742115">
        <w:rPr>
          <w:bCs/>
          <w:sz w:val="24"/>
        </w:rPr>
        <w:t>La Universidad de São Paulo obtuvo un puntaje de 58.9, la Universidad de Campinas de 44.9, y la Pontificia Universidad Católica de Chile de 30.3 puntos.</w:t>
      </w:r>
    </w:p>
    <w:p w14:paraId="77206B77" w14:textId="4D1A5406" w:rsidR="001B6472" w:rsidRPr="00742115" w:rsidRDefault="00BF3D8A" w:rsidP="001B647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bCs/>
          <w:sz w:val="24"/>
        </w:rPr>
      </w:pPr>
      <w:r w:rsidRPr="00742115">
        <w:rPr>
          <w:b/>
          <w:sz w:val="24"/>
        </w:rPr>
        <w:t>Citas</w:t>
      </w:r>
      <w:r w:rsidRPr="00742115">
        <w:rPr>
          <w:bCs/>
          <w:sz w:val="24"/>
        </w:rPr>
        <w:t>:</w:t>
      </w:r>
      <w:r w:rsidR="001B6472" w:rsidRPr="00742115">
        <w:rPr>
          <w:bCs/>
          <w:sz w:val="24"/>
        </w:rPr>
        <w:t xml:space="preserve"> La Universidad Autónoma de Chile recibió un puntaje de 96.7, la Universidad del Desarrollo de 89.4, y la Pontificia Universidad Javeriana de 88.2 puntos.</w:t>
      </w:r>
    </w:p>
    <w:p w14:paraId="1E75EE6A" w14:textId="2DABA5F8" w:rsidR="001B6472" w:rsidRPr="00742115" w:rsidRDefault="00BF3D8A" w:rsidP="00CD49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</w:rPr>
      </w:pPr>
      <w:r w:rsidRPr="00742115">
        <w:rPr>
          <w:b/>
          <w:sz w:val="24"/>
        </w:rPr>
        <w:t>Perspectiva internacional</w:t>
      </w:r>
      <w:r w:rsidRPr="00742115">
        <w:rPr>
          <w:bCs/>
          <w:sz w:val="24"/>
        </w:rPr>
        <w:t>:</w:t>
      </w:r>
      <w:r w:rsidR="00CD4900" w:rsidRPr="00742115">
        <w:rPr>
          <w:bCs/>
          <w:sz w:val="24"/>
        </w:rPr>
        <w:t xml:space="preserve"> </w:t>
      </w:r>
      <w:r w:rsidR="001B6472" w:rsidRPr="00742115">
        <w:rPr>
          <w:sz w:val="24"/>
        </w:rPr>
        <w:t>El Instituto Tecnológico y de Estudios Superiores de Monterrey (ITESM)</w:t>
      </w:r>
      <w:r w:rsidR="00CD4900" w:rsidRPr="00742115">
        <w:rPr>
          <w:sz w:val="24"/>
        </w:rPr>
        <w:t xml:space="preserve"> fue clasificado </w:t>
      </w:r>
      <w:r w:rsidR="001B6472" w:rsidRPr="00742115">
        <w:rPr>
          <w:sz w:val="24"/>
        </w:rPr>
        <w:t>con 59.8 puntos</w:t>
      </w:r>
      <w:r w:rsidR="00CD4900" w:rsidRPr="00742115">
        <w:rPr>
          <w:sz w:val="24"/>
        </w:rPr>
        <w:t xml:space="preserve">, seguido de la </w:t>
      </w:r>
      <w:r w:rsidR="001B6472" w:rsidRPr="00742115">
        <w:rPr>
          <w:sz w:val="24"/>
        </w:rPr>
        <w:t>Universidad Adolfo Ibáñez (Chile) con 59.8 puntos</w:t>
      </w:r>
      <w:r w:rsidR="00CD4900" w:rsidRPr="00742115">
        <w:rPr>
          <w:sz w:val="24"/>
        </w:rPr>
        <w:t xml:space="preserve">, y la </w:t>
      </w:r>
      <w:r w:rsidR="001B6472" w:rsidRPr="00742115">
        <w:rPr>
          <w:sz w:val="24"/>
        </w:rPr>
        <w:t>Pontificia Universidad Católica de Chile con 58.5 puntos</w:t>
      </w:r>
      <w:r w:rsidR="00CD4900" w:rsidRPr="00742115">
        <w:rPr>
          <w:sz w:val="24"/>
        </w:rPr>
        <w:t>.</w:t>
      </w:r>
    </w:p>
    <w:p w14:paraId="14C89003" w14:textId="3AB21401" w:rsidR="00CD4900" w:rsidRPr="00742115" w:rsidRDefault="00BF3D8A" w:rsidP="0033174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bCs/>
          <w:sz w:val="24"/>
        </w:rPr>
      </w:pPr>
      <w:r w:rsidRPr="00742115">
        <w:rPr>
          <w:b/>
          <w:sz w:val="24"/>
        </w:rPr>
        <w:t>Financiamiento de la industria</w:t>
      </w:r>
      <w:r w:rsidRPr="00742115">
        <w:rPr>
          <w:bCs/>
          <w:sz w:val="24"/>
        </w:rPr>
        <w:t>:</w:t>
      </w:r>
      <w:r w:rsidR="00CD4900" w:rsidRPr="00742115">
        <w:rPr>
          <w:bCs/>
          <w:sz w:val="24"/>
        </w:rPr>
        <w:t xml:space="preserve"> La Pontificia Universidad Católica de Río de Janeiro obtuvo un puntaje de 100 sobre 100 puntos posibles</w:t>
      </w:r>
      <w:r w:rsidR="00C63C3D">
        <w:rPr>
          <w:bCs/>
          <w:sz w:val="24"/>
        </w:rPr>
        <w:t>;</w:t>
      </w:r>
      <w:r w:rsidR="00C63C3D" w:rsidRPr="00742115">
        <w:rPr>
          <w:bCs/>
          <w:sz w:val="24"/>
        </w:rPr>
        <w:t xml:space="preserve"> </w:t>
      </w:r>
      <w:r w:rsidR="00CD4900" w:rsidRPr="00742115">
        <w:rPr>
          <w:bCs/>
          <w:sz w:val="24"/>
        </w:rPr>
        <w:t>por su parte</w:t>
      </w:r>
      <w:r w:rsidR="00C63C3D">
        <w:rPr>
          <w:bCs/>
          <w:sz w:val="24"/>
        </w:rPr>
        <w:t>,</w:t>
      </w:r>
      <w:r w:rsidR="00CD4900" w:rsidRPr="00742115">
        <w:rPr>
          <w:bCs/>
          <w:sz w:val="24"/>
        </w:rPr>
        <w:t xml:space="preserve"> la Universidad de Antioquia fue clasificada con 76.6 puntos, y la Pontificia Universidad Católica de Chile con 73 puntos.</w:t>
      </w:r>
    </w:p>
    <w:p w14:paraId="3D26FEF1" w14:textId="41B16FE9" w:rsidR="00CD4900" w:rsidRPr="00742115" w:rsidRDefault="00CD4900" w:rsidP="00CD4900">
      <w:pPr>
        <w:spacing w:after="0" w:line="240" w:lineRule="auto"/>
        <w:jc w:val="both"/>
        <w:rPr>
          <w:sz w:val="24"/>
        </w:rPr>
      </w:pPr>
    </w:p>
    <w:p w14:paraId="1358A2C9" w14:textId="77777777" w:rsidR="00603FD7" w:rsidRPr="00742115" w:rsidRDefault="00603FD7" w:rsidP="00603FD7">
      <w:pPr>
        <w:spacing w:after="0" w:line="240" w:lineRule="auto"/>
        <w:jc w:val="both"/>
        <w:rPr>
          <w:b/>
          <w:sz w:val="24"/>
        </w:rPr>
      </w:pPr>
      <w:r w:rsidRPr="00742115">
        <w:rPr>
          <w:b/>
          <w:sz w:val="24"/>
        </w:rPr>
        <w:t>Universidades Mexicanas</w:t>
      </w:r>
    </w:p>
    <w:p w14:paraId="4A574B1D" w14:textId="5CB64FAA" w:rsidR="00967090" w:rsidRPr="00742115" w:rsidRDefault="00790E2A" w:rsidP="009B2E10">
      <w:pPr>
        <w:pStyle w:val="ListParagraph"/>
        <w:numPr>
          <w:ilvl w:val="0"/>
          <w:numId w:val="31"/>
        </w:numPr>
        <w:spacing w:after="0" w:line="240" w:lineRule="auto"/>
        <w:ind w:left="0"/>
        <w:jc w:val="both"/>
        <w:rPr>
          <w:sz w:val="24"/>
        </w:rPr>
      </w:pPr>
      <w:r w:rsidRPr="00742115">
        <w:rPr>
          <w:sz w:val="24"/>
        </w:rPr>
        <w:t xml:space="preserve">El </w:t>
      </w:r>
      <w:r w:rsidRPr="00742115">
        <w:rPr>
          <w:b/>
          <w:bCs/>
          <w:sz w:val="24"/>
        </w:rPr>
        <w:t>THE</w:t>
      </w:r>
      <w:r w:rsidRPr="00742115">
        <w:rPr>
          <w:sz w:val="24"/>
        </w:rPr>
        <w:t xml:space="preserve"> </w:t>
      </w:r>
      <w:r w:rsidRPr="00742115">
        <w:rPr>
          <w:b/>
          <w:bCs/>
          <w:sz w:val="24"/>
        </w:rPr>
        <w:t>Ranking BRICS y Economías Emergentes 2022</w:t>
      </w:r>
      <w:r w:rsidRPr="00742115">
        <w:rPr>
          <w:sz w:val="24"/>
        </w:rPr>
        <w:t xml:space="preserve"> clasificó a 17 universidades mexicanas.</w:t>
      </w:r>
      <w:r w:rsidR="00E4106C" w:rsidRPr="00742115">
        <w:rPr>
          <w:sz w:val="24"/>
        </w:rPr>
        <w:t xml:space="preserve"> </w:t>
      </w:r>
      <w:r w:rsidR="00967090" w:rsidRPr="00742115">
        <w:rPr>
          <w:sz w:val="24"/>
        </w:rPr>
        <w:t xml:space="preserve">Del total de universidades mexicanas se resalta la presencia de 16 (94.1%) universidades públicas y </w:t>
      </w:r>
      <w:r w:rsidR="00C63C3D">
        <w:rPr>
          <w:sz w:val="24"/>
        </w:rPr>
        <w:t>una</w:t>
      </w:r>
      <w:r w:rsidR="00C63C3D" w:rsidRPr="00742115">
        <w:rPr>
          <w:sz w:val="24"/>
        </w:rPr>
        <w:t xml:space="preserve"> </w:t>
      </w:r>
      <w:r w:rsidR="00967090" w:rsidRPr="00742115">
        <w:rPr>
          <w:sz w:val="24"/>
        </w:rPr>
        <w:t>(5.9%) universidad privada.</w:t>
      </w:r>
    </w:p>
    <w:p w14:paraId="536CB05A" w14:textId="02DC09D2" w:rsidR="005D5076" w:rsidRPr="00742115" w:rsidRDefault="005D5076" w:rsidP="00967090">
      <w:pPr>
        <w:pStyle w:val="ListParagraph"/>
        <w:spacing w:after="0" w:line="240" w:lineRule="auto"/>
        <w:jc w:val="both"/>
        <w:rPr>
          <w:sz w:val="24"/>
        </w:rPr>
      </w:pPr>
    </w:p>
    <w:p w14:paraId="25D41D18" w14:textId="20E69535" w:rsidR="00603FD7" w:rsidRPr="00742115" w:rsidRDefault="00E4106C" w:rsidP="009B2E10">
      <w:pPr>
        <w:pStyle w:val="ListParagraph"/>
        <w:numPr>
          <w:ilvl w:val="0"/>
          <w:numId w:val="31"/>
        </w:numPr>
        <w:spacing w:after="0" w:line="240" w:lineRule="auto"/>
        <w:ind w:left="0"/>
        <w:jc w:val="both"/>
        <w:rPr>
          <w:sz w:val="24"/>
        </w:rPr>
      </w:pPr>
      <w:r w:rsidRPr="00742115">
        <w:rPr>
          <w:sz w:val="24"/>
        </w:rPr>
        <w:t>Las universidades mexicanas clasificadas en los primeros 200 lugares del ranking son: e</w:t>
      </w:r>
      <w:r w:rsidR="00967090" w:rsidRPr="00742115">
        <w:rPr>
          <w:sz w:val="24"/>
        </w:rPr>
        <w:t xml:space="preserve">l </w:t>
      </w:r>
      <w:r w:rsidR="00F347D8" w:rsidRPr="00742115">
        <w:rPr>
          <w:sz w:val="24"/>
        </w:rPr>
        <w:t>Instituto Tecnológico y de Estudios Superiores de Monterrey (</w:t>
      </w:r>
      <w:r w:rsidR="00967090" w:rsidRPr="00742115">
        <w:rPr>
          <w:sz w:val="24"/>
        </w:rPr>
        <w:t>ITESM</w:t>
      </w:r>
      <w:r w:rsidR="00F347D8" w:rsidRPr="00742115">
        <w:rPr>
          <w:sz w:val="24"/>
        </w:rPr>
        <w:t>)</w:t>
      </w:r>
      <w:r w:rsidR="00967090" w:rsidRPr="00742115">
        <w:rPr>
          <w:sz w:val="24"/>
        </w:rPr>
        <w:t xml:space="preserve"> </w:t>
      </w:r>
      <w:r w:rsidRPr="00742115">
        <w:rPr>
          <w:sz w:val="24"/>
        </w:rPr>
        <w:t xml:space="preserve">en el lugar </w:t>
      </w:r>
      <w:r w:rsidR="00967090" w:rsidRPr="00742115">
        <w:rPr>
          <w:sz w:val="24"/>
        </w:rPr>
        <w:t xml:space="preserve">144º, y la UNAM </w:t>
      </w:r>
      <w:r w:rsidRPr="00742115">
        <w:rPr>
          <w:sz w:val="24"/>
        </w:rPr>
        <w:t xml:space="preserve">en el lugar </w:t>
      </w:r>
      <w:r w:rsidR="00967090" w:rsidRPr="00742115">
        <w:rPr>
          <w:sz w:val="24"/>
        </w:rPr>
        <w:t>165º (</w:t>
      </w:r>
      <w:r w:rsidR="00967090" w:rsidRPr="009B2E10">
        <w:rPr>
          <w:sz w:val="24"/>
        </w:rPr>
        <w:t>ver</w:t>
      </w:r>
      <w:r w:rsidR="00967090" w:rsidRPr="00742115">
        <w:rPr>
          <w:sz w:val="24"/>
        </w:rPr>
        <w:t xml:space="preserve"> Tabla </w:t>
      </w:r>
      <w:r w:rsidR="009B3C07" w:rsidRPr="00742115">
        <w:rPr>
          <w:sz w:val="24"/>
        </w:rPr>
        <w:t>4</w:t>
      </w:r>
      <w:r w:rsidR="00967090" w:rsidRPr="00742115">
        <w:rPr>
          <w:sz w:val="24"/>
        </w:rPr>
        <w:t xml:space="preserve">). </w:t>
      </w:r>
      <w:r w:rsidR="00603FD7" w:rsidRPr="00742115">
        <w:rPr>
          <w:sz w:val="24"/>
        </w:rPr>
        <w:t>Cabe resaltar que tanto la UNAM como el ITESM han tenido un comportamiento hacia la baja en el ranking entre 2018 y 2021</w:t>
      </w:r>
      <w:r w:rsidR="00F24CA8">
        <w:rPr>
          <w:sz w:val="24"/>
        </w:rPr>
        <w:t xml:space="preserve">, cayendo </w:t>
      </w:r>
      <w:r w:rsidR="00DA4DCF">
        <w:rPr>
          <w:sz w:val="24"/>
        </w:rPr>
        <w:t>97</w:t>
      </w:r>
      <w:r w:rsidR="00F24CA8">
        <w:rPr>
          <w:sz w:val="24"/>
        </w:rPr>
        <w:t xml:space="preserve"> y </w:t>
      </w:r>
      <w:r w:rsidR="00DA4DCF">
        <w:rPr>
          <w:sz w:val="24"/>
        </w:rPr>
        <w:t>76</w:t>
      </w:r>
      <w:r w:rsidR="00F24CA8">
        <w:rPr>
          <w:sz w:val="24"/>
        </w:rPr>
        <w:t xml:space="preserve"> posiciones durante el periodo, respectivamente</w:t>
      </w:r>
      <w:r w:rsidR="00603FD7" w:rsidRPr="00742115">
        <w:rPr>
          <w:sz w:val="24"/>
        </w:rPr>
        <w:t xml:space="preserve">. Sin embargo, la UNAM presentó un declive </w:t>
      </w:r>
      <w:r w:rsidR="00DA4DCF">
        <w:rPr>
          <w:sz w:val="24"/>
        </w:rPr>
        <w:t>considerablemente mayor</w:t>
      </w:r>
      <w:r w:rsidR="00DA4DCF" w:rsidRPr="00742115">
        <w:rPr>
          <w:sz w:val="24"/>
        </w:rPr>
        <w:t xml:space="preserve"> </w:t>
      </w:r>
      <w:r w:rsidR="00603FD7" w:rsidRPr="00742115">
        <w:rPr>
          <w:sz w:val="24"/>
        </w:rPr>
        <w:t xml:space="preserve">en su posicionamiento al caer 36 posiciones en </w:t>
      </w:r>
      <w:r w:rsidR="00B11ED3">
        <w:rPr>
          <w:sz w:val="24"/>
        </w:rPr>
        <w:t>la</w:t>
      </w:r>
      <w:r w:rsidR="00603FD7" w:rsidRPr="00742115">
        <w:rPr>
          <w:sz w:val="24"/>
        </w:rPr>
        <w:t xml:space="preserve"> actual </w:t>
      </w:r>
      <w:r w:rsidR="00B11ED3">
        <w:rPr>
          <w:sz w:val="24"/>
        </w:rPr>
        <w:t xml:space="preserve">edición del </w:t>
      </w:r>
      <w:r w:rsidR="00603FD7" w:rsidRPr="00742115">
        <w:rPr>
          <w:sz w:val="24"/>
        </w:rPr>
        <w:t>ranking</w:t>
      </w:r>
      <w:r w:rsidR="00DA4DCF">
        <w:rPr>
          <w:sz w:val="24"/>
        </w:rPr>
        <w:t xml:space="preserve">, </w:t>
      </w:r>
      <w:r w:rsidR="00ED699E">
        <w:rPr>
          <w:sz w:val="24"/>
        </w:rPr>
        <w:t>mientras el ITESM bajó 15 posiciones</w:t>
      </w:r>
      <w:r w:rsidR="00603FD7" w:rsidRPr="00742115">
        <w:rPr>
          <w:sz w:val="24"/>
        </w:rPr>
        <w:t xml:space="preserve"> (</w:t>
      </w:r>
      <w:r w:rsidR="00603FD7" w:rsidRPr="009B2E10">
        <w:rPr>
          <w:iCs/>
          <w:sz w:val="24"/>
        </w:rPr>
        <w:t>ver</w:t>
      </w:r>
      <w:r w:rsidR="00043B94" w:rsidRPr="00742115">
        <w:rPr>
          <w:i/>
          <w:iCs/>
          <w:sz w:val="24"/>
        </w:rPr>
        <w:t xml:space="preserve"> </w:t>
      </w:r>
      <w:r w:rsidR="00603FD7" w:rsidRPr="00742115">
        <w:rPr>
          <w:sz w:val="24"/>
        </w:rPr>
        <w:t xml:space="preserve">Gráfico </w:t>
      </w:r>
      <w:r w:rsidR="00043B94" w:rsidRPr="00742115">
        <w:rPr>
          <w:sz w:val="24"/>
        </w:rPr>
        <w:t>5</w:t>
      </w:r>
      <w:r w:rsidR="00603FD7" w:rsidRPr="00742115">
        <w:rPr>
          <w:sz w:val="24"/>
        </w:rPr>
        <w:t>).</w:t>
      </w:r>
    </w:p>
    <w:p w14:paraId="4E7178DB" w14:textId="1B049250" w:rsidR="00967090" w:rsidRPr="00742115" w:rsidRDefault="00967090" w:rsidP="00967090">
      <w:pPr>
        <w:pStyle w:val="ListParagraph"/>
        <w:spacing w:after="0" w:line="240" w:lineRule="auto"/>
        <w:jc w:val="both"/>
        <w:rPr>
          <w:sz w:val="24"/>
        </w:rPr>
      </w:pPr>
    </w:p>
    <w:p w14:paraId="4CE954B0" w14:textId="78AF7DA4" w:rsidR="00603FD7" w:rsidRPr="00742115" w:rsidRDefault="00603FD7" w:rsidP="009B2E10">
      <w:pPr>
        <w:pStyle w:val="ListParagraph"/>
        <w:numPr>
          <w:ilvl w:val="0"/>
          <w:numId w:val="31"/>
        </w:numPr>
        <w:spacing w:after="0" w:line="240" w:lineRule="auto"/>
        <w:ind w:left="0"/>
        <w:jc w:val="both"/>
        <w:rPr>
          <w:sz w:val="24"/>
        </w:rPr>
      </w:pPr>
      <w:r w:rsidRPr="00742115">
        <w:rPr>
          <w:sz w:val="24"/>
        </w:rPr>
        <w:t xml:space="preserve">La UNAM superó al ITESM en los indicadores de Investigación en </w:t>
      </w:r>
      <w:r w:rsidR="00E87CCB" w:rsidRPr="00742115">
        <w:rPr>
          <w:sz w:val="24"/>
        </w:rPr>
        <w:t xml:space="preserve">9.1 </w:t>
      </w:r>
      <w:r w:rsidRPr="00742115">
        <w:rPr>
          <w:sz w:val="24"/>
        </w:rPr>
        <w:t xml:space="preserve">puntos, </w:t>
      </w:r>
      <w:r w:rsidR="00E87CCB" w:rsidRPr="00742115">
        <w:rPr>
          <w:sz w:val="24"/>
        </w:rPr>
        <w:t xml:space="preserve">y </w:t>
      </w:r>
      <w:r w:rsidRPr="00742115">
        <w:rPr>
          <w:sz w:val="24"/>
        </w:rPr>
        <w:t xml:space="preserve">Docencia en </w:t>
      </w:r>
      <w:r w:rsidR="00E87CCB" w:rsidRPr="00742115">
        <w:rPr>
          <w:sz w:val="24"/>
        </w:rPr>
        <w:t xml:space="preserve">9.8 </w:t>
      </w:r>
      <w:r w:rsidRPr="00742115">
        <w:rPr>
          <w:sz w:val="24"/>
        </w:rPr>
        <w:t xml:space="preserve">puntos. </w:t>
      </w:r>
      <w:r w:rsidR="00E87CCB" w:rsidRPr="00742115">
        <w:rPr>
          <w:sz w:val="24"/>
        </w:rPr>
        <w:t xml:space="preserve">De acuerdo </w:t>
      </w:r>
      <w:r w:rsidR="00F5467B">
        <w:rPr>
          <w:sz w:val="24"/>
        </w:rPr>
        <w:t>con</w:t>
      </w:r>
      <w:r w:rsidR="00E87CCB" w:rsidRPr="00742115">
        <w:rPr>
          <w:sz w:val="24"/>
        </w:rPr>
        <w:t xml:space="preserve"> la metodología del ranking, ambos </w:t>
      </w:r>
      <w:r w:rsidRPr="00742115">
        <w:rPr>
          <w:sz w:val="24"/>
        </w:rPr>
        <w:t>indicadores representan 60% del valor total.</w:t>
      </w:r>
      <w:r w:rsidR="00E87CCB" w:rsidRPr="00742115">
        <w:rPr>
          <w:sz w:val="24"/>
        </w:rPr>
        <w:t xml:space="preserve"> </w:t>
      </w:r>
      <w:r w:rsidR="00E4106C" w:rsidRPr="00742115">
        <w:rPr>
          <w:sz w:val="24"/>
        </w:rPr>
        <w:t>Por su parte, el ITESM aventajó</w:t>
      </w:r>
      <w:r w:rsidRPr="00742115">
        <w:rPr>
          <w:sz w:val="24"/>
        </w:rPr>
        <w:t xml:space="preserve"> a la UNAM en los rubros de Financiamiento de la Industria con 3.4 puntos, Perspectiva Internacional con 12.4 puntos, y Citas con 26.6 puntos.</w:t>
      </w:r>
    </w:p>
    <w:p w14:paraId="4786B6A4" w14:textId="77777777" w:rsidR="00E4106C" w:rsidRPr="00742115" w:rsidRDefault="00E4106C" w:rsidP="00E4106C">
      <w:pPr>
        <w:spacing w:after="0" w:line="240" w:lineRule="auto"/>
        <w:jc w:val="both"/>
        <w:rPr>
          <w:sz w:val="24"/>
        </w:rPr>
      </w:pPr>
    </w:p>
    <w:p w14:paraId="29F074CD" w14:textId="002BC6FA" w:rsidR="00490AED" w:rsidRPr="00742115" w:rsidRDefault="00B11ED3" w:rsidP="00E410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Llama </w:t>
      </w:r>
      <w:r w:rsidR="00490AED" w:rsidRPr="00742115">
        <w:rPr>
          <w:sz w:val="24"/>
        </w:rPr>
        <w:t>la atención los datos reportados sobre la</w:t>
      </w:r>
      <w:r w:rsidR="00E4106C" w:rsidRPr="00742115">
        <w:rPr>
          <w:sz w:val="24"/>
        </w:rPr>
        <w:t xml:space="preserve"> matrícula de las universidades, ya que el ITESM </w:t>
      </w:r>
      <w:r w:rsidR="006D7C9A">
        <w:rPr>
          <w:sz w:val="24"/>
        </w:rPr>
        <w:t xml:space="preserve">reportó </w:t>
      </w:r>
      <w:r w:rsidR="00E4106C" w:rsidRPr="00742115">
        <w:rPr>
          <w:sz w:val="24"/>
        </w:rPr>
        <w:t xml:space="preserve">para el año 2021 un total de 15,897 estudiantes de licenciatura. </w:t>
      </w:r>
      <w:r w:rsidR="00DC1E39">
        <w:rPr>
          <w:sz w:val="24"/>
        </w:rPr>
        <w:t>Tal cifra discrepa</w:t>
      </w:r>
      <w:r w:rsidR="00E4106C" w:rsidRPr="00742115">
        <w:rPr>
          <w:sz w:val="24"/>
        </w:rPr>
        <w:t xml:space="preserve"> de los datos publicados por el ITESM en su página “Datos y cifras</w:t>
      </w:r>
      <w:r w:rsidR="00E9571C">
        <w:rPr>
          <w:sz w:val="24"/>
        </w:rPr>
        <w:t>”</w:t>
      </w:r>
      <w:r w:rsidR="00E4106C" w:rsidRPr="00742115">
        <w:rPr>
          <w:rStyle w:val="FootnoteReference"/>
          <w:sz w:val="24"/>
        </w:rPr>
        <w:footnoteReference w:id="2"/>
      </w:r>
      <w:r w:rsidR="00E4106C" w:rsidRPr="00742115">
        <w:rPr>
          <w:sz w:val="24"/>
        </w:rPr>
        <w:t xml:space="preserve"> en los cuales </w:t>
      </w:r>
      <w:r w:rsidR="000A7E64">
        <w:rPr>
          <w:sz w:val="24"/>
        </w:rPr>
        <w:t xml:space="preserve">se considera un total de </w:t>
      </w:r>
      <w:r w:rsidR="00E4106C" w:rsidRPr="00742115">
        <w:rPr>
          <w:sz w:val="24"/>
        </w:rPr>
        <w:t>60,169 estudiantes de licenciatura, lo cual parece indicar que el ITESM reporta únicamente los datos del campus de Monterrey. Por su parte, l</w:t>
      </w:r>
      <w:r w:rsidR="00490AED" w:rsidRPr="00742115">
        <w:rPr>
          <w:sz w:val="24"/>
        </w:rPr>
        <w:t>a UNAM reporta la matrícula de todos los campus (excluyendo a los de educación media superior)</w:t>
      </w:r>
      <w:r w:rsidR="00043B94" w:rsidRPr="00742115">
        <w:rPr>
          <w:sz w:val="24"/>
        </w:rPr>
        <w:t xml:space="preserve"> (</w:t>
      </w:r>
      <w:r w:rsidR="00043B94" w:rsidRPr="009B2E10">
        <w:rPr>
          <w:sz w:val="24"/>
        </w:rPr>
        <w:t>ver</w:t>
      </w:r>
      <w:r w:rsidR="00043B94" w:rsidRPr="00742115">
        <w:rPr>
          <w:sz w:val="24"/>
        </w:rPr>
        <w:t xml:space="preserve"> Gráfico 6)</w:t>
      </w:r>
      <w:r w:rsidR="00490AED" w:rsidRPr="00742115">
        <w:rPr>
          <w:sz w:val="24"/>
        </w:rPr>
        <w:t xml:space="preserve">. </w:t>
      </w:r>
    </w:p>
    <w:p w14:paraId="196DB60C" w14:textId="59A7271F" w:rsidR="00603FD7" w:rsidRPr="00742115" w:rsidRDefault="00603FD7" w:rsidP="00E4106C">
      <w:pPr>
        <w:spacing w:after="0" w:line="240" w:lineRule="auto"/>
        <w:jc w:val="both"/>
        <w:rPr>
          <w:sz w:val="24"/>
        </w:rPr>
      </w:pPr>
    </w:p>
    <w:tbl>
      <w:tblPr>
        <w:tblW w:w="98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2"/>
        <w:gridCol w:w="992"/>
        <w:gridCol w:w="1566"/>
        <w:gridCol w:w="1276"/>
        <w:gridCol w:w="1277"/>
        <w:gridCol w:w="16"/>
      </w:tblGrid>
      <w:tr w:rsidR="00607B17" w:rsidRPr="00742115" w14:paraId="3777E302" w14:textId="77777777" w:rsidTr="009B1A1C">
        <w:trPr>
          <w:trHeight w:val="262"/>
          <w:tblHeader/>
          <w:jc w:val="center"/>
        </w:trPr>
        <w:tc>
          <w:tcPr>
            <w:tcW w:w="98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B3187" w14:textId="6514A7BC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>Tabla 4. Posición de las universidades mexicanas en el ranking THE mundial, latinoamericana y BRICS &amp; Economías Emergentes, 2021-2022.</w:t>
            </w:r>
          </w:p>
        </w:tc>
      </w:tr>
      <w:tr w:rsidR="00607B17" w:rsidRPr="00742115" w14:paraId="33F68440" w14:textId="77777777" w:rsidTr="009B1A1C">
        <w:trPr>
          <w:gridAfter w:val="1"/>
          <w:wAfter w:w="16" w:type="dxa"/>
          <w:trHeight w:val="262"/>
          <w:tblHeader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61E405" w14:textId="7F0F5401" w:rsidR="00607B17" w:rsidRPr="00742115" w:rsidRDefault="00607B17" w:rsidP="00607B17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Universidad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7564E3" w14:textId="0A16ACD1" w:rsidR="00607B17" w:rsidRPr="00742115" w:rsidRDefault="00607B17" w:rsidP="00607B17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Sector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A1B2D32" w14:textId="224AEC8F" w:rsidR="00607B17" w:rsidRPr="00742115" w:rsidRDefault="00607B17" w:rsidP="00607B17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Ranking </w:t>
            </w: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BRICS y Economías Emergentes</w:t>
            </w:r>
          </w:p>
          <w:p w14:paraId="64B5776A" w14:textId="2BAB1B4B" w:rsidR="00607B17" w:rsidRPr="00742115" w:rsidRDefault="00607B17" w:rsidP="00607B17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704A14A" w14:textId="77777777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Ranking </w:t>
            </w: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Mundial</w:t>
            </w:r>
          </w:p>
          <w:p w14:paraId="20B30B6E" w14:textId="57EDC605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723163B" w14:textId="77777777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Ranking </w:t>
            </w: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Latinoamérica</w:t>
            </w:r>
          </w:p>
          <w:p w14:paraId="0FCA4059" w14:textId="320EF04D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2021</w:t>
            </w:r>
          </w:p>
        </w:tc>
      </w:tr>
      <w:tr w:rsidR="00607B17" w:rsidRPr="00742115" w14:paraId="7FD2A5CE" w14:textId="77777777" w:rsidTr="009B1A1C">
        <w:trPr>
          <w:gridAfter w:val="1"/>
          <w:wAfter w:w="16" w:type="dxa"/>
          <w:trHeight w:val="135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4892" w14:textId="22F08A8B" w:rsidR="00607B17" w:rsidRPr="00607B17" w:rsidRDefault="00607B17" w:rsidP="00607B1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7B17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F829" w14:textId="00FFCE51" w:rsidR="00607B17" w:rsidRPr="00607B17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7B17">
              <w:rPr>
                <w:rFonts w:ascii="Calibri" w:hAnsi="Calibri" w:cs="Calibri"/>
                <w:color w:val="000000"/>
                <w:sz w:val="18"/>
                <w:szCs w:val="18"/>
              </w:rPr>
              <w:t>Privado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BF3D" w14:textId="07AC46D7" w:rsidR="00607B17" w:rsidRPr="00F24CA8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07B17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845E" w14:textId="680AE963" w:rsidR="00607B17" w:rsidRPr="00F24CA8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</w:pPr>
            <w:r w:rsidRPr="00607B17">
              <w:rPr>
                <w:rFonts w:ascii="Calibri" w:hAnsi="Calibri" w:cs="Calibri"/>
                <w:color w:val="0070C0"/>
                <w:sz w:val="18"/>
                <w:szCs w:val="18"/>
              </w:rPr>
              <w:t>795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7D1B4" w14:textId="05A8758D" w:rsidR="00607B17" w:rsidRPr="00F24CA8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07B1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607B17" w:rsidRPr="00742115" w14:paraId="18A0862C" w14:textId="77777777" w:rsidTr="009B1A1C">
        <w:trPr>
          <w:gridAfter w:val="1"/>
          <w:wAfter w:w="16" w:type="dxa"/>
          <w:trHeight w:val="135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10255B" w14:textId="709AA867" w:rsidR="00607B17" w:rsidRPr="00607B17" w:rsidRDefault="00607B17" w:rsidP="00607B1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B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75D578" w14:textId="783B7359" w:rsidR="00607B17" w:rsidRPr="00607B17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B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2FC925" w14:textId="29CEFEC2" w:rsidR="00607B17" w:rsidRPr="00607B17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7B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7446D46" w14:textId="1A301122" w:rsidR="00607B17" w:rsidRPr="00607B17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607B17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  <w:t>941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72118A8" w14:textId="410DF5D5" w:rsidR="00607B17" w:rsidRPr="00607B17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7B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607B17" w:rsidRPr="00742115" w14:paraId="123E6E85" w14:textId="77777777" w:rsidTr="009B1A1C">
        <w:trPr>
          <w:gridAfter w:val="1"/>
          <w:wAfter w:w="16" w:type="dxa"/>
          <w:trHeight w:val="135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4C1B" w14:textId="1BC51359" w:rsidR="00607B17" w:rsidRPr="00742115" w:rsidRDefault="00607B17" w:rsidP="00607B1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6EFD" w14:textId="7283F41A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0E10" w14:textId="5E8B4C63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301–350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71FA" w14:textId="37381904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968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14875" w14:textId="7E248D02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</w:tr>
      <w:tr w:rsidR="00607B17" w:rsidRPr="00742115" w14:paraId="55ACC8A9" w14:textId="77777777" w:rsidTr="009B1A1C">
        <w:trPr>
          <w:gridAfter w:val="1"/>
          <w:wAfter w:w="16" w:type="dxa"/>
          <w:trHeight w:val="135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658E76F" w14:textId="4B38812E" w:rsidR="00607B17" w:rsidRPr="00742115" w:rsidRDefault="00607B17" w:rsidP="00607B1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Sinaloa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BB3715B" w14:textId="51C0A5BD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022AF40" w14:textId="4940CF2E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401–500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DA9CFF0" w14:textId="15B92B12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1,255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69B120B" w14:textId="7BB5FDBF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126–150</w:t>
            </w:r>
          </w:p>
        </w:tc>
      </w:tr>
      <w:tr w:rsidR="00607B17" w:rsidRPr="00742115" w14:paraId="29FB2A2E" w14:textId="77777777" w:rsidTr="009B1A1C">
        <w:trPr>
          <w:gridAfter w:val="1"/>
          <w:wAfter w:w="16" w:type="dxa"/>
          <w:trHeight w:val="135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CFFA" w14:textId="66A3304E" w:rsidR="00607B17" w:rsidRPr="00742115" w:rsidRDefault="00607B17" w:rsidP="00607B1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Yucatán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B00" w14:textId="1D8108B7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E258" w14:textId="1E107658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501+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39D7" w14:textId="3B2D1E22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1,508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9A7DA" w14:textId="4CE9CB3A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</w:tr>
      <w:tr w:rsidR="00607B17" w:rsidRPr="00742115" w14:paraId="32A7AC3B" w14:textId="77777777" w:rsidTr="009B1A1C">
        <w:trPr>
          <w:gridAfter w:val="1"/>
          <w:wAfter w:w="16" w:type="dxa"/>
          <w:trHeight w:val="135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114DA2A" w14:textId="7A3808ED" w:rsidR="00607B17" w:rsidRPr="00742115" w:rsidRDefault="00607B17" w:rsidP="00607B1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Querétaro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8025081" w14:textId="52BB71FE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38E019A" w14:textId="6BFFD82B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501+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9E03116" w14:textId="3D27FADE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1,514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8C7DF0D" w14:textId="41CFDF8E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101–125</w:t>
            </w:r>
          </w:p>
        </w:tc>
      </w:tr>
      <w:tr w:rsidR="00607B17" w:rsidRPr="00742115" w14:paraId="712A812B" w14:textId="77777777" w:rsidTr="009B1A1C">
        <w:trPr>
          <w:gridAfter w:val="1"/>
          <w:wAfter w:w="16" w:type="dxa"/>
          <w:trHeight w:val="135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FE21" w14:textId="7C110DE3" w:rsidR="00607B17" w:rsidRPr="00742115" w:rsidRDefault="00607B17" w:rsidP="00607B1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Instituto Politécnico Nacional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E552" w14:textId="354EBDE5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282D" w14:textId="7BD73722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501+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30E6" w14:textId="30FBCE5B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1,542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9A645" w14:textId="472853DF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</w:tr>
      <w:tr w:rsidR="00607B17" w:rsidRPr="00742115" w14:paraId="0CCDD406" w14:textId="77777777" w:rsidTr="009B1A1C">
        <w:trPr>
          <w:gridAfter w:val="1"/>
          <w:wAfter w:w="16" w:type="dxa"/>
          <w:trHeight w:val="135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69A5D46" w14:textId="28D7BA8E" w:rsidR="00607B17" w:rsidRPr="00742115" w:rsidRDefault="00607B17" w:rsidP="00607B1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Universidad de Guadalajara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AF91C4C" w14:textId="771CB48C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6AA49BB" w14:textId="3BA15082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501+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DDB4F31" w14:textId="278B3616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1,597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179F6D8" w14:textId="22A6B560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</w:tr>
      <w:tr w:rsidR="00607B17" w:rsidRPr="00742115" w14:paraId="1837DD5C" w14:textId="77777777" w:rsidTr="009B1A1C">
        <w:trPr>
          <w:gridAfter w:val="1"/>
          <w:wAfter w:w="16" w:type="dxa"/>
          <w:trHeight w:val="135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E7D8" w14:textId="23474C55" w:rsidR="00607B17" w:rsidRPr="00742115" w:rsidRDefault="00607B17" w:rsidP="00607B1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Universidad de Guanajuato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2A33" w14:textId="01481AE5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AD04" w14:textId="21BF6F98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501+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4D31" w14:textId="1B660B70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1,606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3295E" w14:textId="34D19457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101–125</w:t>
            </w:r>
          </w:p>
        </w:tc>
      </w:tr>
      <w:tr w:rsidR="00607B17" w:rsidRPr="00742115" w14:paraId="447EF2D2" w14:textId="77777777" w:rsidTr="009B1A1C">
        <w:trPr>
          <w:gridAfter w:val="1"/>
          <w:wAfter w:w="16" w:type="dxa"/>
          <w:trHeight w:val="135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06BA6D9" w14:textId="463C77A4" w:rsidR="00607B17" w:rsidRPr="00742115" w:rsidRDefault="00607B17" w:rsidP="00607B1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Benemérita Universidad Autónoma de Puebla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CEC76CC" w14:textId="18C6AE1E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233CD51" w14:textId="6586D379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501+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8586D6D" w14:textId="25426DF9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1,608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36AAFA3" w14:textId="0081A375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</w:tr>
      <w:tr w:rsidR="00607B17" w:rsidRPr="00742115" w14:paraId="7A0CD275" w14:textId="77777777" w:rsidTr="009B1A1C">
        <w:trPr>
          <w:gridAfter w:val="1"/>
          <w:wAfter w:w="16" w:type="dxa"/>
          <w:trHeight w:val="135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BFFF" w14:textId="1912642E" w:rsidR="00607B17" w:rsidRPr="00742115" w:rsidRDefault="00607B17" w:rsidP="00607B1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Nuevo León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8563" w14:textId="719A03C9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4ABD" w14:textId="56965124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501+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1672" w14:textId="700C0411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1,614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FC877" w14:textId="1804FD4F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607B17" w:rsidRPr="00742115" w14:paraId="04B59AD2" w14:textId="77777777" w:rsidTr="009B1A1C">
        <w:trPr>
          <w:gridAfter w:val="1"/>
          <w:wAfter w:w="16" w:type="dxa"/>
          <w:trHeight w:val="135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D942588" w14:textId="3C90365F" w:rsidR="00607B17" w:rsidRPr="00742115" w:rsidRDefault="00607B17" w:rsidP="00607B1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Baja California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770AD71" w14:textId="0382BA33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8F2D554" w14:textId="6CDEE215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501+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6EED70C" w14:textId="0B06C72B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1,615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3BCD7E7" w14:textId="1E138262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</w:tr>
      <w:tr w:rsidR="00607B17" w:rsidRPr="00742115" w14:paraId="0450C23A" w14:textId="77777777" w:rsidTr="009B1A1C">
        <w:trPr>
          <w:gridAfter w:val="1"/>
          <w:wAfter w:w="16" w:type="dxa"/>
          <w:trHeight w:val="135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EBBD" w14:textId="492DE848" w:rsidR="00607B17" w:rsidRPr="00742115" w:rsidRDefault="00607B17" w:rsidP="00607B1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Universidad Michoacana de San Nicolás de Hidalgo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93D1" w14:textId="0134DD04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178C" w14:textId="38BABC7D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501+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249C" w14:textId="393D0804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1,626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64AD6" w14:textId="75694735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126–150</w:t>
            </w:r>
          </w:p>
        </w:tc>
      </w:tr>
      <w:tr w:rsidR="00607B17" w:rsidRPr="00742115" w14:paraId="4F6F4F58" w14:textId="77777777" w:rsidTr="009B1A1C">
        <w:trPr>
          <w:gridAfter w:val="1"/>
          <w:wAfter w:w="16" w:type="dxa"/>
          <w:trHeight w:val="135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DFE3DFA" w14:textId="640F812C" w:rsidR="00607B17" w:rsidRPr="00742115" w:rsidRDefault="00607B17" w:rsidP="00607B1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del Estado de Hidalgo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D9C8F64" w14:textId="41DB60F5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937E391" w14:textId="4E9890F7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501+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02209DD" w14:textId="621E60F8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1,642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4E15B79" w14:textId="427AE2A9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126–150</w:t>
            </w:r>
          </w:p>
        </w:tc>
      </w:tr>
      <w:tr w:rsidR="00607B17" w:rsidRPr="00742115" w14:paraId="72CAFA0B" w14:textId="77777777" w:rsidTr="009B1A1C">
        <w:trPr>
          <w:gridAfter w:val="1"/>
          <w:wAfter w:w="16" w:type="dxa"/>
          <w:trHeight w:val="135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CBDC" w14:textId="1823727E" w:rsidR="00607B17" w:rsidRPr="00742115" w:rsidRDefault="00607B17" w:rsidP="00607B1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Universidad de Sonora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7EB3" w14:textId="22EC1D4C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CE43" w14:textId="6A35B48F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501+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E4BD" w14:textId="450F408C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1,645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FFF00" w14:textId="752C0C01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151+</w:t>
            </w:r>
          </w:p>
        </w:tc>
      </w:tr>
      <w:tr w:rsidR="00607B17" w:rsidRPr="00742115" w14:paraId="0F1ED4E4" w14:textId="77777777" w:rsidTr="009B1A1C">
        <w:trPr>
          <w:gridAfter w:val="1"/>
          <w:wAfter w:w="16" w:type="dxa"/>
          <w:trHeight w:val="135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E467D55" w14:textId="572CB810" w:rsidR="00607B17" w:rsidRPr="00742115" w:rsidRDefault="00607B17" w:rsidP="00607B1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del Estado de México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142E68C" w14:textId="699E1447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FE77AD1" w14:textId="35DA99AE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501+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E5FA9D3" w14:textId="193076D1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1,648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702CDE8" w14:textId="734AE1FA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</w:tr>
      <w:tr w:rsidR="00607B17" w:rsidRPr="00742115" w14:paraId="6DEA6D1D" w14:textId="77777777" w:rsidTr="009B1A1C">
        <w:trPr>
          <w:gridAfter w:val="1"/>
          <w:wAfter w:w="16" w:type="dxa"/>
          <w:trHeight w:val="135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3116" w14:textId="707CD928" w:rsidR="00607B17" w:rsidRPr="00742115" w:rsidRDefault="00607B17" w:rsidP="00607B1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del Estado de Morelos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B611" w14:textId="00A3CCEB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36AA" w14:textId="4E9332F8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501+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F62A" w14:textId="1AACD4AC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1,655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A45D" w14:textId="73677856" w:rsidR="00607B17" w:rsidRPr="00742115" w:rsidRDefault="00607B17" w:rsidP="00607B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151+</w:t>
            </w:r>
          </w:p>
        </w:tc>
      </w:tr>
      <w:tr w:rsidR="00607B17" w:rsidRPr="00742115" w14:paraId="120AA409" w14:textId="77777777" w:rsidTr="009B1A1C">
        <w:trPr>
          <w:trHeight w:val="135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BA1D8" w14:textId="77777777" w:rsidR="00607B17" w:rsidRDefault="00607B17" w:rsidP="00607B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es-MX"/>
              </w:rPr>
            </w:pPr>
            <w:r w:rsidRPr="0074211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Fuente</w:t>
            </w:r>
            <w:r w:rsidRPr="00742115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es-MX"/>
              </w:rPr>
              <w:t>: Elaboración propia con datos publicados del THE ranking Mundial (2022), Latinoamérica (2021), y BRICS y Economías Emergentes (2022).</w:t>
            </w:r>
          </w:p>
          <w:p w14:paraId="38CF98B5" w14:textId="77777777" w:rsidR="00607B17" w:rsidRPr="00742115" w:rsidRDefault="00607B17" w:rsidP="00607B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es-MX"/>
              </w:rPr>
            </w:pPr>
            <w:r w:rsidRPr="00742115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es-MX"/>
              </w:rPr>
              <w:t>* Ordenado conforme a la posición obtenida en el ranking BRICS y Economías Emergentes.</w:t>
            </w:r>
          </w:p>
          <w:p w14:paraId="07BA52E4" w14:textId="0F221D84" w:rsidR="00607B17" w:rsidRPr="00742115" w:rsidRDefault="00607B17" w:rsidP="00607B1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es-MX"/>
              </w:rPr>
              <w:t>** Las puntuaciones del Ranking Mundial fueron estimadas por la Dirección General de Evaluación Institucional (DGEI-UNAM).</w:t>
            </w:r>
          </w:p>
        </w:tc>
      </w:tr>
    </w:tbl>
    <w:p w14:paraId="09100B36" w14:textId="77777777" w:rsidR="009E22D8" w:rsidRPr="00742115" w:rsidRDefault="009E22D8" w:rsidP="00365884">
      <w:pPr>
        <w:spacing w:after="0" w:line="240" w:lineRule="auto"/>
        <w:jc w:val="both"/>
        <w:rPr>
          <w:sz w:val="24"/>
        </w:rPr>
      </w:pPr>
    </w:p>
    <w:tbl>
      <w:tblPr>
        <w:tblW w:w="109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1"/>
      </w:tblGrid>
      <w:tr w:rsidR="00D21B64" w:rsidRPr="00742115" w14:paraId="115C0C7C" w14:textId="77777777" w:rsidTr="00B76F35">
        <w:trPr>
          <w:trHeight w:val="251"/>
          <w:jc w:val="center"/>
        </w:trPr>
        <w:tc>
          <w:tcPr>
            <w:tcW w:w="10921" w:type="dxa"/>
            <w:shd w:val="clear" w:color="auto" w:fill="auto"/>
            <w:noWrap/>
            <w:vAlign w:val="center"/>
          </w:tcPr>
          <w:p w14:paraId="24C0BE94" w14:textId="3A8CB442" w:rsidR="00D21B64" w:rsidRPr="00742115" w:rsidRDefault="00BF7CB0" w:rsidP="004E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Gráfico </w:t>
            </w:r>
            <w:r w:rsidR="00305498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5</w:t>
            </w:r>
            <w:r w:rsidR="00D21B64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. Comparación entre la UNAM y el </w:t>
            </w:r>
            <w:r w:rsidR="004A288E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ITESM </w:t>
            </w:r>
            <w:r w:rsidR="00D21B64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en las posiciones del ranking THE BRICS y Economías Emergentes, 201</w:t>
            </w:r>
            <w:r w:rsidR="004E5112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8</w:t>
            </w:r>
            <w:r w:rsidR="00B76F35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-</w:t>
            </w:r>
            <w:r w:rsidR="00D21B64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20</w:t>
            </w:r>
            <w:r w:rsidR="007A5787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</w:t>
            </w:r>
            <w:r w:rsidR="004E5112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</w:t>
            </w:r>
            <w:r w:rsidR="00D21B64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</w:p>
        </w:tc>
      </w:tr>
      <w:tr w:rsidR="00D21B64" w:rsidRPr="00742115" w14:paraId="24AB7637" w14:textId="77777777" w:rsidTr="00603FD7">
        <w:trPr>
          <w:trHeight w:val="169"/>
          <w:jc w:val="center"/>
        </w:trPr>
        <w:tc>
          <w:tcPr>
            <w:tcW w:w="1092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357A6EC" w14:textId="59652057" w:rsidR="00D21B64" w:rsidRPr="00742115" w:rsidRDefault="00603FD7" w:rsidP="0036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noProof/>
                <w:lang w:eastAsia="es-MX"/>
              </w:rPr>
              <w:drawing>
                <wp:inline distT="0" distB="0" distL="0" distR="0" wp14:anchorId="17969AC0" wp14:editId="5FAAC76F">
                  <wp:extent cx="6758940" cy="1800000"/>
                  <wp:effectExtent l="0" t="0" r="3810" b="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693B77B4" w14:textId="33C7C879" w:rsidR="00365884" w:rsidRDefault="00365884" w:rsidP="00603FD7">
      <w:pPr>
        <w:spacing w:after="0" w:line="240" w:lineRule="auto"/>
        <w:jc w:val="both"/>
        <w:rPr>
          <w:sz w:val="24"/>
        </w:rPr>
      </w:pPr>
    </w:p>
    <w:tbl>
      <w:tblPr>
        <w:tblW w:w="109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1"/>
      </w:tblGrid>
      <w:tr w:rsidR="00AA1D66" w:rsidRPr="00742115" w14:paraId="218E56DA" w14:textId="77777777" w:rsidTr="00607B17">
        <w:trPr>
          <w:trHeight w:val="251"/>
          <w:jc w:val="center"/>
        </w:trPr>
        <w:tc>
          <w:tcPr>
            <w:tcW w:w="10921" w:type="dxa"/>
            <w:shd w:val="clear" w:color="auto" w:fill="auto"/>
            <w:noWrap/>
            <w:vAlign w:val="center"/>
          </w:tcPr>
          <w:p w14:paraId="346BAB10" w14:textId="114B0CAC" w:rsidR="00AA1D66" w:rsidRPr="00742115" w:rsidRDefault="00AA1D66" w:rsidP="00AA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Gráfico 6. Comparación entre la matrícula reportada por la UNAM y el ITESM en el ranking THE BRICS y Economías Emergentes, 2018-2022.</w:t>
            </w:r>
          </w:p>
        </w:tc>
      </w:tr>
      <w:tr w:rsidR="00AA1D66" w:rsidRPr="00742115" w14:paraId="51B3B31D" w14:textId="77777777" w:rsidTr="00AA1D66">
        <w:trPr>
          <w:trHeight w:val="169"/>
          <w:jc w:val="center"/>
        </w:trPr>
        <w:tc>
          <w:tcPr>
            <w:tcW w:w="1092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CA6AFD0" w14:textId="5D3D72F3" w:rsidR="00AA1D66" w:rsidRPr="00742115" w:rsidRDefault="00AA1D66" w:rsidP="00607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noProof/>
                <w:lang w:eastAsia="es-MX"/>
              </w:rPr>
              <w:drawing>
                <wp:inline distT="0" distB="0" distL="0" distR="0" wp14:anchorId="196FC679" wp14:editId="515635BA">
                  <wp:extent cx="6904990" cy="1800000"/>
                  <wp:effectExtent l="0" t="0" r="10160" b="10160"/>
                  <wp:docPr id="4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4FB36A2" w14:textId="77777777" w:rsidR="00AA1D66" w:rsidRPr="00742115" w:rsidRDefault="00AA1D66" w:rsidP="00603FD7">
      <w:pPr>
        <w:spacing w:after="0" w:line="240" w:lineRule="auto"/>
        <w:jc w:val="both"/>
        <w:rPr>
          <w:sz w:val="24"/>
        </w:rPr>
      </w:pPr>
    </w:p>
    <w:tbl>
      <w:tblPr>
        <w:tblW w:w="104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1208"/>
        <w:gridCol w:w="1210"/>
        <w:gridCol w:w="1211"/>
        <w:gridCol w:w="1210"/>
        <w:gridCol w:w="1210"/>
        <w:gridCol w:w="1216"/>
      </w:tblGrid>
      <w:tr w:rsidR="004004ED" w:rsidRPr="00742115" w14:paraId="51889F70" w14:textId="77777777" w:rsidTr="00676B30">
        <w:trPr>
          <w:trHeight w:val="228"/>
          <w:jc w:val="center"/>
        </w:trPr>
        <w:tc>
          <w:tcPr>
            <w:tcW w:w="104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BB482" w14:textId="1E8E65CC" w:rsidR="004004ED" w:rsidRPr="00742115" w:rsidRDefault="004004ED" w:rsidP="00676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 xml:space="preserve">Tabla </w:t>
            </w:r>
            <w:r w:rsidR="00AA1D66" w:rsidRPr="007421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>7</w:t>
            </w: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 xml:space="preserve">. </w:t>
            </w:r>
            <w:r w:rsidR="00676B30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Desempeño de la UNAM y el ITESM en los indicadores del ranking THE BRICS y Economías Emergentes, 2020-2022.</w:t>
            </w:r>
          </w:p>
        </w:tc>
      </w:tr>
      <w:tr w:rsidR="004004ED" w:rsidRPr="00742115" w14:paraId="31F3EC6D" w14:textId="77777777" w:rsidTr="00676B30">
        <w:trPr>
          <w:trHeight w:val="228"/>
          <w:jc w:val="center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E077CC0" w14:textId="3909BF1E" w:rsidR="004004ED" w:rsidRPr="00742115" w:rsidRDefault="004004ED" w:rsidP="00365884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49BE18" w14:textId="77777777" w:rsidR="004004ED" w:rsidRPr="00742115" w:rsidRDefault="004004ED" w:rsidP="00365884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UNAM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0E9196" w14:textId="77777777" w:rsidR="004004ED" w:rsidRPr="00742115" w:rsidRDefault="004004ED" w:rsidP="00365884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ITESM</w:t>
            </w:r>
          </w:p>
        </w:tc>
      </w:tr>
      <w:tr w:rsidR="005A69A8" w:rsidRPr="00742115" w14:paraId="05530782" w14:textId="77777777" w:rsidTr="00676B30">
        <w:trPr>
          <w:trHeight w:val="228"/>
          <w:jc w:val="center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EFA1" w14:textId="77777777" w:rsidR="005A69A8" w:rsidRPr="00742115" w:rsidRDefault="005A69A8" w:rsidP="00365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C12F21E" w14:textId="500793E9" w:rsidR="005A69A8" w:rsidRPr="00742115" w:rsidRDefault="005A69A8" w:rsidP="00526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20</w:t>
            </w:r>
            <w:r w:rsidR="00526947" w:rsidRPr="0074211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DDF41D6" w14:textId="2D6141D7" w:rsidR="005A69A8" w:rsidRPr="00742115" w:rsidRDefault="005A69A8" w:rsidP="00526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202</w:t>
            </w:r>
            <w:r w:rsidR="00526947" w:rsidRPr="0074211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8ED9FE3" w14:textId="17165B1C" w:rsidR="005A69A8" w:rsidRPr="00742115" w:rsidRDefault="005A69A8" w:rsidP="00526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202</w:t>
            </w:r>
            <w:r w:rsidR="00526947" w:rsidRPr="0074211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F1B85BB" w14:textId="0C1F4659" w:rsidR="005A69A8" w:rsidRPr="00742115" w:rsidRDefault="005A69A8" w:rsidP="00526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20</w:t>
            </w:r>
            <w:r w:rsidR="00526947" w:rsidRPr="0074211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DE62E9A" w14:textId="291B9061" w:rsidR="005A69A8" w:rsidRPr="00742115" w:rsidRDefault="005A69A8" w:rsidP="00526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202</w:t>
            </w:r>
            <w:r w:rsidR="00526947" w:rsidRPr="0074211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296915B" w14:textId="0FDD6F2A" w:rsidR="005A69A8" w:rsidRPr="00742115" w:rsidRDefault="005A69A8" w:rsidP="00526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202</w:t>
            </w:r>
            <w:r w:rsidR="00526947" w:rsidRPr="0074211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963AB0" w:rsidRPr="00742115" w14:paraId="35BBE01C" w14:textId="77777777" w:rsidTr="00676B30">
        <w:trPr>
          <w:trHeight w:val="228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C996" w14:textId="50D98C75" w:rsidR="00F22E42" w:rsidRPr="00742115" w:rsidRDefault="00F22E42" w:rsidP="00F22E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Posición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64A5" w14:textId="7FEFCF07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F006" w14:textId="2DE64059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129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E72D" w14:textId="753F5319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165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90BF" w14:textId="2740FAF8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E2B4" w14:textId="02E8D0B1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131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DBD9" w14:textId="389ACC8D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144</w:t>
            </w:r>
          </w:p>
        </w:tc>
      </w:tr>
      <w:tr w:rsidR="00963AB0" w:rsidRPr="00742115" w14:paraId="0B82BB90" w14:textId="77777777" w:rsidTr="00676B30">
        <w:trPr>
          <w:trHeight w:val="228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3916891" w14:textId="01D2138B" w:rsidR="00F22E42" w:rsidRPr="00742115" w:rsidRDefault="00F22E42" w:rsidP="00F22E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Puntaje General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6546B5" w14:textId="1963CBD6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568B42" w14:textId="248F9DFF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32.9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294669" w14:textId="34ACFD87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32.7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7EDF0C" w14:textId="25A6042F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33.2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3F8BFB" w14:textId="6CFB4A13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32.8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E9CDA4" w14:textId="7F55B448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33.9</w:t>
            </w:r>
          </w:p>
        </w:tc>
      </w:tr>
      <w:tr w:rsidR="00963AB0" w:rsidRPr="00742115" w14:paraId="1AF65525" w14:textId="77777777" w:rsidTr="00676B30">
        <w:trPr>
          <w:trHeight w:val="228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3285" w14:textId="22A460AB" w:rsidR="00F22E42" w:rsidRPr="00742115" w:rsidRDefault="00F22E42" w:rsidP="00F22E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Docencia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DC6E" w14:textId="6B86FF3A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31.9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1FB5" w14:textId="34FA5672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31.2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41FC" w14:textId="02D32F5B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30.6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5B95" w14:textId="15F23841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20.5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207F" w14:textId="0864C01A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20.3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78E9" w14:textId="1C2A588D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20.8</w:t>
            </w:r>
          </w:p>
        </w:tc>
      </w:tr>
      <w:tr w:rsidR="00963AB0" w:rsidRPr="00742115" w14:paraId="60F5D920" w14:textId="77777777" w:rsidTr="00676B30">
        <w:trPr>
          <w:trHeight w:val="228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72D1F64" w14:textId="5A39993F" w:rsidR="00F22E42" w:rsidRPr="00742115" w:rsidRDefault="00F22E42" w:rsidP="00F22E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Investigación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1A2CF3" w14:textId="7ACC64A9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30.4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3B363A" w14:textId="0E3EA6DA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29.5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9C21A5" w14:textId="1493C28E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28.2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C370DC" w14:textId="1F93C80E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18.2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CD916C" w14:textId="036E88B9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17.6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50AC7B" w14:textId="427FC732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sz w:val="18"/>
                <w:szCs w:val="18"/>
              </w:rPr>
              <w:t>19.1</w:t>
            </w:r>
          </w:p>
        </w:tc>
      </w:tr>
      <w:tr w:rsidR="00F22E42" w:rsidRPr="00742115" w14:paraId="14ECA106" w14:textId="77777777" w:rsidTr="00676B30">
        <w:trPr>
          <w:trHeight w:val="228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96F0" w14:textId="48E6CC27" w:rsidR="00F22E42" w:rsidRPr="00742115" w:rsidRDefault="00F22E42" w:rsidP="00F2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Citas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47C3" w14:textId="039B6E66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BDC2" w14:textId="7CE6E3FE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A4FA" w14:textId="40C5762B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DB12" w14:textId="3B09A686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099E" w14:textId="7C4648F4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E88F" w14:textId="2F69B686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46.8</w:t>
            </w:r>
          </w:p>
        </w:tc>
      </w:tr>
      <w:tr w:rsidR="00F22E42" w:rsidRPr="00742115" w14:paraId="587C655E" w14:textId="77777777" w:rsidTr="00676B30">
        <w:trPr>
          <w:trHeight w:val="228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4EA2C62" w14:textId="0B4A0918" w:rsidR="00F22E42" w:rsidRPr="00742115" w:rsidRDefault="00F22E42" w:rsidP="00F2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Perspectiva internacional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B59733" w14:textId="725322DD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765312" w14:textId="7A6D70EB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5DC7AF" w14:textId="5391D24B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C25F04" w14:textId="058BEC27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C3D924" w14:textId="63EF53DB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6E3F3A" w14:textId="6F70E188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59.8</w:t>
            </w:r>
          </w:p>
        </w:tc>
      </w:tr>
      <w:tr w:rsidR="00F22E42" w:rsidRPr="00742115" w14:paraId="24AB2702" w14:textId="77777777" w:rsidTr="00676B30">
        <w:trPr>
          <w:trHeight w:val="228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A40F" w14:textId="1910B133" w:rsidR="00F22E42" w:rsidRPr="00742115" w:rsidRDefault="00F22E42" w:rsidP="00F2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Financiamiento de la industria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B648" w14:textId="1C3D68E1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B209" w14:textId="7AED4D36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E0DC" w14:textId="7CB809C6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0661" w14:textId="58890A9A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8264" w14:textId="1C689AE0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1749" w14:textId="740A508C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66.5</w:t>
            </w:r>
          </w:p>
        </w:tc>
      </w:tr>
    </w:tbl>
    <w:p w14:paraId="6701E8D5" w14:textId="77777777" w:rsidR="004004ED" w:rsidRPr="00742115" w:rsidRDefault="004004ED" w:rsidP="00365884">
      <w:pPr>
        <w:pStyle w:val="ListParagraph"/>
        <w:spacing w:after="0" w:line="240" w:lineRule="auto"/>
        <w:jc w:val="both"/>
        <w:rPr>
          <w:sz w:val="24"/>
        </w:rPr>
      </w:pPr>
    </w:p>
    <w:p w14:paraId="295C7191" w14:textId="77777777" w:rsidR="00DF0A33" w:rsidRPr="00742115" w:rsidRDefault="00DF0A33" w:rsidP="009F1F54">
      <w:pPr>
        <w:spacing w:after="0" w:line="240" w:lineRule="auto"/>
        <w:jc w:val="both"/>
        <w:rPr>
          <w:b/>
          <w:sz w:val="24"/>
        </w:rPr>
      </w:pPr>
      <w:r w:rsidRPr="00742115">
        <w:rPr>
          <w:b/>
          <w:sz w:val="24"/>
        </w:rPr>
        <w:t>Comportamiento de la UNAM</w:t>
      </w:r>
    </w:p>
    <w:p w14:paraId="5EA897DE" w14:textId="5B7EDC4E" w:rsidR="00C26B4A" w:rsidRPr="00742115" w:rsidRDefault="000A7E64" w:rsidP="009B2E10">
      <w:pPr>
        <w:pStyle w:val="ListParagraph"/>
        <w:numPr>
          <w:ilvl w:val="0"/>
          <w:numId w:val="31"/>
        </w:numPr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>L</w:t>
      </w:r>
      <w:r w:rsidR="00D406FF" w:rsidRPr="00742115">
        <w:rPr>
          <w:sz w:val="24"/>
        </w:rPr>
        <w:t xml:space="preserve">a UNAM descendió </w:t>
      </w:r>
      <w:r w:rsidR="00F11144" w:rsidRPr="00742115">
        <w:rPr>
          <w:sz w:val="24"/>
        </w:rPr>
        <w:t>36</w:t>
      </w:r>
      <w:r w:rsidR="00445700" w:rsidRPr="00742115">
        <w:rPr>
          <w:sz w:val="24"/>
        </w:rPr>
        <w:t xml:space="preserve"> </w:t>
      </w:r>
      <w:r w:rsidR="00D406FF" w:rsidRPr="00742115">
        <w:rPr>
          <w:sz w:val="24"/>
        </w:rPr>
        <w:t>posiciones</w:t>
      </w:r>
      <w:r w:rsidR="00C26B4A" w:rsidRPr="00742115">
        <w:rPr>
          <w:sz w:val="24"/>
        </w:rPr>
        <w:t xml:space="preserve"> </w:t>
      </w:r>
      <w:r w:rsidR="00D406FF" w:rsidRPr="00742115">
        <w:rPr>
          <w:sz w:val="24"/>
        </w:rPr>
        <w:t xml:space="preserve">al pasar del lugar </w:t>
      </w:r>
      <w:r w:rsidR="00445700" w:rsidRPr="00742115">
        <w:rPr>
          <w:sz w:val="24"/>
        </w:rPr>
        <w:t>12</w:t>
      </w:r>
      <w:r w:rsidR="002577CF" w:rsidRPr="00742115">
        <w:rPr>
          <w:sz w:val="24"/>
        </w:rPr>
        <w:t>9</w:t>
      </w:r>
      <w:r w:rsidR="00445700" w:rsidRPr="00742115">
        <w:rPr>
          <w:sz w:val="24"/>
        </w:rPr>
        <w:t xml:space="preserve"> </w:t>
      </w:r>
      <w:r w:rsidR="00D406FF" w:rsidRPr="00742115">
        <w:rPr>
          <w:sz w:val="24"/>
        </w:rPr>
        <w:t xml:space="preserve">en la edición </w:t>
      </w:r>
      <w:r w:rsidR="002577CF" w:rsidRPr="00742115">
        <w:rPr>
          <w:sz w:val="24"/>
        </w:rPr>
        <w:t>2021</w:t>
      </w:r>
      <w:r w:rsidR="00445700" w:rsidRPr="00742115">
        <w:rPr>
          <w:sz w:val="24"/>
        </w:rPr>
        <w:t xml:space="preserve"> </w:t>
      </w:r>
      <w:r w:rsidR="00D406FF" w:rsidRPr="00742115">
        <w:rPr>
          <w:sz w:val="24"/>
        </w:rPr>
        <w:t xml:space="preserve">al </w:t>
      </w:r>
      <w:r>
        <w:rPr>
          <w:sz w:val="24"/>
        </w:rPr>
        <w:t xml:space="preserve">lugar </w:t>
      </w:r>
      <w:r w:rsidR="002577CF" w:rsidRPr="00742115">
        <w:rPr>
          <w:sz w:val="24"/>
        </w:rPr>
        <w:t>165</w:t>
      </w:r>
      <w:r w:rsidR="00445700" w:rsidRPr="00742115">
        <w:rPr>
          <w:sz w:val="24"/>
        </w:rPr>
        <w:t xml:space="preserve"> </w:t>
      </w:r>
      <w:r w:rsidR="00D406FF" w:rsidRPr="00742115">
        <w:rPr>
          <w:sz w:val="24"/>
        </w:rPr>
        <w:t xml:space="preserve">en </w:t>
      </w:r>
      <w:r w:rsidR="00C26B4A" w:rsidRPr="00742115">
        <w:rPr>
          <w:sz w:val="24"/>
        </w:rPr>
        <w:t>la actual edición</w:t>
      </w:r>
      <w:r w:rsidR="00C20696" w:rsidRPr="00742115">
        <w:rPr>
          <w:sz w:val="24"/>
        </w:rPr>
        <w:t>.</w:t>
      </w:r>
      <w:r w:rsidR="0062023B" w:rsidRPr="00742115">
        <w:rPr>
          <w:sz w:val="24"/>
        </w:rPr>
        <w:t xml:space="preserve"> </w:t>
      </w:r>
      <w:r>
        <w:rPr>
          <w:sz w:val="24"/>
        </w:rPr>
        <w:t>Con respecto al desempeño en los indicadores</w:t>
      </w:r>
      <w:r w:rsidR="00D96FB3" w:rsidRPr="00742115">
        <w:rPr>
          <w:sz w:val="24"/>
        </w:rPr>
        <w:t>, l</w:t>
      </w:r>
      <w:r w:rsidR="00C26B4A" w:rsidRPr="00742115">
        <w:rPr>
          <w:sz w:val="24"/>
        </w:rPr>
        <w:t xml:space="preserve">a UNAM </w:t>
      </w:r>
      <w:r w:rsidR="00D406FF" w:rsidRPr="00742115">
        <w:rPr>
          <w:sz w:val="24"/>
        </w:rPr>
        <w:t xml:space="preserve">presentó un incremento de </w:t>
      </w:r>
      <w:r w:rsidR="002577CF" w:rsidRPr="00742115">
        <w:rPr>
          <w:sz w:val="24"/>
        </w:rPr>
        <w:t xml:space="preserve">2 </w:t>
      </w:r>
      <w:r w:rsidR="00D406FF" w:rsidRPr="00742115">
        <w:rPr>
          <w:sz w:val="24"/>
        </w:rPr>
        <w:t xml:space="preserve">puntos en el </w:t>
      </w:r>
      <w:r w:rsidR="00C05526" w:rsidRPr="00742115">
        <w:rPr>
          <w:sz w:val="24"/>
        </w:rPr>
        <w:t xml:space="preserve">indicador de </w:t>
      </w:r>
      <w:r w:rsidR="002577CF" w:rsidRPr="00742115">
        <w:rPr>
          <w:sz w:val="24"/>
        </w:rPr>
        <w:t>Citas, y de 2.5 puntos en Financiamiento de la industria</w:t>
      </w:r>
      <w:r w:rsidR="00C05526" w:rsidRPr="00742115">
        <w:rPr>
          <w:sz w:val="24"/>
        </w:rPr>
        <w:t>.</w:t>
      </w:r>
      <w:r w:rsidR="00414020" w:rsidRPr="00742115">
        <w:rPr>
          <w:sz w:val="24"/>
        </w:rPr>
        <w:t xml:space="preserve"> Sin embargo, </w:t>
      </w:r>
      <w:r>
        <w:rPr>
          <w:sz w:val="24"/>
        </w:rPr>
        <w:t xml:space="preserve">se </w:t>
      </w:r>
      <w:r w:rsidR="00414020" w:rsidRPr="00742115">
        <w:rPr>
          <w:sz w:val="24"/>
        </w:rPr>
        <w:t>presentó un decremento</w:t>
      </w:r>
      <w:r w:rsidR="00500A80" w:rsidRPr="00742115">
        <w:rPr>
          <w:sz w:val="24"/>
        </w:rPr>
        <w:t xml:space="preserve"> en los indicadores de Docencia (0.6 puntos), Investigación (1.3 puntos), y Perspectiva internacional (2.3 puntos).</w:t>
      </w:r>
    </w:p>
    <w:p w14:paraId="03A42AA0" w14:textId="77777777" w:rsidR="00414020" w:rsidRPr="00742115" w:rsidRDefault="00414020" w:rsidP="00414020">
      <w:pPr>
        <w:pStyle w:val="ListParagraph"/>
        <w:spacing w:after="0" w:line="240" w:lineRule="auto"/>
        <w:ind w:left="0"/>
        <w:jc w:val="both"/>
        <w:rPr>
          <w:sz w:val="24"/>
        </w:rPr>
      </w:pPr>
    </w:p>
    <w:p w14:paraId="45E7E00A" w14:textId="369E8532" w:rsidR="00500A80" w:rsidRPr="00742115" w:rsidRDefault="00086EC8" w:rsidP="009B2E10">
      <w:pPr>
        <w:pStyle w:val="ListParagraph"/>
        <w:numPr>
          <w:ilvl w:val="0"/>
          <w:numId w:val="31"/>
        </w:numPr>
        <w:spacing w:after="0" w:line="240" w:lineRule="auto"/>
        <w:ind w:left="0"/>
        <w:jc w:val="both"/>
        <w:rPr>
          <w:sz w:val="24"/>
        </w:rPr>
      </w:pPr>
      <w:bookmarkStart w:id="1" w:name="_Hlk98165515"/>
      <w:r w:rsidRPr="00850D34">
        <w:rPr>
          <w:sz w:val="24"/>
        </w:rPr>
        <w:t>Otro aspecto para resaltar</w:t>
      </w:r>
      <w:r w:rsidR="00D572EA" w:rsidRPr="00850D34">
        <w:rPr>
          <w:sz w:val="24"/>
        </w:rPr>
        <w:t xml:space="preserve"> es que </w:t>
      </w:r>
      <w:r w:rsidR="00840C31">
        <w:rPr>
          <w:sz w:val="24"/>
        </w:rPr>
        <w:t xml:space="preserve">a pesar de que </w:t>
      </w:r>
      <w:r w:rsidR="00AC2485" w:rsidRPr="00742115">
        <w:rPr>
          <w:sz w:val="24"/>
        </w:rPr>
        <w:t>l</w:t>
      </w:r>
      <w:r w:rsidR="00331748" w:rsidRPr="00742115">
        <w:rPr>
          <w:sz w:val="24"/>
        </w:rPr>
        <w:t xml:space="preserve">a UNAM ha tenido </w:t>
      </w:r>
      <w:r w:rsidR="00AC2485" w:rsidRPr="00742115">
        <w:rPr>
          <w:sz w:val="24"/>
        </w:rPr>
        <w:t xml:space="preserve">altibajos </w:t>
      </w:r>
      <w:r w:rsidR="00331748" w:rsidRPr="00742115">
        <w:rPr>
          <w:sz w:val="24"/>
        </w:rPr>
        <w:t xml:space="preserve">en el desempeño de los indicadores </w:t>
      </w:r>
      <w:r w:rsidR="00AC2485" w:rsidRPr="00742115">
        <w:rPr>
          <w:sz w:val="24"/>
        </w:rPr>
        <w:t>de Citas, Perspectiva internacional y Financiamiento de la industria</w:t>
      </w:r>
      <w:r w:rsidR="006E32C3">
        <w:rPr>
          <w:sz w:val="24"/>
        </w:rPr>
        <w:t>,</w:t>
      </w:r>
      <w:r w:rsidR="00AC2485" w:rsidRPr="00742115">
        <w:rPr>
          <w:sz w:val="24"/>
        </w:rPr>
        <w:t xml:space="preserve"> </w:t>
      </w:r>
      <w:r w:rsidR="00392EC5">
        <w:rPr>
          <w:sz w:val="24"/>
        </w:rPr>
        <w:t>tales</w:t>
      </w:r>
      <w:r w:rsidR="00AC2485" w:rsidRPr="00742115">
        <w:rPr>
          <w:sz w:val="24"/>
        </w:rPr>
        <w:t xml:space="preserve"> indicadores </w:t>
      </w:r>
      <w:r w:rsidR="00414020" w:rsidRPr="00742115">
        <w:rPr>
          <w:sz w:val="24"/>
        </w:rPr>
        <w:t xml:space="preserve">muestran una tendencia de </w:t>
      </w:r>
      <w:r w:rsidR="00AC2485" w:rsidRPr="00742115">
        <w:rPr>
          <w:sz w:val="24"/>
        </w:rPr>
        <w:t xml:space="preserve">crecimiento </w:t>
      </w:r>
      <w:r w:rsidR="00331748" w:rsidRPr="00742115">
        <w:rPr>
          <w:sz w:val="24"/>
        </w:rPr>
        <w:t xml:space="preserve">en los últimos 5 años. </w:t>
      </w:r>
      <w:bookmarkStart w:id="2" w:name="_Hlk98154202"/>
      <w:bookmarkEnd w:id="1"/>
      <w:r w:rsidR="00AC2485" w:rsidRPr="00742115">
        <w:rPr>
          <w:sz w:val="24"/>
        </w:rPr>
        <w:t xml:space="preserve">Lo anterior mencionado contrasta con </w:t>
      </w:r>
      <w:r w:rsidR="00427882">
        <w:rPr>
          <w:sz w:val="24"/>
        </w:rPr>
        <w:t xml:space="preserve">la disminución </w:t>
      </w:r>
      <w:r w:rsidR="00500A80" w:rsidRPr="00742115">
        <w:rPr>
          <w:sz w:val="24"/>
        </w:rPr>
        <w:t xml:space="preserve">en </w:t>
      </w:r>
      <w:r w:rsidR="00AC2485" w:rsidRPr="00742115">
        <w:rPr>
          <w:sz w:val="24"/>
        </w:rPr>
        <w:t xml:space="preserve">los </w:t>
      </w:r>
      <w:r w:rsidR="00500A80" w:rsidRPr="00742115">
        <w:rPr>
          <w:sz w:val="24"/>
        </w:rPr>
        <w:t>puntaje</w:t>
      </w:r>
      <w:r w:rsidR="00AC2485" w:rsidRPr="00742115">
        <w:rPr>
          <w:sz w:val="24"/>
        </w:rPr>
        <w:t>s</w:t>
      </w:r>
      <w:r w:rsidR="00500A80" w:rsidRPr="00742115">
        <w:rPr>
          <w:sz w:val="24"/>
        </w:rPr>
        <w:t xml:space="preserve"> de Docencia </w:t>
      </w:r>
      <w:r w:rsidR="00AC2485" w:rsidRPr="00742115">
        <w:rPr>
          <w:sz w:val="24"/>
        </w:rPr>
        <w:t>e Investigación en el mismo periodo de tiempo</w:t>
      </w:r>
      <w:r w:rsidR="00500A80" w:rsidRPr="00742115">
        <w:rPr>
          <w:sz w:val="24"/>
        </w:rPr>
        <w:t>.</w:t>
      </w:r>
    </w:p>
    <w:bookmarkEnd w:id="2"/>
    <w:p w14:paraId="3275C1B9" w14:textId="77777777" w:rsidR="002577CF" w:rsidRPr="00742115" w:rsidRDefault="002577CF" w:rsidP="00365884">
      <w:pPr>
        <w:pStyle w:val="ListParagraph"/>
        <w:spacing w:after="0" w:line="240" w:lineRule="auto"/>
        <w:jc w:val="both"/>
        <w:rPr>
          <w:sz w:val="24"/>
        </w:rPr>
      </w:pPr>
    </w:p>
    <w:tbl>
      <w:tblPr>
        <w:tblW w:w="8109" w:type="dxa"/>
        <w:tblInd w:w="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961"/>
        <w:gridCol w:w="962"/>
        <w:gridCol w:w="962"/>
        <w:gridCol w:w="1138"/>
        <w:gridCol w:w="911"/>
        <w:gridCol w:w="1135"/>
        <w:gridCol w:w="1385"/>
      </w:tblGrid>
      <w:tr w:rsidR="00BF7CB0" w:rsidRPr="00742115" w14:paraId="0381C689" w14:textId="77777777" w:rsidTr="00554CD5">
        <w:trPr>
          <w:trHeight w:val="217"/>
        </w:trPr>
        <w:tc>
          <w:tcPr>
            <w:tcW w:w="81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61DA" w14:textId="713E392C" w:rsidR="00BF7CB0" w:rsidRPr="00742115" w:rsidRDefault="00BF7CB0" w:rsidP="000E4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Tabla </w:t>
            </w:r>
            <w:r w:rsidR="000E44B8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8</w:t>
            </w:r>
            <w:r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 Desempeño de la UNAM en los indicadores del ranking THE BRICS y Economías Emergentes, 201</w:t>
            </w:r>
            <w:r w:rsidR="00F22E42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8</w:t>
            </w:r>
            <w:r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-202</w:t>
            </w:r>
            <w:r w:rsidR="004E5112"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</w:t>
            </w:r>
            <w:r w:rsidRPr="0074211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</w:p>
        </w:tc>
      </w:tr>
      <w:tr w:rsidR="00BF7CB0" w:rsidRPr="00742115" w14:paraId="35565799" w14:textId="77777777" w:rsidTr="00554CD5">
        <w:trPr>
          <w:trHeight w:val="37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4AA1D2F" w14:textId="77777777" w:rsidR="00BF7CB0" w:rsidRPr="00742115" w:rsidRDefault="00BF7CB0" w:rsidP="00365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Año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D2E5C62" w14:textId="77777777" w:rsidR="00BF7CB0" w:rsidRPr="00742115" w:rsidRDefault="00BF7CB0" w:rsidP="00365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Posición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69AD9F1" w14:textId="77777777" w:rsidR="00BF7CB0" w:rsidRPr="00742115" w:rsidRDefault="00BF7CB0" w:rsidP="00365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Puntaje General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DA7D12F" w14:textId="77777777" w:rsidR="00BF7CB0" w:rsidRPr="00742115" w:rsidRDefault="00BF7CB0" w:rsidP="00365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Docencia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A10E1BA" w14:textId="77777777" w:rsidR="00BF7CB0" w:rsidRPr="00742115" w:rsidRDefault="00BF7CB0" w:rsidP="00365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Investigación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B05464" w14:textId="77777777" w:rsidR="00BF7CB0" w:rsidRPr="00742115" w:rsidRDefault="00BF7CB0" w:rsidP="00365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Citas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BA26688" w14:textId="77777777" w:rsidR="00BF7CB0" w:rsidRPr="00742115" w:rsidRDefault="00BF7CB0" w:rsidP="00365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Perspectiva internacional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443FF4" w14:textId="77777777" w:rsidR="00BF7CB0" w:rsidRPr="00742115" w:rsidRDefault="00BF7CB0" w:rsidP="00365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Financiamiento de la industria</w:t>
            </w:r>
          </w:p>
        </w:tc>
      </w:tr>
      <w:tr w:rsidR="00F22E42" w:rsidRPr="00742115" w14:paraId="33B505EA" w14:textId="77777777" w:rsidTr="00331748">
        <w:trPr>
          <w:trHeight w:val="1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B47E5" w14:textId="57A36533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08B0" w14:textId="051F6769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2261" w14:textId="20CECDA9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9FEE" w14:textId="38B48DCF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4C3F" w14:textId="01B107A2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DE1C" w14:textId="7F7E85A0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AE1D" w14:textId="33D938AC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757C" w14:textId="2F5FFE78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57.3</w:t>
            </w:r>
          </w:p>
        </w:tc>
      </w:tr>
      <w:tr w:rsidR="00F22E42" w:rsidRPr="00742115" w14:paraId="5843B22D" w14:textId="77777777" w:rsidTr="00331748">
        <w:trPr>
          <w:trHeight w:val="1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B0C331" w14:textId="48FB9618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3CF8D5" w14:textId="10B20F39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22C88A" w14:textId="19FEB814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7422B5" w14:textId="5BE89DD9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646C04" w14:textId="05FC6BB9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90D5CE" w14:textId="3FBD3C2C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671F84" w14:textId="59BA4504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31096F" w14:textId="59F68CE8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55.7</w:t>
            </w:r>
          </w:p>
        </w:tc>
      </w:tr>
      <w:tr w:rsidR="00F22E42" w:rsidRPr="00742115" w14:paraId="0B138E83" w14:textId="77777777" w:rsidTr="00331748">
        <w:trPr>
          <w:trHeight w:val="1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53CC" w14:textId="0A5DD79D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7EB7" w14:textId="6288940B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28DF" w14:textId="2CA45C30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A62F" w14:textId="38717062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5B9A" w14:textId="72F13C5C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E69C" w14:textId="2BA590AE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A2F9" w14:textId="09AC3569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FC0F" w14:textId="2E89BA96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61.7</w:t>
            </w:r>
          </w:p>
        </w:tc>
      </w:tr>
      <w:tr w:rsidR="00F22E42" w:rsidRPr="00742115" w14:paraId="3E1DC9B1" w14:textId="77777777" w:rsidTr="00331748">
        <w:trPr>
          <w:trHeight w:val="1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4F00E0" w14:textId="42AA6130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E13736" w14:textId="74C7E43B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100868" w14:textId="338BA02C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1F45EF" w14:textId="0E8C91D4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CADEF5" w14:textId="41C31D53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D81DAA" w14:textId="7548D28A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F6F998" w14:textId="05C1ECBA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D21934" w14:textId="7BA340F5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60.6</w:t>
            </w:r>
          </w:p>
        </w:tc>
      </w:tr>
      <w:tr w:rsidR="00F22E42" w:rsidRPr="00742115" w14:paraId="37AFE355" w14:textId="77777777" w:rsidTr="00331748">
        <w:trPr>
          <w:trHeight w:val="1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9705" w14:textId="5E805F62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85F6" w14:textId="40FFE958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24D4" w14:textId="34A7B600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B999" w14:textId="20FE0075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0198" w14:textId="4B6455E8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E3FC" w14:textId="6340711B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0420" w14:textId="3A40121E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27B4" w14:textId="4703E5A9" w:rsidR="00F22E42" w:rsidRPr="00742115" w:rsidRDefault="00F22E42" w:rsidP="00F2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63.1</w:t>
            </w:r>
          </w:p>
        </w:tc>
      </w:tr>
    </w:tbl>
    <w:p w14:paraId="0D231DF2" w14:textId="26B864FE" w:rsidR="00C23457" w:rsidRPr="00742115" w:rsidRDefault="00C23457" w:rsidP="00365884">
      <w:pPr>
        <w:spacing w:after="0" w:line="240" w:lineRule="auto"/>
        <w:rPr>
          <w:rFonts w:cstheme="minorHAnsi"/>
          <w:sz w:val="18"/>
          <w:szCs w:val="18"/>
        </w:rPr>
      </w:pPr>
    </w:p>
    <w:p w14:paraId="0DAAC942" w14:textId="77777777" w:rsidR="0018221D" w:rsidRPr="00742115" w:rsidRDefault="0018221D" w:rsidP="0018221D">
      <w:pPr>
        <w:spacing w:after="0" w:line="240" w:lineRule="auto"/>
        <w:jc w:val="both"/>
        <w:rPr>
          <w:b/>
          <w:bCs/>
          <w:sz w:val="24"/>
        </w:rPr>
      </w:pPr>
      <w:r w:rsidRPr="00742115">
        <w:rPr>
          <w:b/>
          <w:bCs/>
          <w:sz w:val="24"/>
        </w:rPr>
        <w:t xml:space="preserve">Diferencias metodológicas entre los rankings del </w:t>
      </w:r>
      <w:r w:rsidRPr="00D63267">
        <w:rPr>
          <w:b/>
          <w:bCs/>
          <w:i/>
          <w:iCs/>
          <w:sz w:val="24"/>
        </w:rPr>
        <w:t>Times Higher Education</w:t>
      </w:r>
      <w:r w:rsidRPr="00742115">
        <w:rPr>
          <w:b/>
          <w:bCs/>
          <w:sz w:val="24"/>
        </w:rPr>
        <w:t xml:space="preserve"> (THE)</w:t>
      </w:r>
    </w:p>
    <w:p w14:paraId="6BF7A07F" w14:textId="77777777" w:rsidR="0018221D" w:rsidRPr="00742115" w:rsidRDefault="0018221D" w:rsidP="0018221D">
      <w:pPr>
        <w:pStyle w:val="ListParagraph"/>
        <w:spacing w:after="0" w:line="240" w:lineRule="auto"/>
        <w:jc w:val="both"/>
        <w:rPr>
          <w:sz w:val="24"/>
        </w:rPr>
      </w:pPr>
    </w:p>
    <w:p w14:paraId="15D518D5" w14:textId="58204044" w:rsidR="0018221D" w:rsidRPr="00742115" w:rsidRDefault="0018221D" w:rsidP="009B2E10">
      <w:pPr>
        <w:pStyle w:val="ListParagraph"/>
        <w:numPr>
          <w:ilvl w:val="0"/>
          <w:numId w:val="31"/>
        </w:numPr>
        <w:spacing w:after="0" w:line="240" w:lineRule="auto"/>
        <w:ind w:left="0"/>
        <w:jc w:val="both"/>
        <w:rPr>
          <w:sz w:val="24"/>
        </w:rPr>
      </w:pPr>
      <w:r w:rsidRPr="00742115">
        <w:rPr>
          <w:sz w:val="24"/>
        </w:rPr>
        <w:t xml:space="preserve">Los 3 principales rankings de THE (Mundial, Latinoamérica, BRICS y Economías Emergentes) han mantenido los mismos 5 indicadores a lo largo de los años. Como se </w:t>
      </w:r>
      <w:r w:rsidR="00530202">
        <w:rPr>
          <w:sz w:val="24"/>
        </w:rPr>
        <w:t xml:space="preserve">puede </w:t>
      </w:r>
      <w:r w:rsidRPr="00742115">
        <w:rPr>
          <w:sz w:val="24"/>
        </w:rPr>
        <w:t>apreciar en la Tabla 9, los rankings se diferencian entre sí de acuerdo</w:t>
      </w:r>
      <w:r w:rsidR="00EB7BCF">
        <w:rPr>
          <w:sz w:val="24"/>
        </w:rPr>
        <w:t xml:space="preserve"> con</w:t>
      </w:r>
      <w:r w:rsidRPr="00742115">
        <w:rPr>
          <w:sz w:val="24"/>
        </w:rPr>
        <w:t xml:space="preserve"> la región objetivo, el número total de universidades clasificadas, y la ponderación que </w:t>
      </w:r>
      <w:r w:rsidR="00E9571C">
        <w:rPr>
          <w:sz w:val="24"/>
        </w:rPr>
        <w:t>se ajusta</w:t>
      </w:r>
      <w:r w:rsidR="00F520C9" w:rsidRPr="00742115">
        <w:rPr>
          <w:sz w:val="24"/>
        </w:rPr>
        <w:t xml:space="preserve"> </w:t>
      </w:r>
      <w:r w:rsidRPr="00742115">
        <w:rPr>
          <w:sz w:val="24"/>
        </w:rPr>
        <w:t xml:space="preserve">de acuerdo </w:t>
      </w:r>
      <w:r w:rsidR="00EB7BCF">
        <w:rPr>
          <w:sz w:val="24"/>
        </w:rPr>
        <w:t>con</w:t>
      </w:r>
      <w:r w:rsidRPr="00742115">
        <w:rPr>
          <w:sz w:val="24"/>
        </w:rPr>
        <w:t xml:space="preserve"> la región. </w:t>
      </w:r>
    </w:p>
    <w:p w14:paraId="2B265E0D" w14:textId="77777777" w:rsidR="0018221D" w:rsidRPr="00742115" w:rsidRDefault="0018221D" w:rsidP="0018221D">
      <w:pPr>
        <w:spacing w:after="0" w:line="240" w:lineRule="auto"/>
        <w:jc w:val="both"/>
        <w:rPr>
          <w:sz w:val="24"/>
        </w:rPr>
      </w:pPr>
    </w:p>
    <w:tbl>
      <w:tblPr>
        <w:tblW w:w="88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010"/>
        <w:gridCol w:w="1083"/>
        <w:gridCol w:w="1010"/>
        <w:gridCol w:w="1083"/>
        <w:gridCol w:w="1010"/>
        <w:gridCol w:w="1083"/>
      </w:tblGrid>
      <w:tr w:rsidR="0018221D" w:rsidRPr="00742115" w14:paraId="73DB2353" w14:textId="77777777" w:rsidTr="00607B17">
        <w:trPr>
          <w:trHeight w:val="415"/>
        </w:trPr>
        <w:tc>
          <w:tcPr>
            <w:tcW w:w="883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F2D4D0" w14:textId="684E5D1F" w:rsidR="0018221D" w:rsidRPr="00742115" w:rsidRDefault="0018221D" w:rsidP="001F0D44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b/>
                <w:sz w:val="20"/>
                <w:szCs w:val="18"/>
              </w:rPr>
              <w:t xml:space="preserve">Tabla 9. Número de universidades clasificadas y ponderación de </w:t>
            </w:r>
            <w:r w:rsidR="001F0D44">
              <w:rPr>
                <w:b/>
                <w:sz w:val="20"/>
                <w:szCs w:val="18"/>
              </w:rPr>
              <w:t>i</w:t>
            </w:r>
            <w:r w:rsidR="001F0D44" w:rsidRPr="00742115">
              <w:rPr>
                <w:b/>
                <w:sz w:val="20"/>
                <w:szCs w:val="18"/>
              </w:rPr>
              <w:t xml:space="preserve">ndicadores </w:t>
            </w:r>
            <w:r w:rsidRPr="00742115">
              <w:rPr>
                <w:b/>
                <w:sz w:val="20"/>
                <w:szCs w:val="18"/>
              </w:rPr>
              <w:t>en los THE Ranking Mundial, Latinoamérica, y BRICS y Economías Emergentes, 2021-2022.</w:t>
            </w:r>
          </w:p>
        </w:tc>
      </w:tr>
      <w:tr w:rsidR="0018221D" w:rsidRPr="00742115" w14:paraId="0C3C9955" w14:textId="77777777" w:rsidTr="00607B17">
        <w:trPr>
          <w:trHeight w:val="4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38E7196B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4C6F7DD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es-MX"/>
              </w:rPr>
              <w:t>Mundial</w:t>
            </w:r>
          </w:p>
          <w:p w14:paraId="301F9288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6453C8E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es-MX"/>
              </w:rPr>
              <w:t>Latinoamérica</w:t>
            </w:r>
          </w:p>
          <w:p w14:paraId="6930E28F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3707306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BRICS &amp; Economías Emergentes </w:t>
            </w:r>
          </w:p>
          <w:p w14:paraId="5BF9764F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es-MX"/>
              </w:rPr>
              <w:t>2022</w:t>
            </w:r>
          </w:p>
        </w:tc>
      </w:tr>
      <w:tr w:rsidR="0018221D" w:rsidRPr="00742115" w14:paraId="30A01C1A" w14:textId="77777777" w:rsidTr="00607B17">
        <w:trPr>
          <w:trHeight w:val="2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032F" w14:textId="77777777" w:rsidR="0018221D" w:rsidRPr="00742115" w:rsidRDefault="0018221D" w:rsidP="0060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392DE97B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Nº IES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162F17F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3BD7587F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Nº IES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F6AE54A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52EB29F7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Nº IES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2B5B9A8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18221D" w:rsidRPr="00742115" w14:paraId="2D01D943" w14:textId="77777777" w:rsidTr="00607B17">
        <w:trPr>
          <w:trHeight w:val="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E285" w14:textId="77777777" w:rsidR="0018221D" w:rsidRPr="00742115" w:rsidRDefault="0018221D" w:rsidP="0060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Citas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D053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C8FB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30%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344E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561F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CF89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8061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18221D" w:rsidRPr="00742115" w14:paraId="40DEB402" w14:textId="77777777" w:rsidTr="00607B17">
        <w:trPr>
          <w:trHeight w:val="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F8B8E1" w14:textId="77777777" w:rsidR="0018221D" w:rsidRPr="00742115" w:rsidRDefault="0018221D" w:rsidP="0060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Docencia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96BE6" w14:textId="77777777" w:rsidR="0018221D" w:rsidRPr="00742115" w:rsidRDefault="0018221D" w:rsidP="0060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0D406E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30%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88C4" w14:textId="77777777" w:rsidR="0018221D" w:rsidRPr="00742115" w:rsidRDefault="0018221D" w:rsidP="0060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2481A6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36%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E8ADA" w14:textId="77777777" w:rsidR="0018221D" w:rsidRPr="00742115" w:rsidRDefault="0018221D" w:rsidP="0060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71CD52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30%</w:t>
            </w:r>
          </w:p>
        </w:tc>
      </w:tr>
      <w:tr w:rsidR="0018221D" w:rsidRPr="00742115" w14:paraId="7D73E9E8" w14:textId="77777777" w:rsidTr="00607B17">
        <w:trPr>
          <w:trHeight w:val="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75E3" w14:textId="77777777" w:rsidR="0018221D" w:rsidRPr="00742115" w:rsidRDefault="0018221D" w:rsidP="0060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Investigación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3520C" w14:textId="77777777" w:rsidR="0018221D" w:rsidRPr="00742115" w:rsidRDefault="0018221D" w:rsidP="0060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3BE7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30%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9C078" w14:textId="77777777" w:rsidR="0018221D" w:rsidRPr="00742115" w:rsidRDefault="0018221D" w:rsidP="0060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943D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34%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89710" w14:textId="77777777" w:rsidR="0018221D" w:rsidRPr="00742115" w:rsidRDefault="0018221D" w:rsidP="0060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35C6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30%</w:t>
            </w:r>
          </w:p>
        </w:tc>
      </w:tr>
      <w:tr w:rsidR="0018221D" w:rsidRPr="00742115" w14:paraId="23956C65" w14:textId="77777777" w:rsidTr="00607B17">
        <w:trPr>
          <w:trHeight w:val="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E16895" w14:textId="77777777" w:rsidR="0018221D" w:rsidRPr="00742115" w:rsidRDefault="0018221D" w:rsidP="0060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Perspectiva internacional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60D58" w14:textId="77777777" w:rsidR="0018221D" w:rsidRPr="00742115" w:rsidRDefault="0018221D" w:rsidP="0060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EAD46A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7.50%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3D2A1" w14:textId="77777777" w:rsidR="0018221D" w:rsidRPr="00742115" w:rsidRDefault="0018221D" w:rsidP="0060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144873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7.50%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C3514" w14:textId="77777777" w:rsidR="0018221D" w:rsidRPr="00742115" w:rsidRDefault="0018221D" w:rsidP="0060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FCF6D1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18221D" w:rsidRPr="00742115" w14:paraId="4E37E7F1" w14:textId="77777777" w:rsidTr="00607B17">
        <w:trPr>
          <w:trHeight w:val="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2892" w14:textId="77777777" w:rsidR="0018221D" w:rsidRPr="00742115" w:rsidRDefault="0018221D" w:rsidP="0060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Financiamiento de la industria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D469F" w14:textId="77777777" w:rsidR="0018221D" w:rsidRPr="00742115" w:rsidRDefault="0018221D" w:rsidP="0060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3CF3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2.50%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DDB12" w14:textId="77777777" w:rsidR="0018221D" w:rsidRPr="00742115" w:rsidRDefault="0018221D" w:rsidP="0060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FC22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2.50%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A7FD6" w14:textId="77777777" w:rsidR="0018221D" w:rsidRPr="00742115" w:rsidRDefault="0018221D" w:rsidP="0060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2CA1" w14:textId="77777777" w:rsidR="0018221D" w:rsidRPr="00742115" w:rsidRDefault="0018221D" w:rsidP="0060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</w:tbl>
    <w:p w14:paraId="51C9DF04" w14:textId="77777777" w:rsidR="0018221D" w:rsidRPr="00742115" w:rsidRDefault="0018221D" w:rsidP="0018221D">
      <w:pPr>
        <w:pStyle w:val="ListParagraph"/>
        <w:spacing w:after="0" w:line="240" w:lineRule="auto"/>
        <w:jc w:val="both"/>
        <w:rPr>
          <w:sz w:val="24"/>
        </w:rPr>
      </w:pPr>
    </w:p>
    <w:p w14:paraId="487D8DD2" w14:textId="2BA0D94E" w:rsidR="0018221D" w:rsidRPr="00742115" w:rsidRDefault="0018221D" w:rsidP="009B2E10">
      <w:pPr>
        <w:pStyle w:val="ListParagraph"/>
        <w:numPr>
          <w:ilvl w:val="0"/>
          <w:numId w:val="31"/>
        </w:numPr>
        <w:spacing w:after="0" w:line="240" w:lineRule="auto"/>
        <w:ind w:left="0"/>
        <w:jc w:val="both"/>
        <w:rPr>
          <w:sz w:val="24"/>
        </w:rPr>
      </w:pPr>
      <w:r w:rsidRPr="00742115">
        <w:rPr>
          <w:sz w:val="24"/>
        </w:rPr>
        <w:t xml:space="preserve">En la Tabla </w:t>
      </w:r>
      <w:r w:rsidR="00F520C9" w:rsidRPr="00742115">
        <w:rPr>
          <w:sz w:val="24"/>
        </w:rPr>
        <w:t>10</w:t>
      </w:r>
      <w:r w:rsidRPr="00742115">
        <w:rPr>
          <w:sz w:val="24"/>
        </w:rPr>
        <w:t xml:space="preserve"> es posible apreciar la variabilidad mencionada al analizar algunas de las principales universidades latinoamericanas. Por ejemplo, la Universidad de São Paulo en el </w:t>
      </w:r>
      <w:r w:rsidRPr="00742115">
        <w:rPr>
          <w:b/>
          <w:bCs/>
          <w:sz w:val="24"/>
        </w:rPr>
        <w:t xml:space="preserve">Ranking BRICS y Economías Emergentes </w:t>
      </w:r>
      <w:r w:rsidRPr="00742115">
        <w:rPr>
          <w:sz w:val="24"/>
        </w:rPr>
        <w:t xml:space="preserve">fue clasificada en la posición 19º (1º América Latina), en el </w:t>
      </w:r>
      <w:r w:rsidRPr="00742115">
        <w:rPr>
          <w:b/>
          <w:bCs/>
          <w:sz w:val="24"/>
        </w:rPr>
        <w:t>Ranking Mundial</w:t>
      </w:r>
      <w:r w:rsidRPr="00742115">
        <w:rPr>
          <w:sz w:val="24"/>
        </w:rPr>
        <w:t xml:space="preserve"> en el lugar 239º (1º América Latina), pero en el </w:t>
      </w:r>
      <w:r w:rsidRPr="00742115">
        <w:rPr>
          <w:b/>
          <w:sz w:val="24"/>
        </w:rPr>
        <w:t>Ranking Latinoamérica</w:t>
      </w:r>
      <w:r w:rsidRPr="00742115">
        <w:rPr>
          <w:sz w:val="24"/>
        </w:rPr>
        <w:t xml:space="preserve"> ocupó el 2º lugar. Esto mismo ocurre con la Pontificia Universidad Católica de Río de Janeiro, que fue clasificada en el 831º lugar en el </w:t>
      </w:r>
      <w:r w:rsidRPr="00742115">
        <w:rPr>
          <w:b/>
          <w:sz w:val="24"/>
        </w:rPr>
        <w:t>Ranking Mundial</w:t>
      </w:r>
      <w:r w:rsidRPr="00742115">
        <w:rPr>
          <w:sz w:val="24"/>
        </w:rPr>
        <w:t xml:space="preserve">, y en el 7º lugar en el </w:t>
      </w:r>
      <w:r w:rsidRPr="00742115">
        <w:rPr>
          <w:b/>
          <w:sz w:val="24"/>
        </w:rPr>
        <w:t>Ranking Latinoamérica</w:t>
      </w:r>
      <w:r w:rsidRPr="00742115">
        <w:rPr>
          <w:sz w:val="24"/>
        </w:rPr>
        <w:t xml:space="preserve">, pero fue clasificada en la posición 92 (3º América Latina) en el </w:t>
      </w:r>
      <w:r w:rsidRPr="00742115">
        <w:rPr>
          <w:b/>
          <w:sz w:val="24"/>
        </w:rPr>
        <w:t>Ranking BRICS y Economías Emergentes</w:t>
      </w:r>
      <w:r w:rsidRPr="00742115">
        <w:rPr>
          <w:sz w:val="24"/>
        </w:rPr>
        <w:t xml:space="preserve">. </w:t>
      </w:r>
    </w:p>
    <w:p w14:paraId="13B68450" w14:textId="77777777" w:rsidR="0018221D" w:rsidRPr="00742115" w:rsidRDefault="0018221D" w:rsidP="0018221D">
      <w:pPr>
        <w:spacing w:after="0"/>
        <w:rPr>
          <w:sz w:val="24"/>
        </w:rPr>
      </w:pPr>
    </w:p>
    <w:tbl>
      <w:tblPr>
        <w:tblW w:w="99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4"/>
        <w:gridCol w:w="1406"/>
        <w:gridCol w:w="1282"/>
        <w:gridCol w:w="1278"/>
        <w:gridCol w:w="1284"/>
      </w:tblGrid>
      <w:tr w:rsidR="0018221D" w:rsidRPr="00742115" w14:paraId="547682BC" w14:textId="77777777" w:rsidTr="00607B17">
        <w:trPr>
          <w:trHeight w:val="142"/>
          <w:jc w:val="center"/>
        </w:trPr>
        <w:tc>
          <w:tcPr>
            <w:tcW w:w="9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EAE6D" w14:textId="7BAAF005" w:rsidR="0018221D" w:rsidRPr="00742115" w:rsidRDefault="0018221D" w:rsidP="00F5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 xml:space="preserve">Tabla </w:t>
            </w:r>
            <w:r w:rsidR="00F520C9" w:rsidRPr="007421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>10</w:t>
            </w: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>.- Posición de las principales universidades de América Latina en los diferentes rankings THE (Ranking Mundial, Latinoamérica, y BRICS y Economías Emergentes), 2021</w:t>
            </w:r>
            <w:r w:rsidR="001614A7" w:rsidRPr="007421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>-20222</w:t>
            </w: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>.</w:t>
            </w:r>
          </w:p>
        </w:tc>
      </w:tr>
      <w:tr w:rsidR="0018221D" w:rsidRPr="00742115" w14:paraId="0DAF6C94" w14:textId="77777777" w:rsidTr="00607B17">
        <w:trPr>
          <w:trHeight w:val="46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618238CB" w14:textId="77777777" w:rsidR="0018221D" w:rsidRPr="00742115" w:rsidRDefault="0018221D" w:rsidP="00182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Universidades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5BC99D0F" w14:textId="77777777" w:rsidR="0018221D" w:rsidRPr="00742115" w:rsidRDefault="0018221D" w:rsidP="00182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609B3611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BRICS &amp; Economías Emergentes </w:t>
            </w:r>
            <w:r w:rsidRPr="007421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3D76206A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Mundial</w:t>
            </w:r>
            <w:r w:rsidRPr="007421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77C64E1B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Latinoamérica</w:t>
            </w:r>
            <w:r w:rsidRPr="007421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2021</w:t>
            </w:r>
          </w:p>
        </w:tc>
      </w:tr>
      <w:tr w:rsidR="0018221D" w:rsidRPr="00742115" w14:paraId="09D94A36" w14:textId="77777777" w:rsidTr="00607B17">
        <w:trPr>
          <w:trHeight w:val="14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2C87" w14:textId="77777777" w:rsidR="0018221D" w:rsidRPr="00742115" w:rsidRDefault="0018221D" w:rsidP="001822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0ACF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AA3F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2741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239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9F77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18221D" w:rsidRPr="00742115" w14:paraId="2644CA09" w14:textId="77777777" w:rsidTr="00607B17">
        <w:trPr>
          <w:trHeight w:val="14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00B302" w14:textId="77777777" w:rsidR="0018221D" w:rsidRPr="00742115" w:rsidRDefault="0018221D" w:rsidP="001822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E0592C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C9DA27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C2FCF5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441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6F2755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8221D" w:rsidRPr="00742115" w14:paraId="6886C45B" w14:textId="77777777" w:rsidTr="00607B17">
        <w:trPr>
          <w:trHeight w:val="14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9329" w14:textId="77777777" w:rsidR="0018221D" w:rsidRPr="00742115" w:rsidRDefault="0018221D" w:rsidP="001822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Universidad de Campinas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6836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8AB4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DFE0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456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6EF7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18221D" w:rsidRPr="00742115" w14:paraId="1649F227" w14:textId="77777777" w:rsidTr="00607B17">
        <w:trPr>
          <w:trHeight w:val="224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527D3F8" w14:textId="77777777" w:rsidR="0018221D" w:rsidRPr="00742115" w:rsidRDefault="0018221D" w:rsidP="001822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Río de Janeiro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FB7CB4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EBD44A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3BFEFC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831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B1FD2A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18221D" w:rsidRPr="00742115" w14:paraId="6E43BF12" w14:textId="77777777" w:rsidTr="00607B17">
        <w:trPr>
          <w:trHeight w:val="14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76FE" w14:textId="77777777" w:rsidR="0018221D" w:rsidRPr="00742115" w:rsidRDefault="0018221D" w:rsidP="001822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CA49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2E76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137A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70C0"/>
                <w:sz w:val="18"/>
                <w:szCs w:val="18"/>
              </w:rPr>
              <w:t>795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E20C" w14:textId="77777777" w:rsidR="0018221D" w:rsidRPr="00742115" w:rsidRDefault="0018221D" w:rsidP="001822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11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18221D" w:rsidRPr="00742115" w14:paraId="4B82D247" w14:textId="77777777" w:rsidTr="00607B17">
        <w:trPr>
          <w:trHeight w:val="14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061824" w14:textId="77777777" w:rsidR="0018221D" w:rsidRPr="00607B17" w:rsidRDefault="0018221D" w:rsidP="0018221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B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D8E7A1" w14:textId="77777777" w:rsidR="0018221D" w:rsidRPr="00607B17" w:rsidRDefault="0018221D" w:rsidP="0018221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B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3B016E" w14:textId="77777777" w:rsidR="0018221D" w:rsidRPr="00607B17" w:rsidRDefault="0018221D" w:rsidP="0018221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B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B288B0" w14:textId="77777777" w:rsidR="0018221D" w:rsidRPr="00607B17" w:rsidRDefault="0018221D" w:rsidP="0018221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607B17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  <w:t>941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32BCD4" w14:textId="77777777" w:rsidR="0018221D" w:rsidRPr="00607B17" w:rsidRDefault="0018221D" w:rsidP="0018221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B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18221D" w:rsidRPr="00742115" w14:paraId="7D2FF5AF" w14:textId="77777777" w:rsidTr="00607B17">
        <w:trPr>
          <w:trHeight w:val="142"/>
          <w:jc w:val="center"/>
        </w:trPr>
        <w:tc>
          <w:tcPr>
            <w:tcW w:w="996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297F2C" w14:textId="77777777" w:rsidR="0018221D" w:rsidRPr="00742115" w:rsidRDefault="0018221D" w:rsidP="00182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* Ordenado conforme a la posición obtenida en el Ranking BRICS y Economías Emergentes 2022.</w:t>
            </w:r>
          </w:p>
          <w:p w14:paraId="74C9CFA5" w14:textId="4F2331BF" w:rsidR="002C26C4" w:rsidRPr="00742115" w:rsidRDefault="002C26C4" w:rsidP="00182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421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** Las puntuaciones del Ranking Mundial fueron estimadas por la Dirección General de Evaluación Institucional (DGEI-UNAM).</w:t>
            </w:r>
          </w:p>
        </w:tc>
      </w:tr>
    </w:tbl>
    <w:p w14:paraId="0B0732F4" w14:textId="560C7360" w:rsidR="000E44B8" w:rsidRPr="00742115" w:rsidRDefault="000E44B8" w:rsidP="00365884">
      <w:pPr>
        <w:spacing w:after="0" w:line="240" w:lineRule="auto"/>
        <w:rPr>
          <w:rFonts w:cstheme="minorHAnsi"/>
          <w:sz w:val="18"/>
          <w:szCs w:val="18"/>
        </w:rPr>
      </w:pPr>
    </w:p>
    <w:p w14:paraId="36B30A9C" w14:textId="77777777" w:rsidR="0018221D" w:rsidRPr="00742115" w:rsidRDefault="0018221D" w:rsidP="00365884">
      <w:pPr>
        <w:spacing w:after="0" w:line="240" w:lineRule="auto"/>
        <w:rPr>
          <w:rFonts w:cstheme="minorHAnsi"/>
          <w:sz w:val="18"/>
          <w:szCs w:val="18"/>
        </w:rPr>
      </w:pPr>
    </w:p>
    <w:p w14:paraId="251CFD24" w14:textId="77777777" w:rsidR="00C05526" w:rsidRPr="00742115" w:rsidRDefault="00C05526" w:rsidP="00365884">
      <w:pPr>
        <w:spacing w:after="0" w:line="240" w:lineRule="auto"/>
        <w:rPr>
          <w:b/>
          <w:bCs/>
          <w:sz w:val="24"/>
          <w:szCs w:val="24"/>
        </w:rPr>
      </w:pPr>
      <w:r w:rsidRPr="00742115">
        <w:rPr>
          <w:b/>
          <w:bCs/>
          <w:sz w:val="24"/>
          <w:szCs w:val="24"/>
        </w:rPr>
        <w:t>Conclusiones</w:t>
      </w:r>
    </w:p>
    <w:p w14:paraId="64280D0E" w14:textId="77777777" w:rsidR="00C05526" w:rsidRPr="00742115" w:rsidRDefault="00C05526" w:rsidP="003658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7741597" w14:textId="77777777" w:rsidR="00676B30" w:rsidRPr="00742115" w:rsidRDefault="00676B30" w:rsidP="00676B30">
      <w:pPr>
        <w:pStyle w:val="ListParagraph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</w:rPr>
      </w:pPr>
      <w:r w:rsidRPr="00742115">
        <w:rPr>
          <w:sz w:val="24"/>
          <w:szCs w:val="24"/>
        </w:rPr>
        <w:t xml:space="preserve">El </w:t>
      </w:r>
      <w:r w:rsidRPr="00742115">
        <w:rPr>
          <w:b/>
          <w:bCs/>
          <w:sz w:val="24"/>
        </w:rPr>
        <w:t>THE</w:t>
      </w:r>
      <w:r w:rsidRPr="00742115">
        <w:rPr>
          <w:sz w:val="24"/>
        </w:rPr>
        <w:t xml:space="preserve"> </w:t>
      </w:r>
      <w:r w:rsidRPr="00742115">
        <w:rPr>
          <w:b/>
          <w:bCs/>
          <w:sz w:val="24"/>
        </w:rPr>
        <w:t xml:space="preserve">Ranking BRICS y Economías Emergentes 2022 </w:t>
      </w:r>
      <w:r w:rsidRPr="00742115">
        <w:rPr>
          <w:sz w:val="24"/>
          <w:szCs w:val="24"/>
        </w:rPr>
        <w:t xml:space="preserve">clasificó a 109 universidades de 5 países </w:t>
      </w:r>
      <w:r w:rsidRPr="00742115">
        <w:rPr>
          <w:sz w:val="24"/>
        </w:rPr>
        <w:t>de</w:t>
      </w:r>
      <w:r w:rsidRPr="00742115">
        <w:rPr>
          <w:sz w:val="24"/>
          <w:szCs w:val="24"/>
        </w:rPr>
        <w:t xml:space="preserve"> América Latina.</w:t>
      </w:r>
    </w:p>
    <w:p w14:paraId="3B79C7E1" w14:textId="77777777" w:rsidR="00676B30" w:rsidRPr="00742115" w:rsidRDefault="00676B30" w:rsidP="00676B30">
      <w:pPr>
        <w:pStyle w:val="ListParagraph"/>
        <w:spacing w:after="0" w:line="240" w:lineRule="auto"/>
        <w:ind w:left="0"/>
        <w:jc w:val="both"/>
        <w:rPr>
          <w:sz w:val="24"/>
        </w:rPr>
      </w:pPr>
    </w:p>
    <w:p w14:paraId="5965662C" w14:textId="2275BAF9" w:rsidR="00676B30" w:rsidRPr="00742115" w:rsidRDefault="00676B30" w:rsidP="00676B30">
      <w:pPr>
        <w:pStyle w:val="ListParagraph"/>
        <w:numPr>
          <w:ilvl w:val="0"/>
          <w:numId w:val="25"/>
        </w:numPr>
        <w:spacing w:after="0" w:line="240" w:lineRule="auto"/>
        <w:ind w:left="0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 xml:space="preserve">Las 10 </w:t>
      </w:r>
      <w:r w:rsidRPr="00742115">
        <w:rPr>
          <w:sz w:val="24"/>
        </w:rPr>
        <w:t>universidades de América Latina mejor posicionadas en el ranking fueron:</w:t>
      </w:r>
    </w:p>
    <w:p w14:paraId="78380F31" w14:textId="77777777" w:rsidR="009D66AC" w:rsidRPr="00742115" w:rsidRDefault="009D66AC" w:rsidP="009D66AC">
      <w:pPr>
        <w:pStyle w:val="ListParagraph"/>
        <w:numPr>
          <w:ilvl w:val="1"/>
          <w:numId w:val="25"/>
        </w:numPr>
        <w:spacing w:after="0" w:line="240" w:lineRule="auto"/>
        <w:ind w:left="709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>Universidad de São Paulo</w:t>
      </w:r>
      <w:r>
        <w:rPr>
          <w:rFonts w:cstheme="minorHAnsi"/>
          <w:sz w:val="24"/>
        </w:rPr>
        <w:t xml:space="preserve"> (Brasil)</w:t>
      </w:r>
      <w:r w:rsidRPr="00742115">
        <w:rPr>
          <w:rFonts w:cstheme="minorHAnsi"/>
          <w:sz w:val="24"/>
        </w:rPr>
        <w:t xml:space="preserve"> (1º América Latina, 19º </w:t>
      </w:r>
      <w:r>
        <w:rPr>
          <w:rFonts w:cstheme="minorHAnsi"/>
          <w:sz w:val="24"/>
        </w:rPr>
        <w:t>lugar en el ranking</w:t>
      </w:r>
      <w:r w:rsidRPr="00742115">
        <w:rPr>
          <w:rFonts w:cstheme="minorHAnsi"/>
          <w:sz w:val="24"/>
        </w:rPr>
        <w:t>).</w:t>
      </w:r>
    </w:p>
    <w:p w14:paraId="19ABCB4E" w14:textId="77777777" w:rsidR="009D66AC" w:rsidRPr="00742115" w:rsidRDefault="009D66AC" w:rsidP="009D66AC">
      <w:pPr>
        <w:pStyle w:val="ListParagraph"/>
        <w:numPr>
          <w:ilvl w:val="1"/>
          <w:numId w:val="25"/>
        </w:numPr>
        <w:spacing w:after="0" w:line="240" w:lineRule="auto"/>
        <w:ind w:left="709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 xml:space="preserve">Pontificia Universidad Católica de Chile (2º América Latina, 48º </w:t>
      </w:r>
      <w:r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6EA33697" w14:textId="77777777" w:rsidR="009D66AC" w:rsidRPr="00742115" w:rsidRDefault="009D66AC" w:rsidP="009D66AC">
      <w:pPr>
        <w:pStyle w:val="ListParagraph"/>
        <w:numPr>
          <w:ilvl w:val="1"/>
          <w:numId w:val="25"/>
        </w:numPr>
        <w:spacing w:after="0" w:line="240" w:lineRule="auto"/>
        <w:ind w:left="709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>Universidad de Campinas</w:t>
      </w:r>
      <w:r>
        <w:rPr>
          <w:rFonts w:cstheme="minorHAnsi"/>
          <w:sz w:val="24"/>
        </w:rPr>
        <w:t xml:space="preserve"> (Brasil)</w:t>
      </w:r>
      <w:r w:rsidRPr="00742115">
        <w:rPr>
          <w:rFonts w:cstheme="minorHAnsi"/>
          <w:sz w:val="24"/>
        </w:rPr>
        <w:t xml:space="preserve"> (2º América Latina, 48º </w:t>
      </w:r>
      <w:r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06723519" w14:textId="77777777" w:rsidR="009D66AC" w:rsidRPr="00742115" w:rsidRDefault="009D66AC" w:rsidP="009D66AC">
      <w:pPr>
        <w:pStyle w:val="ListParagraph"/>
        <w:numPr>
          <w:ilvl w:val="1"/>
          <w:numId w:val="25"/>
        </w:numPr>
        <w:spacing w:after="0" w:line="240" w:lineRule="auto"/>
        <w:ind w:left="709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>Pontificia Universidad Católica de Río de Janeiro</w:t>
      </w:r>
      <w:r>
        <w:rPr>
          <w:rFonts w:cstheme="minorHAnsi"/>
          <w:sz w:val="24"/>
        </w:rPr>
        <w:t xml:space="preserve"> (Brasil)</w:t>
      </w:r>
      <w:r w:rsidRPr="00742115">
        <w:rPr>
          <w:rFonts w:cstheme="minorHAnsi"/>
          <w:sz w:val="24"/>
        </w:rPr>
        <w:t xml:space="preserve"> (3º América Latina, 92º </w:t>
      </w:r>
      <w:r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666BA578" w14:textId="77777777" w:rsidR="009D66AC" w:rsidRPr="00742115" w:rsidRDefault="009D66AC" w:rsidP="009D66AC">
      <w:pPr>
        <w:pStyle w:val="ListParagraph"/>
        <w:numPr>
          <w:ilvl w:val="1"/>
          <w:numId w:val="25"/>
        </w:numPr>
        <w:spacing w:after="0" w:line="240" w:lineRule="auto"/>
        <w:ind w:left="709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 xml:space="preserve">Universidad Autónoma de Chile (4º América Latina, 122º </w:t>
      </w:r>
      <w:r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4AB7DEEF" w14:textId="77777777" w:rsidR="009D66AC" w:rsidRPr="00742115" w:rsidRDefault="009D66AC" w:rsidP="009D66AC">
      <w:pPr>
        <w:pStyle w:val="ListParagraph"/>
        <w:numPr>
          <w:ilvl w:val="1"/>
          <w:numId w:val="25"/>
        </w:numPr>
        <w:spacing w:after="0" w:line="240" w:lineRule="auto"/>
        <w:ind w:left="709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>Universidad del Desarrollo</w:t>
      </w:r>
      <w:r>
        <w:rPr>
          <w:rFonts w:cstheme="minorHAnsi"/>
          <w:sz w:val="24"/>
        </w:rPr>
        <w:t xml:space="preserve"> (Chile)</w:t>
      </w:r>
      <w:r w:rsidRPr="00742115">
        <w:rPr>
          <w:rFonts w:cstheme="minorHAnsi"/>
          <w:sz w:val="24"/>
        </w:rPr>
        <w:t xml:space="preserve"> (5º América Latina, 132º </w:t>
      </w:r>
      <w:r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0AF057B6" w14:textId="77777777" w:rsidR="009D66AC" w:rsidRPr="00742115" w:rsidRDefault="009D66AC" w:rsidP="009D66AC">
      <w:pPr>
        <w:pStyle w:val="ListParagraph"/>
        <w:numPr>
          <w:ilvl w:val="1"/>
          <w:numId w:val="25"/>
        </w:numPr>
        <w:spacing w:after="0" w:line="240" w:lineRule="auto"/>
        <w:ind w:left="709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 xml:space="preserve">Universidad Diego Portales </w:t>
      </w:r>
      <w:r>
        <w:rPr>
          <w:rFonts w:cstheme="minorHAnsi"/>
          <w:sz w:val="24"/>
        </w:rPr>
        <w:t xml:space="preserve">(Chile) </w:t>
      </w:r>
      <w:r w:rsidRPr="00742115">
        <w:rPr>
          <w:rFonts w:cstheme="minorHAnsi"/>
          <w:sz w:val="24"/>
        </w:rPr>
        <w:t xml:space="preserve">(6º América Latina, 144º </w:t>
      </w:r>
      <w:r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41618F46" w14:textId="77777777" w:rsidR="009D66AC" w:rsidRPr="00742115" w:rsidRDefault="009D66AC" w:rsidP="009D66AC">
      <w:pPr>
        <w:pStyle w:val="ListParagraph"/>
        <w:numPr>
          <w:ilvl w:val="1"/>
          <w:numId w:val="25"/>
        </w:numPr>
        <w:spacing w:after="0" w:line="240" w:lineRule="auto"/>
        <w:ind w:left="709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>Instituto Tecnológico y de Estudios Superiores de Monterrey</w:t>
      </w:r>
      <w:r>
        <w:rPr>
          <w:rFonts w:cstheme="minorHAnsi"/>
          <w:sz w:val="24"/>
        </w:rPr>
        <w:t xml:space="preserve"> (México)</w:t>
      </w:r>
      <w:r w:rsidRPr="00742115">
        <w:rPr>
          <w:rFonts w:cstheme="minorHAnsi"/>
          <w:sz w:val="24"/>
        </w:rPr>
        <w:t xml:space="preserve"> (6º América Latina, 144º </w:t>
      </w:r>
      <w:r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56C24612" w14:textId="77777777" w:rsidR="009D66AC" w:rsidRPr="00742115" w:rsidRDefault="009D66AC" w:rsidP="009D66AC">
      <w:pPr>
        <w:pStyle w:val="ListParagraph"/>
        <w:numPr>
          <w:ilvl w:val="1"/>
          <w:numId w:val="25"/>
        </w:numPr>
        <w:spacing w:after="0" w:line="240" w:lineRule="auto"/>
        <w:ind w:left="709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>Pontificia Universidad Javeriana</w:t>
      </w:r>
      <w:r>
        <w:rPr>
          <w:rFonts w:cstheme="minorHAnsi"/>
          <w:sz w:val="24"/>
        </w:rPr>
        <w:t xml:space="preserve"> (Colombia)</w:t>
      </w:r>
      <w:r w:rsidRPr="00742115">
        <w:rPr>
          <w:rFonts w:cstheme="minorHAnsi"/>
          <w:sz w:val="24"/>
        </w:rPr>
        <w:t xml:space="preserve"> (7º América Latina, 149º </w:t>
      </w:r>
      <w:r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760711FA" w14:textId="77777777" w:rsidR="009D66AC" w:rsidRPr="00742115" w:rsidRDefault="009D66AC" w:rsidP="009D66AC">
      <w:pPr>
        <w:pStyle w:val="ListParagraph"/>
        <w:numPr>
          <w:ilvl w:val="1"/>
          <w:numId w:val="25"/>
        </w:numPr>
        <w:spacing w:after="0" w:line="240" w:lineRule="auto"/>
        <w:ind w:left="709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 xml:space="preserve">Universidad Peruana Cayetano Heredia (8º América Latina, 160º </w:t>
      </w:r>
      <w:r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0849A42D" w14:textId="77777777" w:rsidR="009D66AC" w:rsidRPr="00742115" w:rsidRDefault="009D66AC" w:rsidP="009D66AC">
      <w:pPr>
        <w:pStyle w:val="ListParagraph"/>
        <w:numPr>
          <w:ilvl w:val="1"/>
          <w:numId w:val="25"/>
        </w:numPr>
        <w:spacing w:after="0" w:line="240" w:lineRule="auto"/>
        <w:ind w:left="709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>Universidad Federal de Río Grande del Sur</w:t>
      </w:r>
      <w:r>
        <w:rPr>
          <w:rFonts w:cstheme="minorHAnsi"/>
          <w:sz w:val="24"/>
        </w:rPr>
        <w:t xml:space="preserve"> (Brasil)</w:t>
      </w:r>
      <w:r w:rsidRPr="00742115">
        <w:rPr>
          <w:rFonts w:cstheme="minorHAnsi"/>
          <w:sz w:val="24"/>
        </w:rPr>
        <w:t xml:space="preserve"> (9º América Latina, 163º </w:t>
      </w:r>
      <w:r>
        <w:rPr>
          <w:rFonts w:cstheme="minorHAnsi"/>
          <w:sz w:val="24"/>
        </w:rPr>
        <w:t>general</w:t>
      </w:r>
      <w:r w:rsidRPr="00742115">
        <w:rPr>
          <w:rFonts w:cstheme="minorHAnsi"/>
          <w:sz w:val="24"/>
        </w:rPr>
        <w:t>).</w:t>
      </w:r>
    </w:p>
    <w:p w14:paraId="0C2C0BAC" w14:textId="77777777" w:rsidR="009D66AC" w:rsidRPr="00742115" w:rsidRDefault="009D66AC" w:rsidP="009D66AC">
      <w:pPr>
        <w:pStyle w:val="ListParagraph"/>
        <w:numPr>
          <w:ilvl w:val="1"/>
          <w:numId w:val="25"/>
        </w:numPr>
        <w:spacing w:after="0" w:line="240" w:lineRule="auto"/>
        <w:ind w:left="709"/>
        <w:jc w:val="both"/>
        <w:rPr>
          <w:b/>
          <w:sz w:val="24"/>
          <w:szCs w:val="24"/>
        </w:rPr>
      </w:pPr>
      <w:r w:rsidRPr="00742115">
        <w:rPr>
          <w:rFonts w:cstheme="minorHAnsi"/>
          <w:b/>
          <w:sz w:val="24"/>
        </w:rPr>
        <w:t>Universidad</w:t>
      </w:r>
      <w:r w:rsidRPr="00742115">
        <w:rPr>
          <w:b/>
          <w:sz w:val="24"/>
          <w:szCs w:val="24"/>
        </w:rPr>
        <w:t xml:space="preserve"> Nacional Autónoma de México (10º América Latina, </w:t>
      </w:r>
      <w:r w:rsidRPr="009D66AC">
        <w:rPr>
          <w:b/>
          <w:sz w:val="24"/>
          <w:szCs w:val="24"/>
        </w:rPr>
        <w:t xml:space="preserve">165º </w:t>
      </w:r>
      <w:r w:rsidRPr="009D66AC">
        <w:rPr>
          <w:rFonts w:cstheme="minorHAnsi"/>
          <w:b/>
          <w:sz w:val="24"/>
        </w:rPr>
        <w:t>general</w:t>
      </w:r>
      <w:r w:rsidRPr="009D66AC">
        <w:rPr>
          <w:b/>
          <w:sz w:val="24"/>
          <w:szCs w:val="24"/>
        </w:rPr>
        <w:t>).</w:t>
      </w:r>
    </w:p>
    <w:p w14:paraId="2A1E2603" w14:textId="77777777" w:rsidR="00676B30" w:rsidRPr="00742115" w:rsidRDefault="00676B30" w:rsidP="00676B30">
      <w:pPr>
        <w:pStyle w:val="ListParagraph"/>
        <w:rPr>
          <w:rFonts w:cstheme="minorHAnsi"/>
          <w:sz w:val="24"/>
        </w:rPr>
      </w:pPr>
    </w:p>
    <w:p w14:paraId="136E3D2B" w14:textId="314147E5" w:rsidR="0008448F" w:rsidRPr="00742115" w:rsidRDefault="00676B30" w:rsidP="00607B17">
      <w:pPr>
        <w:pStyle w:val="ListParagraph"/>
        <w:numPr>
          <w:ilvl w:val="0"/>
          <w:numId w:val="25"/>
        </w:numPr>
        <w:spacing w:after="0" w:line="240" w:lineRule="auto"/>
        <w:ind w:left="0"/>
        <w:jc w:val="both"/>
        <w:rPr>
          <w:rFonts w:cstheme="minorHAnsi"/>
          <w:sz w:val="24"/>
        </w:rPr>
      </w:pPr>
      <w:r w:rsidRPr="00742115">
        <w:rPr>
          <w:rFonts w:cstheme="minorHAnsi"/>
          <w:sz w:val="24"/>
        </w:rPr>
        <w:t xml:space="preserve">En </w:t>
      </w:r>
      <w:r w:rsidRPr="00742115">
        <w:rPr>
          <w:sz w:val="24"/>
        </w:rPr>
        <w:t>México</w:t>
      </w:r>
      <w:r w:rsidRPr="00742115">
        <w:rPr>
          <w:rFonts w:cstheme="minorHAnsi"/>
          <w:sz w:val="24"/>
        </w:rPr>
        <w:t xml:space="preserve"> fueron clasificadas 17 universidades</w:t>
      </w:r>
      <w:r w:rsidR="001F0D44">
        <w:rPr>
          <w:rFonts w:cstheme="minorHAnsi"/>
          <w:sz w:val="24"/>
        </w:rPr>
        <w:t>,</w:t>
      </w:r>
      <w:r w:rsidRPr="00742115">
        <w:rPr>
          <w:rFonts w:cstheme="minorHAnsi"/>
          <w:sz w:val="24"/>
        </w:rPr>
        <w:t xml:space="preserve"> </w:t>
      </w:r>
      <w:r w:rsidR="001F0D44">
        <w:rPr>
          <w:rFonts w:cstheme="minorHAnsi"/>
          <w:sz w:val="24"/>
        </w:rPr>
        <w:t>entre las que destaca</w:t>
      </w:r>
      <w:r w:rsidRPr="00742115">
        <w:rPr>
          <w:rFonts w:cstheme="minorHAnsi"/>
          <w:sz w:val="24"/>
        </w:rPr>
        <w:t xml:space="preserve"> </w:t>
      </w:r>
      <w:r w:rsidR="001F0D44">
        <w:rPr>
          <w:rFonts w:cstheme="minorHAnsi"/>
          <w:sz w:val="24"/>
        </w:rPr>
        <w:t>el desempeño</w:t>
      </w:r>
      <w:r w:rsidRPr="00742115">
        <w:rPr>
          <w:rFonts w:cstheme="minorHAnsi"/>
          <w:sz w:val="24"/>
        </w:rPr>
        <w:t xml:space="preserve"> del ITESM, que fue clasificado en el lugar 144 entre los países de BRICS y Economías Emergentes (1º México, 6º América Latina). </w:t>
      </w:r>
    </w:p>
    <w:p w14:paraId="48BA65DB" w14:textId="77777777" w:rsidR="0008448F" w:rsidRPr="00742115" w:rsidRDefault="0008448F" w:rsidP="0008448F">
      <w:pPr>
        <w:pStyle w:val="ListParagraph"/>
        <w:spacing w:after="0" w:line="240" w:lineRule="auto"/>
        <w:ind w:left="0"/>
        <w:jc w:val="both"/>
        <w:rPr>
          <w:rFonts w:cstheme="minorHAnsi"/>
          <w:sz w:val="24"/>
        </w:rPr>
      </w:pPr>
    </w:p>
    <w:p w14:paraId="7688B471" w14:textId="61D8A9F3" w:rsidR="00FA7516" w:rsidRPr="00742115" w:rsidRDefault="0008448F" w:rsidP="00607B17">
      <w:pPr>
        <w:pStyle w:val="ListParagraph"/>
        <w:numPr>
          <w:ilvl w:val="0"/>
          <w:numId w:val="25"/>
        </w:numPr>
        <w:spacing w:after="0" w:line="240" w:lineRule="auto"/>
        <w:ind w:left="0"/>
        <w:jc w:val="both"/>
        <w:rPr>
          <w:sz w:val="24"/>
        </w:rPr>
      </w:pPr>
      <w:r w:rsidRPr="00742115">
        <w:rPr>
          <w:rFonts w:cstheme="minorHAnsi"/>
          <w:sz w:val="24"/>
        </w:rPr>
        <w:t>L</w:t>
      </w:r>
      <w:r w:rsidR="00676B30" w:rsidRPr="00742115">
        <w:rPr>
          <w:rFonts w:cstheme="minorHAnsi"/>
          <w:bCs/>
          <w:sz w:val="24"/>
        </w:rPr>
        <w:t xml:space="preserve">a UNAM fue </w:t>
      </w:r>
      <w:r w:rsidR="00676B30" w:rsidRPr="00742115">
        <w:rPr>
          <w:rFonts w:cstheme="minorHAnsi"/>
          <w:sz w:val="24"/>
        </w:rPr>
        <w:t>clasificada</w:t>
      </w:r>
      <w:r w:rsidR="00676B30" w:rsidRPr="00742115">
        <w:rPr>
          <w:rFonts w:cstheme="minorHAnsi"/>
          <w:bCs/>
          <w:sz w:val="24"/>
        </w:rPr>
        <w:t xml:space="preserve"> en el 165º lugar </w:t>
      </w:r>
      <w:r w:rsidRPr="00742115">
        <w:rPr>
          <w:rFonts w:cstheme="minorHAnsi"/>
          <w:bCs/>
          <w:sz w:val="24"/>
        </w:rPr>
        <w:t>en BRICS y E</w:t>
      </w:r>
      <w:r w:rsidR="001F0D44">
        <w:rPr>
          <w:rFonts w:cstheme="minorHAnsi"/>
          <w:bCs/>
          <w:sz w:val="24"/>
        </w:rPr>
        <w:t xml:space="preserve">conomías </w:t>
      </w:r>
      <w:r w:rsidRPr="00742115">
        <w:rPr>
          <w:rFonts w:cstheme="minorHAnsi"/>
          <w:bCs/>
          <w:sz w:val="24"/>
        </w:rPr>
        <w:t>E</w:t>
      </w:r>
      <w:r w:rsidR="001F0D44">
        <w:rPr>
          <w:rFonts w:cstheme="minorHAnsi"/>
          <w:bCs/>
          <w:sz w:val="24"/>
        </w:rPr>
        <w:t>mergentes</w:t>
      </w:r>
      <w:r w:rsidRPr="00742115">
        <w:rPr>
          <w:rFonts w:cstheme="minorHAnsi"/>
          <w:bCs/>
          <w:sz w:val="24"/>
        </w:rPr>
        <w:t xml:space="preserve"> (</w:t>
      </w:r>
      <w:r w:rsidR="00676B30" w:rsidRPr="00742115">
        <w:rPr>
          <w:rFonts w:cstheme="minorHAnsi"/>
          <w:bCs/>
          <w:sz w:val="24"/>
        </w:rPr>
        <w:t>10º América Latina</w:t>
      </w:r>
      <w:r w:rsidRPr="00742115">
        <w:rPr>
          <w:rFonts w:cstheme="minorHAnsi"/>
          <w:bCs/>
          <w:sz w:val="24"/>
        </w:rPr>
        <w:t xml:space="preserve">, </w:t>
      </w:r>
      <w:r w:rsidR="00676B30" w:rsidRPr="00742115">
        <w:rPr>
          <w:rFonts w:cstheme="minorHAnsi"/>
          <w:bCs/>
          <w:sz w:val="24"/>
        </w:rPr>
        <w:t>2º México</w:t>
      </w:r>
      <w:r w:rsidRPr="00742115">
        <w:rPr>
          <w:rFonts w:cstheme="minorHAnsi"/>
          <w:bCs/>
          <w:sz w:val="24"/>
        </w:rPr>
        <w:t xml:space="preserve">) con un puntaje de 32.7. </w:t>
      </w:r>
    </w:p>
    <w:p w14:paraId="757F4E74" w14:textId="77777777" w:rsidR="00FA7516" w:rsidRPr="00742115" w:rsidRDefault="00FA7516" w:rsidP="00FA7516">
      <w:pPr>
        <w:pStyle w:val="ListParagraph"/>
        <w:rPr>
          <w:sz w:val="24"/>
        </w:rPr>
      </w:pPr>
    </w:p>
    <w:p w14:paraId="4FABF169" w14:textId="0ADA5F5A" w:rsidR="0008448F" w:rsidRPr="00742115" w:rsidRDefault="0008448F" w:rsidP="00607B17">
      <w:pPr>
        <w:pStyle w:val="ListParagraph"/>
        <w:numPr>
          <w:ilvl w:val="0"/>
          <w:numId w:val="25"/>
        </w:numPr>
        <w:spacing w:after="0" w:line="240" w:lineRule="auto"/>
        <w:ind w:left="0"/>
        <w:jc w:val="both"/>
        <w:rPr>
          <w:sz w:val="24"/>
        </w:rPr>
      </w:pPr>
      <w:r w:rsidRPr="00742115">
        <w:rPr>
          <w:sz w:val="24"/>
        </w:rPr>
        <w:t xml:space="preserve">La </w:t>
      </w:r>
      <w:r w:rsidRPr="00742115">
        <w:rPr>
          <w:rFonts w:cstheme="minorHAnsi"/>
          <w:sz w:val="24"/>
        </w:rPr>
        <w:t>UNAM</w:t>
      </w:r>
      <w:r w:rsidRPr="00742115">
        <w:rPr>
          <w:sz w:val="24"/>
        </w:rPr>
        <w:t xml:space="preserve"> mejoró su desempeño en 2 puntos en el indicador de Citas, y en 2.5 puntos en el rubro de </w:t>
      </w:r>
      <w:r w:rsidRPr="00742115">
        <w:rPr>
          <w:rFonts w:cstheme="minorHAnsi"/>
          <w:sz w:val="24"/>
        </w:rPr>
        <w:t>Financiamiento</w:t>
      </w:r>
      <w:r w:rsidRPr="00742115">
        <w:rPr>
          <w:sz w:val="24"/>
        </w:rPr>
        <w:t xml:space="preserve"> de la industria.</w:t>
      </w:r>
    </w:p>
    <w:p w14:paraId="35BEE5A2" w14:textId="77777777" w:rsidR="0008448F" w:rsidRPr="00742115" w:rsidRDefault="0008448F" w:rsidP="0008448F">
      <w:pPr>
        <w:pStyle w:val="ListParagraph"/>
        <w:spacing w:after="0" w:line="240" w:lineRule="auto"/>
        <w:ind w:left="0"/>
        <w:jc w:val="both"/>
        <w:rPr>
          <w:sz w:val="24"/>
        </w:rPr>
      </w:pPr>
    </w:p>
    <w:p w14:paraId="12593173" w14:textId="368C76B8" w:rsidR="0008448F" w:rsidRPr="00742115" w:rsidRDefault="0008448F" w:rsidP="0008448F">
      <w:pPr>
        <w:pStyle w:val="ListParagraph"/>
        <w:numPr>
          <w:ilvl w:val="0"/>
          <w:numId w:val="25"/>
        </w:numPr>
        <w:spacing w:after="0" w:line="240" w:lineRule="auto"/>
        <w:ind w:left="0"/>
        <w:jc w:val="both"/>
        <w:rPr>
          <w:sz w:val="24"/>
        </w:rPr>
      </w:pPr>
      <w:r w:rsidRPr="00742115">
        <w:rPr>
          <w:rFonts w:cstheme="minorHAnsi"/>
          <w:sz w:val="24"/>
        </w:rPr>
        <w:t>Finalmente</w:t>
      </w:r>
      <w:r w:rsidRPr="00742115">
        <w:rPr>
          <w:sz w:val="24"/>
        </w:rPr>
        <w:t>, se mostró un decremento en el resto de los indicadores: Docencia (0.6 puntos), Investigación (1.3 puntos), y Perspectiva internacional (2.3 puntos).</w:t>
      </w:r>
      <w:bookmarkEnd w:id="0"/>
    </w:p>
    <w:sectPr w:rsidR="0008448F" w:rsidRPr="007421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497A" w14:textId="77777777" w:rsidR="00AF4CF1" w:rsidRDefault="00AF4CF1" w:rsidP="00DD1B59">
      <w:pPr>
        <w:spacing w:after="0" w:line="240" w:lineRule="auto"/>
      </w:pPr>
      <w:r>
        <w:separator/>
      </w:r>
    </w:p>
  </w:endnote>
  <w:endnote w:type="continuationSeparator" w:id="0">
    <w:p w14:paraId="05DFAF31" w14:textId="77777777" w:rsidR="00AF4CF1" w:rsidRDefault="00AF4CF1" w:rsidP="00DD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6892" w14:textId="77777777" w:rsidR="00AF4CF1" w:rsidRDefault="00AF4CF1" w:rsidP="00DD1B59">
      <w:pPr>
        <w:spacing w:after="0" w:line="240" w:lineRule="auto"/>
      </w:pPr>
      <w:r>
        <w:separator/>
      </w:r>
    </w:p>
  </w:footnote>
  <w:footnote w:type="continuationSeparator" w:id="0">
    <w:p w14:paraId="3397C295" w14:textId="77777777" w:rsidR="00AF4CF1" w:rsidRDefault="00AF4CF1" w:rsidP="00DD1B59">
      <w:pPr>
        <w:spacing w:after="0" w:line="240" w:lineRule="auto"/>
      </w:pPr>
      <w:r>
        <w:continuationSeparator/>
      </w:r>
    </w:p>
  </w:footnote>
  <w:footnote w:id="1">
    <w:p w14:paraId="4F8FE80B" w14:textId="580CF232" w:rsidR="00E46BC1" w:rsidRDefault="00E46BC1" w:rsidP="001D27C3">
      <w:pPr>
        <w:pStyle w:val="FootnoteText"/>
      </w:pPr>
      <w:r>
        <w:rPr>
          <w:rStyle w:val="FootnoteReference"/>
        </w:rPr>
        <w:footnoteRef/>
      </w:r>
      <w:r>
        <w:t xml:space="preserve"> FTSE </w:t>
      </w:r>
      <w:proofErr w:type="spellStart"/>
      <w:r>
        <w:t>Group</w:t>
      </w:r>
      <w:proofErr w:type="spellEnd"/>
      <w:r>
        <w:t xml:space="preserve"> es una empresa proveedora de índices bursátiles en la Bolsa de Londres que clasifica a 54 países en 4 categorías: 1) </w:t>
      </w:r>
      <w:r w:rsidRPr="008D2B20">
        <w:t xml:space="preserve">desarrollados, </w:t>
      </w:r>
      <w:r>
        <w:t xml:space="preserve">2) </w:t>
      </w:r>
      <w:r w:rsidRPr="008D2B20">
        <w:t xml:space="preserve">emergentes avanzados, </w:t>
      </w:r>
      <w:r>
        <w:t xml:space="preserve">3) </w:t>
      </w:r>
      <w:r w:rsidRPr="008D2B20">
        <w:t xml:space="preserve">emergentes secundarios, y </w:t>
      </w:r>
      <w:r>
        <w:t xml:space="preserve">4) </w:t>
      </w:r>
      <w:r w:rsidRPr="008D2B20">
        <w:t>frontera.</w:t>
      </w:r>
      <w:r>
        <w:t xml:space="preserve"> Véase</w:t>
      </w:r>
      <w:r w:rsidRPr="00EE6D6D">
        <w:t xml:space="preserve"> </w:t>
      </w:r>
      <w:hyperlink r:id="rId1" w:history="1">
        <w:r w:rsidRPr="007F0AED">
          <w:rPr>
            <w:rStyle w:val="Hyperlink"/>
          </w:rPr>
          <w:t>https://research.ftserussell.com/products/downloads/FTSE-Country-Classification-Update_latest.pdf</w:t>
        </w:r>
      </w:hyperlink>
      <w:r>
        <w:t xml:space="preserve">. </w:t>
      </w:r>
    </w:p>
  </w:footnote>
  <w:footnote w:id="2">
    <w:p w14:paraId="1E0D8E10" w14:textId="77777777" w:rsidR="00E46BC1" w:rsidRPr="00FF282E" w:rsidRDefault="00E46BC1" w:rsidP="00E4106C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“Datos y Cifras” </w:t>
      </w:r>
      <w:r w:rsidRPr="00FF282E">
        <w:rPr>
          <w:sz w:val="16"/>
        </w:rPr>
        <w:t xml:space="preserve">del ITESM en </w:t>
      </w:r>
      <w:r>
        <w:rPr>
          <w:sz w:val="16"/>
        </w:rPr>
        <w:t xml:space="preserve"> disponible en: </w:t>
      </w:r>
      <w:hyperlink r:id="rId2" w:history="1">
        <w:r w:rsidRPr="00A62730">
          <w:rPr>
            <w:rStyle w:val="Hyperlink"/>
            <w:sz w:val="16"/>
          </w:rPr>
          <w:t>https://tec.mx/es/diferencia-tec/numeralia/datos-y-cifras</w:t>
        </w:r>
      </w:hyperlink>
      <w:r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3DC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640"/>
    <w:multiLevelType w:val="hybridMultilevel"/>
    <w:tmpl w:val="308250D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A38C8"/>
    <w:multiLevelType w:val="hybridMultilevel"/>
    <w:tmpl w:val="CAFA8CDA"/>
    <w:lvl w:ilvl="0" w:tplc="0F3CA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4DF0"/>
    <w:multiLevelType w:val="hybridMultilevel"/>
    <w:tmpl w:val="51024A3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35B19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10CAF"/>
    <w:multiLevelType w:val="hybridMultilevel"/>
    <w:tmpl w:val="B9FA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92F5D"/>
    <w:multiLevelType w:val="hybridMultilevel"/>
    <w:tmpl w:val="92EAAB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6783C"/>
    <w:multiLevelType w:val="hybridMultilevel"/>
    <w:tmpl w:val="4672ECDE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C83716A"/>
    <w:multiLevelType w:val="hybridMultilevel"/>
    <w:tmpl w:val="3B221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541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A369B"/>
    <w:multiLevelType w:val="hybridMultilevel"/>
    <w:tmpl w:val="25045CEA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00B6A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171AE"/>
    <w:multiLevelType w:val="hybridMultilevel"/>
    <w:tmpl w:val="E216F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A7336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523BB7"/>
    <w:multiLevelType w:val="hybridMultilevel"/>
    <w:tmpl w:val="59245686"/>
    <w:lvl w:ilvl="0" w:tplc="386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258E4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538B7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3040D"/>
    <w:multiLevelType w:val="hybridMultilevel"/>
    <w:tmpl w:val="26D2B7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B3F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52875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3137955"/>
    <w:multiLevelType w:val="hybridMultilevel"/>
    <w:tmpl w:val="2C7E4562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92A0070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24999"/>
    <w:multiLevelType w:val="hybridMultilevel"/>
    <w:tmpl w:val="67E08B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33416"/>
    <w:multiLevelType w:val="hybridMultilevel"/>
    <w:tmpl w:val="117032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10217"/>
    <w:multiLevelType w:val="hybridMultilevel"/>
    <w:tmpl w:val="5C1C1C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1"/>
  </w:num>
  <w:num w:numId="4">
    <w:abstractNumId w:val="16"/>
  </w:num>
  <w:num w:numId="5">
    <w:abstractNumId w:val="15"/>
  </w:num>
  <w:num w:numId="6">
    <w:abstractNumId w:val="19"/>
  </w:num>
  <w:num w:numId="7">
    <w:abstractNumId w:val="7"/>
  </w:num>
  <w:num w:numId="8">
    <w:abstractNumId w:val="1"/>
  </w:num>
  <w:num w:numId="9">
    <w:abstractNumId w:val="25"/>
  </w:num>
  <w:num w:numId="10">
    <w:abstractNumId w:val="26"/>
  </w:num>
  <w:num w:numId="11">
    <w:abstractNumId w:val="0"/>
  </w:num>
  <w:num w:numId="12">
    <w:abstractNumId w:val="21"/>
  </w:num>
  <w:num w:numId="13">
    <w:abstractNumId w:val="5"/>
  </w:num>
  <w:num w:numId="14">
    <w:abstractNumId w:val="9"/>
  </w:num>
  <w:num w:numId="15">
    <w:abstractNumId w:val="22"/>
  </w:num>
  <w:num w:numId="16">
    <w:abstractNumId w:val="12"/>
  </w:num>
  <w:num w:numId="17">
    <w:abstractNumId w:val="14"/>
  </w:num>
  <w:num w:numId="18">
    <w:abstractNumId w:val="18"/>
  </w:num>
  <w:num w:numId="19">
    <w:abstractNumId w:val="2"/>
  </w:num>
  <w:num w:numId="20">
    <w:abstractNumId w:val="23"/>
  </w:num>
  <w:num w:numId="21">
    <w:abstractNumId w:val="13"/>
  </w:num>
  <w:num w:numId="22">
    <w:abstractNumId w:val="10"/>
  </w:num>
  <w:num w:numId="23">
    <w:abstractNumId w:val="29"/>
  </w:num>
  <w:num w:numId="24">
    <w:abstractNumId w:val="3"/>
  </w:num>
  <w:num w:numId="25">
    <w:abstractNumId w:val="2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8"/>
  </w:num>
  <w:num w:numId="29">
    <w:abstractNumId w:val="17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7"/>
    <w:rsid w:val="00010FDC"/>
    <w:rsid w:val="00035199"/>
    <w:rsid w:val="0004030C"/>
    <w:rsid w:val="00043B94"/>
    <w:rsid w:val="00044D8C"/>
    <w:rsid w:val="00060AB8"/>
    <w:rsid w:val="00067EC6"/>
    <w:rsid w:val="00074FAA"/>
    <w:rsid w:val="00076185"/>
    <w:rsid w:val="0008448F"/>
    <w:rsid w:val="0008504E"/>
    <w:rsid w:val="00086EC8"/>
    <w:rsid w:val="0009273D"/>
    <w:rsid w:val="00095E29"/>
    <w:rsid w:val="0009674E"/>
    <w:rsid w:val="000A04AE"/>
    <w:rsid w:val="000A46DB"/>
    <w:rsid w:val="000A62C9"/>
    <w:rsid w:val="000A7E64"/>
    <w:rsid w:val="000B051A"/>
    <w:rsid w:val="000B3CEF"/>
    <w:rsid w:val="000B7933"/>
    <w:rsid w:val="000C326D"/>
    <w:rsid w:val="000C3D13"/>
    <w:rsid w:val="000C4389"/>
    <w:rsid w:val="000C6A1B"/>
    <w:rsid w:val="000D0015"/>
    <w:rsid w:val="000D2075"/>
    <w:rsid w:val="000E44B8"/>
    <w:rsid w:val="000E7136"/>
    <w:rsid w:val="000F56A4"/>
    <w:rsid w:val="00114D13"/>
    <w:rsid w:val="00121ECB"/>
    <w:rsid w:val="00142CF8"/>
    <w:rsid w:val="00145AB4"/>
    <w:rsid w:val="001511A2"/>
    <w:rsid w:val="00153214"/>
    <w:rsid w:val="001614A7"/>
    <w:rsid w:val="00167C47"/>
    <w:rsid w:val="0018221D"/>
    <w:rsid w:val="00182EA8"/>
    <w:rsid w:val="00185910"/>
    <w:rsid w:val="00192C32"/>
    <w:rsid w:val="001A1148"/>
    <w:rsid w:val="001A286B"/>
    <w:rsid w:val="001A7CDB"/>
    <w:rsid w:val="001B6472"/>
    <w:rsid w:val="001D27C3"/>
    <w:rsid w:val="001D5EBD"/>
    <w:rsid w:val="001D7DA2"/>
    <w:rsid w:val="001E345D"/>
    <w:rsid w:val="001F0D44"/>
    <w:rsid w:val="001F507B"/>
    <w:rsid w:val="00200691"/>
    <w:rsid w:val="002219C7"/>
    <w:rsid w:val="00224F4B"/>
    <w:rsid w:val="00226581"/>
    <w:rsid w:val="00230F08"/>
    <w:rsid w:val="0023497B"/>
    <w:rsid w:val="00236AB1"/>
    <w:rsid w:val="0024141D"/>
    <w:rsid w:val="002577CF"/>
    <w:rsid w:val="00261226"/>
    <w:rsid w:val="0026150C"/>
    <w:rsid w:val="00267720"/>
    <w:rsid w:val="00271E02"/>
    <w:rsid w:val="00275CD0"/>
    <w:rsid w:val="00284C0A"/>
    <w:rsid w:val="00286835"/>
    <w:rsid w:val="00286D01"/>
    <w:rsid w:val="00291132"/>
    <w:rsid w:val="00292829"/>
    <w:rsid w:val="002938AF"/>
    <w:rsid w:val="002A1E0D"/>
    <w:rsid w:val="002A35CA"/>
    <w:rsid w:val="002A5E6F"/>
    <w:rsid w:val="002B705F"/>
    <w:rsid w:val="002B7783"/>
    <w:rsid w:val="002B7AE1"/>
    <w:rsid w:val="002C26C4"/>
    <w:rsid w:val="002D101E"/>
    <w:rsid w:val="002D2258"/>
    <w:rsid w:val="002D78E2"/>
    <w:rsid w:val="002E24B1"/>
    <w:rsid w:val="002E342B"/>
    <w:rsid w:val="002E3C48"/>
    <w:rsid w:val="002E5C8D"/>
    <w:rsid w:val="002F3D75"/>
    <w:rsid w:val="002F62AE"/>
    <w:rsid w:val="00305498"/>
    <w:rsid w:val="00312D70"/>
    <w:rsid w:val="0031474A"/>
    <w:rsid w:val="0031614B"/>
    <w:rsid w:val="003201C2"/>
    <w:rsid w:val="00326420"/>
    <w:rsid w:val="00331748"/>
    <w:rsid w:val="003341A2"/>
    <w:rsid w:val="00335571"/>
    <w:rsid w:val="00336A3D"/>
    <w:rsid w:val="003439CC"/>
    <w:rsid w:val="0034407C"/>
    <w:rsid w:val="00344794"/>
    <w:rsid w:val="00350282"/>
    <w:rsid w:val="00357C5B"/>
    <w:rsid w:val="00360DB0"/>
    <w:rsid w:val="00365884"/>
    <w:rsid w:val="00392EC5"/>
    <w:rsid w:val="00396BBE"/>
    <w:rsid w:val="003C102E"/>
    <w:rsid w:val="003C1FBF"/>
    <w:rsid w:val="003D1B18"/>
    <w:rsid w:val="003D2823"/>
    <w:rsid w:val="003E07BD"/>
    <w:rsid w:val="003E1861"/>
    <w:rsid w:val="004004ED"/>
    <w:rsid w:val="00400FEF"/>
    <w:rsid w:val="0040279C"/>
    <w:rsid w:val="00410308"/>
    <w:rsid w:val="0041260E"/>
    <w:rsid w:val="00414020"/>
    <w:rsid w:val="00427882"/>
    <w:rsid w:val="00435BE7"/>
    <w:rsid w:val="00445700"/>
    <w:rsid w:val="00464558"/>
    <w:rsid w:val="00465D80"/>
    <w:rsid w:val="00465EE6"/>
    <w:rsid w:val="004744A4"/>
    <w:rsid w:val="00476C56"/>
    <w:rsid w:val="00490AED"/>
    <w:rsid w:val="004959E9"/>
    <w:rsid w:val="00495D1A"/>
    <w:rsid w:val="004A288E"/>
    <w:rsid w:val="004A2911"/>
    <w:rsid w:val="004A29EF"/>
    <w:rsid w:val="004A5256"/>
    <w:rsid w:val="004A59D0"/>
    <w:rsid w:val="004A70A5"/>
    <w:rsid w:val="004B4A0F"/>
    <w:rsid w:val="004C4F5D"/>
    <w:rsid w:val="004D2986"/>
    <w:rsid w:val="004D75DD"/>
    <w:rsid w:val="004E0674"/>
    <w:rsid w:val="004E1ADF"/>
    <w:rsid w:val="004E48B5"/>
    <w:rsid w:val="004E5112"/>
    <w:rsid w:val="004F0C87"/>
    <w:rsid w:val="004F1B90"/>
    <w:rsid w:val="004F57E5"/>
    <w:rsid w:val="004F5A6B"/>
    <w:rsid w:val="004F61D3"/>
    <w:rsid w:val="00500A80"/>
    <w:rsid w:val="00501AE5"/>
    <w:rsid w:val="005031E4"/>
    <w:rsid w:val="00504412"/>
    <w:rsid w:val="00516B87"/>
    <w:rsid w:val="005236F9"/>
    <w:rsid w:val="00526947"/>
    <w:rsid w:val="00530202"/>
    <w:rsid w:val="00536ABF"/>
    <w:rsid w:val="005410C3"/>
    <w:rsid w:val="005427A3"/>
    <w:rsid w:val="0054305B"/>
    <w:rsid w:val="00554CD5"/>
    <w:rsid w:val="00556FA9"/>
    <w:rsid w:val="005612C8"/>
    <w:rsid w:val="00577CD5"/>
    <w:rsid w:val="005810D1"/>
    <w:rsid w:val="00592830"/>
    <w:rsid w:val="005A69A8"/>
    <w:rsid w:val="005B2F50"/>
    <w:rsid w:val="005B5A58"/>
    <w:rsid w:val="005B79EA"/>
    <w:rsid w:val="005D5076"/>
    <w:rsid w:val="005E02C6"/>
    <w:rsid w:val="005E27AC"/>
    <w:rsid w:val="005E27BD"/>
    <w:rsid w:val="00602B07"/>
    <w:rsid w:val="0060365B"/>
    <w:rsid w:val="00603FD7"/>
    <w:rsid w:val="00607B17"/>
    <w:rsid w:val="0062023B"/>
    <w:rsid w:val="00620639"/>
    <w:rsid w:val="0062380E"/>
    <w:rsid w:val="0063287F"/>
    <w:rsid w:val="00634467"/>
    <w:rsid w:val="006347C7"/>
    <w:rsid w:val="00670550"/>
    <w:rsid w:val="006736A3"/>
    <w:rsid w:val="0067403C"/>
    <w:rsid w:val="00676438"/>
    <w:rsid w:val="00676B30"/>
    <w:rsid w:val="00695250"/>
    <w:rsid w:val="006A5E9B"/>
    <w:rsid w:val="006A60F4"/>
    <w:rsid w:val="006B05EF"/>
    <w:rsid w:val="006B4A2A"/>
    <w:rsid w:val="006D2A38"/>
    <w:rsid w:val="006D72D0"/>
    <w:rsid w:val="006D7C9A"/>
    <w:rsid w:val="006E32C3"/>
    <w:rsid w:val="006F2E18"/>
    <w:rsid w:val="006F45A7"/>
    <w:rsid w:val="006F4917"/>
    <w:rsid w:val="00715E6E"/>
    <w:rsid w:val="007301B5"/>
    <w:rsid w:val="0073645B"/>
    <w:rsid w:val="007376F1"/>
    <w:rsid w:val="00742115"/>
    <w:rsid w:val="0074388E"/>
    <w:rsid w:val="00744819"/>
    <w:rsid w:val="00745A05"/>
    <w:rsid w:val="007467BD"/>
    <w:rsid w:val="00754BE1"/>
    <w:rsid w:val="00757B9E"/>
    <w:rsid w:val="00761FC4"/>
    <w:rsid w:val="00767B4D"/>
    <w:rsid w:val="00776C1B"/>
    <w:rsid w:val="00777C99"/>
    <w:rsid w:val="00785BED"/>
    <w:rsid w:val="00790071"/>
    <w:rsid w:val="00790D03"/>
    <w:rsid w:val="00790E2A"/>
    <w:rsid w:val="00792343"/>
    <w:rsid w:val="007934C0"/>
    <w:rsid w:val="00795857"/>
    <w:rsid w:val="007A20CD"/>
    <w:rsid w:val="007A3ACB"/>
    <w:rsid w:val="007A5787"/>
    <w:rsid w:val="007B2B33"/>
    <w:rsid w:val="007B3A13"/>
    <w:rsid w:val="007B4D15"/>
    <w:rsid w:val="007B5D8E"/>
    <w:rsid w:val="007C7017"/>
    <w:rsid w:val="007D5832"/>
    <w:rsid w:val="007E02D3"/>
    <w:rsid w:val="007E5AB4"/>
    <w:rsid w:val="007E6460"/>
    <w:rsid w:val="007F6BCB"/>
    <w:rsid w:val="007F72AE"/>
    <w:rsid w:val="007F746F"/>
    <w:rsid w:val="008005A1"/>
    <w:rsid w:val="008056C9"/>
    <w:rsid w:val="008067C4"/>
    <w:rsid w:val="00812F50"/>
    <w:rsid w:val="008331B2"/>
    <w:rsid w:val="0083344D"/>
    <w:rsid w:val="0083640D"/>
    <w:rsid w:val="00840C31"/>
    <w:rsid w:val="0084682F"/>
    <w:rsid w:val="00847789"/>
    <w:rsid w:val="0085263B"/>
    <w:rsid w:val="0086322B"/>
    <w:rsid w:val="00876A66"/>
    <w:rsid w:val="008A341F"/>
    <w:rsid w:val="008A3DE1"/>
    <w:rsid w:val="008B1BC3"/>
    <w:rsid w:val="008B3929"/>
    <w:rsid w:val="008C3620"/>
    <w:rsid w:val="008D2B20"/>
    <w:rsid w:val="008D6D0B"/>
    <w:rsid w:val="008F2D1A"/>
    <w:rsid w:val="008F6975"/>
    <w:rsid w:val="009015AC"/>
    <w:rsid w:val="00903EBE"/>
    <w:rsid w:val="0090446A"/>
    <w:rsid w:val="0091324E"/>
    <w:rsid w:val="00923586"/>
    <w:rsid w:val="009265F9"/>
    <w:rsid w:val="00927179"/>
    <w:rsid w:val="00930264"/>
    <w:rsid w:val="00932183"/>
    <w:rsid w:val="0093746B"/>
    <w:rsid w:val="009439A7"/>
    <w:rsid w:val="00950D2D"/>
    <w:rsid w:val="00954CDE"/>
    <w:rsid w:val="00955161"/>
    <w:rsid w:val="009555FF"/>
    <w:rsid w:val="00957BB0"/>
    <w:rsid w:val="009607B6"/>
    <w:rsid w:val="009636DB"/>
    <w:rsid w:val="00963AB0"/>
    <w:rsid w:val="00967090"/>
    <w:rsid w:val="00971515"/>
    <w:rsid w:val="00971D02"/>
    <w:rsid w:val="0097441A"/>
    <w:rsid w:val="0097768D"/>
    <w:rsid w:val="0098013D"/>
    <w:rsid w:val="00981CD5"/>
    <w:rsid w:val="009857C4"/>
    <w:rsid w:val="009B1A1C"/>
    <w:rsid w:val="009B2E10"/>
    <w:rsid w:val="009B3C07"/>
    <w:rsid w:val="009B4626"/>
    <w:rsid w:val="009C18D9"/>
    <w:rsid w:val="009D416B"/>
    <w:rsid w:val="009D66AC"/>
    <w:rsid w:val="009D7347"/>
    <w:rsid w:val="009E22D8"/>
    <w:rsid w:val="009E315A"/>
    <w:rsid w:val="009E7FF8"/>
    <w:rsid w:val="009F1F54"/>
    <w:rsid w:val="009F4A2B"/>
    <w:rsid w:val="009F4A57"/>
    <w:rsid w:val="009F4A59"/>
    <w:rsid w:val="00A043F9"/>
    <w:rsid w:val="00A20978"/>
    <w:rsid w:val="00A271FC"/>
    <w:rsid w:val="00A301BB"/>
    <w:rsid w:val="00A4254A"/>
    <w:rsid w:val="00A476E9"/>
    <w:rsid w:val="00A52257"/>
    <w:rsid w:val="00A5715F"/>
    <w:rsid w:val="00A63125"/>
    <w:rsid w:val="00A6768D"/>
    <w:rsid w:val="00A7502F"/>
    <w:rsid w:val="00A82EF7"/>
    <w:rsid w:val="00A95334"/>
    <w:rsid w:val="00AA1D66"/>
    <w:rsid w:val="00AB0508"/>
    <w:rsid w:val="00AB1258"/>
    <w:rsid w:val="00AB3285"/>
    <w:rsid w:val="00AC03FD"/>
    <w:rsid w:val="00AC2485"/>
    <w:rsid w:val="00AC3FEF"/>
    <w:rsid w:val="00AD5E50"/>
    <w:rsid w:val="00AE5228"/>
    <w:rsid w:val="00AF200F"/>
    <w:rsid w:val="00AF3EB1"/>
    <w:rsid w:val="00AF4CF1"/>
    <w:rsid w:val="00B00D95"/>
    <w:rsid w:val="00B04057"/>
    <w:rsid w:val="00B054F2"/>
    <w:rsid w:val="00B1058D"/>
    <w:rsid w:val="00B11161"/>
    <w:rsid w:val="00B11ED3"/>
    <w:rsid w:val="00B167FE"/>
    <w:rsid w:val="00B21400"/>
    <w:rsid w:val="00B21449"/>
    <w:rsid w:val="00B252E1"/>
    <w:rsid w:val="00B259ED"/>
    <w:rsid w:val="00B30A11"/>
    <w:rsid w:val="00B30AA4"/>
    <w:rsid w:val="00B33DF2"/>
    <w:rsid w:val="00B36FBB"/>
    <w:rsid w:val="00B520E2"/>
    <w:rsid w:val="00B57999"/>
    <w:rsid w:val="00B60533"/>
    <w:rsid w:val="00B61B90"/>
    <w:rsid w:val="00B62B09"/>
    <w:rsid w:val="00B63E1B"/>
    <w:rsid w:val="00B76F35"/>
    <w:rsid w:val="00B818A4"/>
    <w:rsid w:val="00B829F6"/>
    <w:rsid w:val="00BA5366"/>
    <w:rsid w:val="00BB5FB2"/>
    <w:rsid w:val="00BB6F96"/>
    <w:rsid w:val="00BC0809"/>
    <w:rsid w:val="00BC5A1E"/>
    <w:rsid w:val="00BC7A0E"/>
    <w:rsid w:val="00BD74B0"/>
    <w:rsid w:val="00BE412C"/>
    <w:rsid w:val="00BE44B9"/>
    <w:rsid w:val="00BE5521"/>
    <w:rsid w:val="00BE6E73"/>
    <w:rsid w:val="00BE77D5"/>
    <w:rsid w:val="00BF3D8A"/>
    <w:rsid w:val="00BF40BF"/>
    <w:rsid w:val="00BF7CB0"/>
    <w:rsid w:val="00C05526"/>
    <w:rsid w:val="00C106FB"/>
    <w:rsid w:val="00C20696"/>
    <w:rsid w:val="00C23457"/>
    <w:rsid w:val="00C23E14"/>
    <w:rsid w:val="00C26B4A"/>
    <w:rsid w:val="00C27927"/>
    <w:rsid w:val="00C30BBD"/>
    <w:rsid w:val="00C5252A"/>
    <w:rsid w:val="00C625AC"/>
    <w:rsid w:val="00C62FF9"/>
    <w:rsid w:val="00C63C3D"/>
    <w:rsid w:val="00C70BB5"/>
    <w:rsid w:val="00C847C7"/>
    <w:rsid w:val="00C856B6"/>
    <w:rsid w:val="00C96CAA"/>
    <w:rsid w:val="00CA0B0D"/>
    <w:rsid w:val="00CA7F40"/>
    <w:rsid w:val="00CB62D2"/>
    <w:rsid w:val="00CB7710"/>
    <w:rsid w:val="00CC4772"/>
    <w:rsid w:val="00CC478C"/>
    <w:rsid w:val="00CD4900"/>
    <w:rsid w:val="00CE1B0F"/>
    <w:rsid w:val="00CF3907"/>
    <w:rsid w:val="00CF608A"/>
    <w:rsid w:val="00D000B2"/>
    <w:rsid w:val="00D0231C"/>
    <w:rsid w:val="00D110B7"/>
    <w:rsid w:val="00D1340A"/>
    <w:rsid w:val="00D21B64"/>
    <w:rsid w:val="00D246B5"/>
    <w:rsid w:val="00D406FF"/>
    <w:rsid w:val="00D44E20"/>
    <w:rsid w:val="00D474C9"/>
    <w:rsid w:val="00D57235"/>
    <w:rsid w:val="00D572EA"/>
    <w:rsid w:val="00D63267"/>
    <w:rsid w:val="00D70652"/>
    <w:rsid w:val="00D74328"/>
    <w:rsid w:val="00D8424B"/>
    <w:rsid w:val="00D9391B"/>
    <w:rsid w:val="00D96FB3"/>
    <w:rsid w:val="00DA4889"/>
    <w:rsid w:val="00DA4DCF"/>
    <w:rsid w:val="00DA70FB"/>
    <w:rsid w:val="00DB2644"/>
    <w:rsid w:val="00DB324C"/>
    <w:rsid w:val="00DB3AC3"/>
    <w:rsid w:val="00DB445F"/>
    <w:rsid w:val="00DC1E39"/>
    <w:rsid w:val="00DC3520"/>
    <w:rsid w:val="00DD1B59"/>
    <w:rsid w:val="00DE762D"/>
    <w:rsid w:val="00DF0A33"/>
    <w:rsid w:val="00DF1252"/>
    <w:rsid w:val="00DF38E0"/>
    <w:rsid w:val="00E16DB1"/>
    <w:rsid w:val="00E2676F"/>
    <w:rsid w:val="00E4106C"/>
    <w:rsid w:val="00E44F28"/>
    <w:rsid w:val="00E46BC1"/>
    <w:rsid w:val="00E50E03"/>
    <w:rsid w:val="00E55117"/>
    <w:rsid w:val="00E6131B"/>
    <w:rsid w:val="00E64262"/>
    <w:rsid w:val="00E7258B"/>
    <w:rsid w:val="00E7560F"/>
    <w:rsid w:val="00E76A68"/>
    <w:rsid w:val="00E77BF3"/>
    <w:rsid w:val="00E824A0"/>
    <w:rsid w:val="00E826E7"/>
    <w:rsid w:val="00E87CCB"/>
    <w:rsid w:val="00E9106B"/>
    <w:rsid w:val="00E93F34"/>
    <w:rsid w:val="00E9571C"/>
    <w:rsid w:val="00EA109D"/>
    <w:rsid w:val="00EA6AC0"/>
    <w:rsid w:val="00EB10F1"/>
    <w:rsid w:val="00EB4D5F"/>
    <w:rsid w:val="00EB7BCF"/>
    <w:rsid w:val="00EC224E"/>
    <w:rsid w:val="00EC24E9"/>
    <w:rsid w:val="00EC2587"/>
    <w:rsid w:val="00EC7293"/>
    <w:rsid w:val="00ED58D7"/>
    <w:rsid w:val="00ED699E"/>
    <w:rsid w:val="00ED6E36"/>
    <w:rsid w:val="00EE3D6B"/>
    <w:rsid w:val="00EE6D6D"/>
    <w:rsid w:val="00EF2EDE"/>
    <w:rsid w:val="00EF4296"/>
    <w:rsid w:val="00EF74A8"/>
    <w:rsid w:val="00F066F1"/>
    <w:rsid w:val="00F11144"/>
    <w:rsid w:val="00F12C41"/>
    <w:rsid w:val="00F22E42"/>
    <w:rsid w:val="00F24CA8"/>
    <w:rsid w:val="00F30A09"/>
    <w:rsid w:val="00F3118C"/>
    <w:rsid w:val="00F347D8"/>
    <w:rsid w:val="00F4398E"/>
    <w:rsid w:val="00F477EA"/>
    <w:rsid w:val="00F505AC"/>
    <w:rsid w:val="00F520C9"/>
    <w:rsid w:val="00F52D38"/>
    <w:rsid w:val="00F5467B"/>
    <w:rsid w:val="00F54F1B"/>
    <w:rsid w:val="00F65136"/>
    <w:rsid w:val="00F75510"/>
    <w:rsid w:val="00F84119"/>
    <w:rsid w:val="00F85064"/>
    <w:rsid w:val="00F972F9"/>
    <w:rsid w:val="00FA7516"/>
    <w:rsid w:val="00FC59C9"/>
    <w:rsid w:val="00FC69F2"/>
    <w:rsid w:val="00FD3E68"/>
    <w:rsid w:val="00FE0DC0"/>
    <w:rsid w:val="00FE1538"/>
    <w:rsid w:val="00FE4B30"/>
    <w:rsid w:val="00FE5AA4"/>
    <w:rsid w:val="00FF06D9"/>
    <w:rsid w:val="00FF0EE1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  <w15:chartTrackingRefBased/>
  <w15:docId w15:val="{80D52E2F-2207-4FD1-8B51-4F5B00F5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eGrid">
    <w:name w:val="Table Grid"/>
    <w:basedOn w:val="Table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6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3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C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DD1B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1B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1B5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21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64"/>
  </w:style>
  <w:style w:type="character" w:styleId="FollowedHyperlink">
    <w:name w:val="FollowedHyperlink"/>
    <w:basedOn w:val="DefaultParagraphFont"/>
    <w:uiPriority w:val="99"/>
    <w:semiHidden/>
    <w:unhideWhenUsed/>
    <w:rsid w:val="00E4106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60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ec.mx/es/diferencia-tec/numeralia/datos-y-cifras" TargetMode="External"/><Relationship Id="rId1" Type="http://schemas.openxmlformats.org/officeDocument/2006/relationships/hyperlink" Target="https://research.ftserussell.com/products/downloads/FTSE-Country-Classification-Update_latest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THE%20BRICS%20&amp;%20Emerging%20Economies%20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THE%20BRICS%20&amp;%20Emerging%20Economies%20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THE%20BRICS%20&amp;%20Emerging%20Economies%20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B90-48F3-B2DF-671598E6B4D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B90-48F3-B2DF-671598E6B4D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B90-48F3-B2DF-671598E6B4D2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B90-48F3-B2DF-671598E6B4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País!$A$2:$A$6</c:f>
              <c:strCache>
                <c:ptCount val="5"/>
                <c:pt idx="0">
                  <c:v>Brasil</c:v>
                </c:pt>
                <c:pt idx="1">
                  <c:v>Chile</c:v>
                </c:pt>
                <c:pt idx="2">
                  <c:v>México</c:v>
                </c:pt>
                <c:pt idx="3">
                  <c:v>Colombia</c:v>
                </c:pt>
                <c:pt idx="4">
                  <c:v>Perú</c:v>
                </c:pt>
              </c:strCache>
            </c:strRef>
          </c:cat>
          <c:val>
            <c:numRef>
              <c:f>País!$B$2:$B$6</c:f>
              <c:numCache>
                <c:formatCode>General</c:formatCode>
                <c:ptCount val="5"/>
                <c:pt idx="0">
                  <c:v>59</c:v>
                </c:pt>
                <c:pt idx="1">
                  <c:v>20</c:v>
                </c:pt>
                <c:pt idx="2">
                  <c:v>17</c:v>
                </c:pt>
                <c:pt idx="3">
                  <c:v>10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B90-48F3-B2DF-671598E6B4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60817104"/>
        <c:axId val="1960804208"/>
      </c:barChart>
      <c:catAx>
        <c:axId val="196081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0804208"/>
        <c:crosses val="autoZero"/>
        <c:auto val="1"/>
        <c:lblAlgn val="ctr"/>
        <c:lblOffset val="100"/>
        <c:noMultiLvlLbl val="0"/>
      </c:catAx>
      <c:valAx>
        <c:axId val="196080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0817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Tablas!$A$28</c:f>
              <c:strCache>
                <c:ptCount val="1"/>
                <c:pt idx="0">
                  <c:v>UNAM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3.5629506378258541E-2"/>
                  <c:y val="2.28332642630197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0-128B-4AB8-9A07-12CBCE126007}"/>
                </c:ext>
              </c:extLst>
            </c:dLbl>
            <c:dLbl>
              <c:idx val="2"/>
              <c:layout>
                <c:manualLayout>
                  <c:x val="-5.178036605657238E-2"/>
                  <c:y val="2.283326426301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8B-4AB8-9A07-12CBCE126007}"/>
                </c:ext>
              </c:extLst>
            </c:dLbl>
            <c:dLbl>
              <c:idx val="4"/>
              <c:layout>
                <c:manualLayout>
                  <c:x val="-4.7343316694398223E-2"/>
                  <c:y val="1.9324492333195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8B-4AB8-9A07-12CBCE1260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Tablas!$F$27:$J$27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Tablas!$F$28:$J$28</c:f>
              <c:numCache>
                <c:formatCode>General</c:formatCode>
                <c:ptCount val="5"/>
                <c:pt idx="0">
                  <c:v>68</c:v>
                </c:pt>
                <c:pt idx="1">
                  <c:v>93</c:v>
                </c:pt>
                <c:pt idx="2">
                  <c:v>120</c:v>
                </c:pt>
                <c:pt idx="3">
                  <c:v>129</c:v>
                </c:pt>
                <c:pt idx="4">
                  <c:v>165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28B-4AB8-9A07-12CBCE126007}"/>
            </c:ext>
          </c:extLst>
        </c:ser>
        <c:ser>
          <c:idx val="1"/>
          <c:order val="1"/>
          <c:tx>
            <c:strRef>
              <c:f>Tablas!$A$29</c:f>
              <c:strCache>
                <c:ptCount val="1"/>
                <c:pt idx="0">
                  <c:v>ITESM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1192457016084304E-2"/>
                  <c:y val="2.98508081226688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8B-4AB8-9A07-12CBCE126007}"/>
                </c:ext>
              </c:extLst>
            </c:dLbl>
            <c:dLbl>
              <c:idx val="1"/>
              <c:layout>
                <c:manualLayout>
                  <c:x val="-2.675540765391015E-2"/>
                  <c:y val="-2.62895427545241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8B-4AB8-9A07-12CBCE126007}"/>
                </c:ext>
              </c:extLst>
            </c:dLbl>
            <c:dLbl>
              <c:idx val="2"/>
              <c:layout>
                <c:manualLayout>
                  <c:x val="-3.4032168607875841E-2"/>
                  <c:y val="-2.979831468434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28B-4AB8-9A07-12CBCE126007}"/>
                </c:ext>
              </c:extLst>
            </c:dLbl>
            <c:dLbl>
              <c:idx val="3"/>
              <c:layout>
                <c:manualLayout>
                  <c:x val="-3.625069328896284E-2"/>
                  <c:y val="1.9324492333195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28B-4AB8-9A07-12CBCE1260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Tablas!$F$27:$J$27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Tablas!$F$29:$J$29</c:f>
              <c:numCache>
                <c:formatCode>General</c:formatCode>
                <c:ptCount val="5"/>
                <c:pt idx="0">
                  <c:v>68</c:v>
                </c:pt>
                <c:pt idx="1">
                  <c:v>90</c:v>
                </c:pt>
                <c:pt idx="2">
                  <c:v>115</c:v>
                </c:pt>
                <c:pt idx="3">
                  <c:v>131</c:v>
                </c:pt>
                <c:pt idx="4">
                  <c:v>144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128B-4AB8-9A07-12CBCE12600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036990272"/>
        <c:axId val="2036993184"/>
      </c:lineChart>
      <c:catAx>
        <c:axId val="203699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36993184"/>
        <c:crosses val="max"/>
        <c:auto val="1"/>
        <c:lblAlgn val="ctr"/>
        <c:lblOffset val="100"/>
        <c:noMultiLvlLbl val="0"/>
      </c:catAx>
      <c:valAx>
        <c:axId val="2036993184"/>
        <c:scaling>
          <c:orientation val="maxMin"/>
          <c:min val="40"/>
        </c:scaling>
        <c:delete val="1"/>
        <c:axPos val="l"/>
        <c:numFmt formatCode="General" sourceLinked="1"/>
        <c:majorTickMark val="none"/>
        <c:minorTickMark val="none"/>
        <c:tickLblPos val="nextTo"/>
        <c:crossAx val="2036990272"/>
        <c:crosses val="autoZero"/>
        <c:crossBetween val="between"/>
        <c:majorUnit val="3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Estudiantes!$A$13</c:f>
              <c:strCache>
                <c:ptCount val="1"/>
                <c:pt idx="0">
                  <c:v>UNAM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Estudiantes!$B$12:$F$12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Estudiantes!$B$13:$F$13</c:f>
              <c:numCache>
                <c:formatCode>#,##0</c:formatCode>
                <c:ptCount val="5"/>
                <c:pt idx="0">
                  <c:v>145024</c:v>
                </c:pt>
                <c:pt idx="1">
                  <c:v>162018</c:v>
                </c:pt>
                <c:pt idx="2">
                  <c:v>161718</c:v>
                </c:pt>
                <c:pt idx="3">
                  <c:v>166368</c:v>
                </c:pt>
                <c:pt idx="4">
                  <c:v>167254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56-4063-9A9C-05531D29B118}"/>
            </c:ext>
          </c:extLst>
        </c:ser>
        <c:ser>
          <c:idx val="1"/>
          <c:order val="1"/>
          <c:tx>
            <c:strRef>
              <c:f>Estudiantes!$A$14</c:f>
              <c:strCache>
                <c:ptCount val="1"/>
                <c:pt idx="0">
                  <c:v>ITESM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Estudiantes!$B$12:$F$12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Estudiantes!$B$14:$F$14</c:f>
              <c:numCache>
                <c:formatCode>#,##0</c:formatCode>
                <c:ptCount val="5"/>
                <c:pt idx="0">
                  <c:v>14003</c:v>
                </c:pt>
                <c:pt idx="1">
                  <c:v>14215</c:v>
                </c:pt>
                <c:pt idx="2">
                  <c:v>14343</c:v>
                </c:pt>
                <c:pt idx="3">
                  <c:v>14683</c:v>
                </c:pt>
                <c:pt idx="4">
                  <c:v>15897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56-4063-9A9C-05531D29B118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95339152"/>
        <c:axId val="95341648"/>
      </c:lineChart>
      <c:catAx>
        <c:axId val="9533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5341648"/>
        <c:crosses val="autoZero"/>
        <c:auto val="1"/>
        <c:lblAlgn val="ctr"/>
        <c:lblOffset val="100"/>
        <c:noMultiLvlLbl val="0"/>
      </c:catAx>
      <c:valAx>
        <c:axId val="9534164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95339152"/>
        <c:crosses val="autoZero"/>
        <c:crossBetween val="between"/>
        <c:majorUnit val="4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8BBC-96BE-42EF-B09E-FB097214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3985</Words>
  <Characters>21920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revisor</cp:lastModifiedBy>
  <cp:revision>3</cp:revision>
  <cp:lastPrinted>2022-03-15T17:56:00Z</cp:lastPrinted>
  <dcterms:created xsi:type="dcterms:W3CDTF">2022-03-15T23:00:00Z</dcterms:created>
  <dcterms:modified xsi:type="dcterms:W3CDTF">2022-03-16T00:50:00Z</dcterms:modified>
</cp:coreProperties>
</file>