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EB3" w14:textId="77777777" w:rsidR="001511A2" w:rsidRPr="00D045D7" w:rsidRDefault="001511A2" w:rsidP="00365884">
      <w:pPr>
        <w:spacing w:after="0" w:line="240" w:lineRule="auto"/>
        <w:jc w:val="center"/>
        <w:rPr>
          <w:b/>
          <w:szCs w:val="21"/>
        </w:rPr>
      </w:pPr>
      <w:bookmarkStart w:id="0" w:name="_Hlk66210034"/>
      <w:r w:rsidRPr="00D045D7">
        <w:rPr>
          <w:b/>
          <w:szCs w:val="21"/>
        </w:rPr>
        <w:t>Dirección General de Evaluación Institucional</w:t>
      </w:r>
    </w:p>
    <w:p w14:paraId="6A06AB9A" w14:textId="5776353B" w:rsidR="001511A2" w:rsidRPr="00D045D7" w:rsidRDefault="000622FE" w:rsidP="00365884">
      <w:pPr>
        <w:spacing w:after="0" w:line="240" w:lineRule="auto"/>
        <w:jc w:val="center"/>
        <w:rPr>
          <w:b/>
          <w:szCs w:val="21"/>
        </w:rPr>
      </w:pPr>
      <w:r w:rsidRPr="00D045D7">
        <w:rPr>
          <w:b/>
          <w:szCs w:val="21"/>
        </w:rPr>
        <w:t>Ciudad Universitaria, CDMX, 2</w:t>
      </w:r>
      <w:r w:rsidR="008C3094" w:rsidRPr="00D045D7">
        <w:rPr>
          <w:b/>
          <w:szCs w:val="21"/>
        </w:rPr>
        <w:t>9</w:t>
      </w:r>
      <w:r w:rsidR="007934C0" w:rsidRPr="00D045D7">
        <w:rPr>
          <w:b/>
          <w:szCs w:val="21"/>
        </w:rPr>
        <w:t xml:space="preserve"> de </w:t>
      </w:r>
      <w:r w:rsidRPr="00D045D7">
        <w:rPr>
          <w:b/>
          <w:szCs w:val="21"/>
        </w:rPr>
        <w:t xml:space="preserve">marzo </w:t>
      </w:r>
      <w:r w:rsidR="007934C0" w:rsidRPr="00D045D7">
        <w:rPr>
          <w:b/>
          <w:szCs w:val="21"/>
        </w:rPr>
        <w:t>de 202</w:t>
      </w:r>
      <w:r w:rsidRPr="00D045D7">
        <w:rPr>
          <w:b/>
          <w:szCs w:val="21"/>
        </w:rPr>
        <w:t>2</w:t>
      </w:r>
    </w:p>
    <w:p w14:paraId="1CF22417" w14:textId="77777777" w:rsidR="001511A2" w:rsidRPr="00D045D7" w:rsidRDefault="001511A2" w:rsidP="00365884">
      <w:pPr>
        <w:spacing w:after="0" w:line="240" w:lineRule="auto"/>
        <w:jc w:val="center"/>
        <w:rPr>
          <w:b/>
          <w:sz w:val="21"/>
          <w:szCs w:val="20"/>
        </w:rPr>
      </w:pPr>
    </w:p>
    <w:p w14:paraId="105F4479" w14:textId="3F53262D" w:rsidR="001511A2" w:rsidRPr="00D045D7" w:rsidRDefault="00281E97" w:rsidP="00365884">
      <w:pPr>
        <w:spacing w:after="0" w:line="240" w:lineRule="auto"/>
        <w:jc w:val="center"/>
        <w:rPr>
          <w:b/>
        </w:rPr>
      </w:pPr>
      <w:r w:rsidRPr="00D045D7">
        <w:rPr>
          <w:b/>
        </w:rPr>
        <w:t xml:space="preserve">UNAM EN EL RANKING </w:t>
      </w:r>
      <w:r w:rsidRPr="00D045D7">
        <w:rPr>
          <w:b/>
          <w:i/>
          <w:iCs/>
        </w:rPr>
        <w:t>REFORMA</w:t>
      </w:r>
      <w:r w:rsidRPr="00D045D7">
        <w:rPr>
          <w:b/>
        </w:rPr>
        <w:t xml:space="preserve"> “LAS MEJORES UNIVERSIDADES” 2022</w:t>
      </w:r>
    </w:p>
    <w:p w14:paraId="45551779" w14:textId="77777777" w:rsidR="00EB5401" w:rsidRDefault="00EB5401" w:rsidP="002577CF">
      <w:pPr>
        <w:spacing w:after="0" w:line="240" w:lineRule="auto"/>
        <w:jc w:val="center"/>
        <w:rPr>
          <w:b/>
          <w:bCs/>
        </w:rPr>
      </w:pPr>
    </w:p>
    <w:p w14:paraId="079BE559" w14:textId="00367C8F" w:rsidR="002577CF" w:rsidRPr="00D045D7" w:rsidRDefault="002577CF" w:rsidP="002577CF">
      <w:pPr>
        <w:spacing w:after="0" w:line="240" w:lineRule="auto"/>
        <w:jc w:val="center"/>
        <w:rPr>
          <w:b/>
          <w:bCs/>
        </w:rPr>
      </w:pPr>
      <w:r w:rsidRPr="00D045D7">
        <w:rPr>
          <w:b/>
          <w:bCs/>
        </w:rPr>
        <w:t>Resumen</w:t>
      </w:r>
    </w:p>
    <w:p w14:paraId="05F10BFA" w14:textId="0717DAE7" w:rsidR="00B520C9" w:rsidRPr="00D045D7" w:rsidRDefault="00000C15" w:rsidP="009E433A">
      <w:pPr>
        <w:spacing w:after="0" w:line="240" w:lineRule="auto"/>
        <w:jc w:val="both"/>
        <w:rPr>
          <w:szCs w:val="21"/>
        </w:rPr>
      </w:pPr>
      <w:r w:rsidRPr="00D045D7">
        <w:rPr>
          <w:bCs/>
          <w:szCs w:val="21"/>
        </w:rPr>
        <w:t xml:space="preserve">Como cada año, el periódico </w:t>
      </w:r>
      <w:r w:rsidRPr="00D045D7">
        <w:rPr>
          <w:bCs/>
          <w:i/>
          <w:szCs w:val="21"/>
        </w:rPr>
        <w:t>Reforma</w:t>
      </w:r>
      <w:r w:rsidRPr="00D045D7">
        <w:rPr>
          <w:bCs/>
          <w:szCs w:val="21"/>
        </w:rPr>
        <w:t xml:space="preserve"> public</w:t>
      </w:r>
      <w:r w:rsidR="00B520C9" w:rsidRPr="00D045D7">
        <w:rPr>
          <w:bCs/>
          <w:szCs w:val="21"/>
        </w:rPr>
        <w:t>ó</w:t>
      </w:r>
      <w:r w:rsidRPr="00D045D7">
        <w:rPr>
          <w:bCs/>
          <w:szCs w:val="21"/>
        </w:rPr>
        <w:t xml:space="preserve"> en marzo los resultados del ranking “</w:t>
      </w:r>
      <w:r w:rsidRPr="00D045D7">
        <w:rPr>
          <w:b/>
          <w:bCs/>
          <w:szCs w:val="21"/>
        </w:rPr>
        <w:t>Las Mejores Universidades”</w:t>
      </w:r>
      <w:r w:rsidR="00B520C9" w:rsidRPr="00D045D7">
        <w:rPr>
          <w:b/>
          <w:bCs/>
          <w:szCs w:val="21"/>
        </w:rPr>
        <w:t xml:space="preserve">, </w:t>
      </w:r>
      <w:r w:rsidR="00B520C9" w:rsidRPr="00D045D7">
        <w:rPr>
          <w:szCs w:val="21"/>
        </w:rPr>
        <w:t xml:space="preserve">en </w:t>
      </w:r>
      <w:r w:rsidR="0039063C" w:rsidRPr="00D045D7">
        <w:rPr>
          <w:szCs w:val="21"/>
        </w:rPr>
        <w:t xml:space="preserve">el </w:t>
      </w:r>
      <w:r w:rsidR="00B520C9" w:rsidRPr="00D045D7">
        <w:rPr>
          <w:szCs w:val="21"/>
        </w:rPr>
        <w:t xml:space="preserve">cual </w:t>
      </w:r>
      <w:r w:rsidR="00B520C9" w:rsidRPr="00D045D7">
        <w:rPr>
          <w:b/>
          <w:bCs/>
          <w:szCs w:val="21"/>
        </w:rPr>
        <w:t xml:space="preserve">la UNAM fue clasificada en 14 de las 17 licenciaturas </w:t>
      </w:r>
      <w:r w:rsidR="00B520C9" w:rsidRPr="00D045D7">
        <w:rPr>
          <w:szCs w:val="21"/>
        </w:rPr>
        <w:t xml:space="preserve">consideradas por el </w:t>
      </w:r>
      <w:r w:rsidR="00366727" w:rsidRPr="00D045D7">
        <w:rPr>
          <w:szCs w:val="21"/>
        </w:rPr>
        <w:t>ranking</w:t>
      </w:r>
      <w:r w:rsidRPr="00D045D7">
        <w:rPr>
          <w:b/>
          <w:bCs/>
          <w:szCs w:val="21"/>
        </w:rPr>
        <w:t xml:space="preserve">. </w:t>
      </w:r>
      <w:r w:rsidR="00B520C9" w:rsidRPr="00D045D7">
        <w:rPr>
          <w:b/>
          <w:bCs/>
          <w:szCs w:val="21"/>
        </w:rPr>
        <w:t>En general, la universidad ocupó l</w:t>
      </w:r>
      <w:r w:rsidR="00366727" w:rsidRPr="00D045D7">
        <w:rPr>
          <w:b/>
          <w:bCs/>
          <w:szCs w:val="21"/>
        </w:rPr>
        <w:t>a</w:t>
      </w:r>
      <w:r w:rsidR="00B520C9" w:rsidRPr="00D045D7">
        <w:rPr>
          <w:b/>
          <w:bCs/>
          <w:szCs w:val="21"/>
        </w:rPr>
        <w:t>s siguientes p</w:t>
      </w:r>
      <w:r w:rsidR="00366727" w:rsidRPr="00D045D7">
        <w:rPr>
          <w:b/>
          <w:bCs/>
          <w:szCs w:val="21"/>
        </w:rPr>
        <w:t>osiciones</w:t>
      </w:r>
      <w:r w:rsidR="00B520C9" w:rsidRPr="00D045D7">
        <w:rPr>
          <w:b/>
          <w:bCs/>
          <w:szCs w:val="21"/>
        </w:rPr>
        <w:t xml:space="preserve">: </w:t>
      </w:r>
      <w:r w:rsidR="00912A06" w:rsidRPr="00D045D7">
        <w:rPr>
          <w:b/>
          <w:bCs/>
          <w:szCs w:val="21"/>
        </w:rPr>
        <w:t>primer</w:t>
      </w:r>
      <w:r w:rsidR="00B520C9" w:rsidRPr="00D045D7">
        <w:rPr>
          <w:b/>
          <w:bCs/>
          <w:szCs w:val="21"/>
        </w:rPr>
        <w:t xml:space="preserve"> lugar en medicina, psicología y arquitectura; </w:t>
      </w:r>
      <w:r w:rsidR="0039063C" w:rsidRPr="00D045D7">
        <w:rPr>
          <w:b/>
          <w:bCs/>
          <w:szCs w:val="21"/>
        </w:rPr>
        <w:t xml:space="preserve">segundo </w:t>
      </w:r>
      <w:r w:rsidR="00B520C9" w:rsidRPr="00D045D7">
        <w:rPr>
          <w:b/>
          <w:bCs/>
          <w:szCs w:val="21"/>
        </w:rPr>
        <w:t xml:space="preserve">lugar en comunicación; </w:t>
      </w:r>
      <w:r w:rsidR="0039063C" w:rsidRPr="00D045D7">
        <w:rPr>
          <w:b/>
          <w:bCs/>
          <w:szCs w:val="21"/>
        </w:rPr>
        <w:t xml:space="preserve">tercer </w:t>
      </w:r>
      <w:r w:rsidR="00B520C9" w:rsidRPr="00D045D7">
        <w:rPr>
          <w:b/>
          <w:bCs/>
          <w:szCs w:val="21"/>
        </w:rPr>
        <w:t xml:space="preserve">lugar en contaduría, diseño gráfico e ingeniería química; </w:t>
      </w:r>
      <w:r w:rsidR="0039063C" w:rsidRPr="00D045D7">
        <w:rPr>
          <w:b/>
          <w:bCs/>
          <w:szCs w:val="21"/>
        </w:rPr>
        <w:t>cuarto</w:t>
      </w:r>
      <w:r w:rsidR="00235633" w:rsidRPr="00D045D7">
        <w:rPr>
          <w:b/>
          <w:bCs/>
          <w:szCs w:val="21"/>
        </w:rPr>
        <w:t xml:space="preserve"> lugar</w:t>
      </w:r>
      <w:r w:rsidR="00B520C9" w:rsidRPr="00D045D7">
        <w:rPr>
          <w:b/>
          <w:bCs/>
          <w:szCs w:val="21"/>
        </w:rPr>
        <w:t xml:space="preserve"> en ingeniería en electrónica; </w:t>
      </w:r>
      <w:r w:rsidR="0039063C" w:rsidRPr="00D045D7">
        <w:rPr>
          <w:b/>
          <w:bCs/>
          <w:szCs w:val="21"/>
        </w:rPr>
        <w:t xml:space="preserve">quinto </w:t>
      </w:r>
      <w:r w:rsidR="00B520C9" w:rsidRPr="00D045D7">
        <w:rPr>
          <w:b/>
          <w:bCs/>
          <w:szCs w:val="21"/>
        </w:rPr>
        <w:t xml:space="preserve">lugar en administración, ingeniería en sistemas, e ingeniería mecatrónica; y </w:t>
      </w:r>
      <w:r w:rsidR="0039063C" w:rsidRPr="00D045D7">
        <w:rPr>
          <w:b/>
          <w:bCs/>
          <w:szCs w:val="21"/>
        </w:rPr>
        <w:t xml:space="preserve">sexto </w:t>
      </w:r>
      <w:r w:rsidR="00B520C9" w:rsidRPr="00D045D7">
        <w:rPr>
          <w:b/>
          <w:bCs/>
          <w:szCs w:val="21"/>
        </w:rPr>
        <w:t>lugar en derecho, economía, e ingeniería industrial.</w:t>
      </w:r>
      <w:r w:rsidR="00EC71BE" w:rsidRPr="00D045D7">
        <w:rPr>
          <w:b/>
          <w:bCs/>
          <w:szCs w:val="21"/>
        </w:rPr>
        <w:t xml:space="preserve"> La UNAM </w:t>
      </w:r>
      <w:r w:rsidR="00EC71BE" w:rsidRPr="00D045D7">
        <w:rPr>
          <w:szCs w:val="21"/>
        </w:rPr>
        <w:t xml:space="preserve">no fue considerada en </w:t>
      </w:r>
      <w:r w:rsidR="00EC71BE" w:rsidRPr="00D045D7">
        <w:rPr>
          <w:rFonts w:cstheme="minorHAnsi"/>
        </w:rPr>
        <w:t xml:space="preserve">las licenciaturas en </w:t>
      </w:r>
      <w:r w:rsidR="00EC71BE" w:rsidRPr="00D045D7">
        <w:rPr>
          <w:szCs w:val="21"/>
        </w:rPr>
        <w:t>finanzas, gastronomía y mercadotecnia</w:t>
      </w:r>
      <w:r w:rsidR="002C3235" w:rsidRPr="00D045D7">
        <w:rPr>
          <w:szCs w:val="21"/>
        </w:rPr>
        <w:t>, ya que no ofrece tales carreras</w:t>
      </w:r>
      <w:r w:rsidR="00AA3298">
        <w:rPr>
          <w:rStyle w:val="Refdenotaalpie"/>
          <w:szCs w:val="21"/>
        </w:rPr>
        <w:footnoteReference w:id="1"/>
      </w:r>
      <w:r w:rsidR="002C3235" w:rsidRPr="00D045D7">
        <w:rPr>
          <w:szCs w:val="21"/>
        </w:rPr>
        <w:t>.</w:t>
      </w:r>
    </w:p>
    <w:p w14:paraId="1A085A91" w14:textId="4D873043" w:rsidR="0047616F" w:rsidRPr="00D045D7" w:rsidRDefault="0047616F" w:rsidP="009E433A">
      <w:pPr>
        <w:spacing w:after="0" w:line="240" w:lineRule="auto"/>
        <w:jc w:val="both"/>
        <w:rPr>
          <w:szCs w:val="21"/>
        </w:rPr>
      </w:pPr>
    </w:p>
    <w:tbl>
      <w:tblPr>
        <w:tblW w:w="0" w:type="auto"/>
        <w:tblInd w:w="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916"/>
        <w:gridCol w:w="1175"/>
      </w:tblGrid>
      <w:tr w:rsidR="0047616F" w:rsidRPr="00D045D7" w14:paraId="042BAFF6" w14:textId="77777777" w:rsidTr="00974BB9">
        <w:trPr>
          <w:trHeight w:val="248"/>
        </w:trPr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584FD" w14:textId="68CF94C8" w:rsidR="0047616F" w:rsidRPr="00D045D7" w:rsidRDefault="0047616F" w:rsidP="00D0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1. </w:t>
            </w:r>
            <w:r w:rsidR="0039063C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Posiciones 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y </w:t>
            </w:r>
            <w:r w:rsidR="0039063C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calificaciones 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obtenidas por la UNAM en el ranking </w:t>
            </w:r>
            <w:r w:rsidRPr="00D045D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s-MX"/>
              </w:rPr>
              <w:t>Reforma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“Las Mejores Universidades 2022”</w:t>
            </w:r>
            <w:r w:rsidR="008B711B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, según la licenciatura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47616F" w:rsidRPr="00D045D7" w14:paraId="459C1412" w14:textId="77777777" w:rsidTr="00974BB9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B0A1FE0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Carrera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E758DFE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2ED53D44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Calificación</w:t>
            </w:r>
          </w:p>
        </w:tc>
      </w:tr>
      <w:tr w:rsidR="0047616F" w:rsidRPr="00D045D7" w14:paraId="2C95F934" w14:textId="77777777" w:rsidTr="00974BB9">
        <w:trPr>
          <w:trHeight w:val="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E37D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Medicina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9EF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027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9.15</w:t>
            </w:r>
          </w:p>
        </w:tc>
      </w:tr>
      <w:tr w:rsidR="0047616F" w:rsidRPr="00D045D7" w14:paraId="48AE73C1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085FBFD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Psicología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20BFF2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70991B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9.05</w:t>
            </w:r>
          </w:p>
        </w:tc>
      </w:tr>
      <w:tr w:rsidR="0047616F" w:rsidRPr="00D045D7" w14:paraId="0011D447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FDF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Arquitectura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945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E30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8.64</w:t>
            </w:r>
          </w:p>
        </w:tc>
      </w:tr>
      <w:tr w:rsidR="0047616F" w:rsidRPr="00D045D7" w14:paraId="59A089E2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7095D4B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Comunicación o periodismo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4CD43F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775FBD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8.94</w:t>
            </w:r>
          </w:p>
        </w:tc>
      </w:tr>
      <w:tr w:rsidR="0047616F" w:rsidRPr="00D045D7" w14:paraId="23BCA2D6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9417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Contaduría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344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363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9.00</w:t>
            </w:r>
          </w:p>
        </w:tc>
      </w:tr>
      <w:tr w:rsidR="0047616F" w:rsidRPr="00D045D7" w14:paraId="65E8C852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6BFA55D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Diseño gráfico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37AE69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2AD2E0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8.81</w:t>
            </w:r>
          </w:p>
        </w:tc>
      </w:tr>
      <w:tr w:rsidR="0047616F" w:rsidRPr="00D045D7" w14:paraId="78CFE8B1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CFAD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química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A2D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161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8.72</w:t>
            </w:r>
          </w:p>
        </w:tc>
      </w:tr>
      <w:tr w:rsidR="0047616F" w:rsidRPr="00D045D7" w14:paraId="3A39745A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B1EC210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en electrónica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07D214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13232E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8.50</w:t>
            </w:r>
          </w:p>
        </w:tc>
      </w:tr>
      <w:tr w:rsidR="0047616F" w:rsidRPr="00D045D7" w14:paraId="0D9B8BE9" w14:textId="77777777" w:rsidTr="00974BB9">
        <w:trPr>
          <w:trHeight w:val="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75F7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355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C1D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8.96</w:t>
            </w:r>
          </w:p>
        </w:tc>
      </w:tr>
      <w:tr w:rsidR="0047616F" w:rsidRPr="00D045D7" w14:paraId="72934D55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353260A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en sistemas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E7108B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28635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8.86</w:t>
            </w:r>
          </w:p>
        </w:tc>
      </w:tr>
      <w:tr w:rsidR="0047616F" w:rsidRPr="00D045D7" w14:paraId="2D1457BB" w14:textId="77777777" w:rsidTr="00974BB9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AAEB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mecatrónica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8B8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265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8.69</w:t>
            </w:r>
          </w:p>
        </w:tc>
      </w:tr>
      <w:tr w:rsidR="0047616F" w:rsidRPr="00D045D7" w14:paraId="5BCD2D18" w14:textId="77777777" w:rsidTr="00974BB9">
        <w:trPr>
          <w:trHeight w:val="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0766F03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Derecho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8D83E8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0A2F82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8.97</w:t>
            </w:r>
          </w:p>
        </w:tc>
      </w:tr>
      <w:tr w:rsidR="0047616F" w:rsidRPr="00D045D7" w14:paraId="3880009D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EBA1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Economía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E47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4A8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8.84</w:t>
            </w:r>
          </w:p>
        </w:tc>
      </w:tr>
      <w:tr w:rsidR="0047616F" w:rsidRPr="00D045D7" w14:paraId="6B3C8BA4" w14:textId="77777777" w:rsidTr="00974BB9">
        <w:trPr>
          <w:trHeight w:val="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1A447A0" w14:textId="77777777" w:rsidR="0047616F" w:rsidRPr="00E852E7" w:rsidRDefault="0047616F" w:rsidP="00D045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industrial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5C8EA1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D89799" w14:textId="77777777" w:rsidR="0047616F" w:rsidRPr="00E852E7" w:rsidRDefault="0047616F" w:rsidP="00D045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852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8.69</w:t>
            </w:r>
          </w:p>
        </w:tc>
      </w:tr>
    </w:tbl>
    <w:p w14:paraId="56534E09" w14:textId="77777777" w:rsidR="0047616F" w:rsidRPr="00D045D7" w:rsidRDefault="0047616F" w:rsidP="009E433A">
      <w:pPr>
        <w:spacing w:after="0" w:line="240" w:lineRule="auto"/>
        <w:jc w:val="both"/>
        <w:rPr>
          <w:szCs w:val="21"/>
        </w:rPr>
      </w:pPr>
    </w:p>
    <w:p w14:paraId="4691ADF0" w14:textId="505D32EB" w:rsidR="001374E8" w:rsidRPr="00D045D7" w:rsidRDefault="001374E8" w:rsidP="00E14D08">
      <w:pPr>
        <w:spacing w:after="0" w:line="240" w:lineRule="auto"/>
        <w:jc w:val="both"/>
        <w:rPr>
          <w:bCs/>
          <w:szCs w:val="21"/>
        </w:rPr>
      </w:pPr>
      <w:r w:rsidRPr="00D045D7">
        <w:rPr>
          <w:bCs/>
          <w:szCs w:val="21"/>
        </w:rPr>
        <w:t xml:space="preserve">Comparado con la edición anterior del ranking, la </w:t>
      </w:r>
      <w:r w:rsidRPr="00D045D7">
        <w:rPr>
          <w:b/>
          <w:szCs w:val="21"/>
        </w:rPr>
        <w:t>UNAM</w:t>
      </w:r>
      <w:r w:rsidRPr="00D045D7">
        <w:rPr>
          <w:bCs/>
          <w:szCs w:val="21"/>
        </w:rPr>
        <w:t xml:space="preserve"> </w:t>
      </w:r>
      <w:r w:rsidR="00E14D08" w:rsidRPr="00D045D7">
        <w:rPr>
          <w:bCs/>
          <w:szCs w:val="21"/>
        </w:rPr>
        <w:t>mejoró sus posiciones</w:t>
      </w:r>
      <w:r w:rsidRPr="00D045D7">
        <w:rPr>
          <w:bCs/>
          <w:szCs w:val="21"/>
        </w:rPr>
        <w:t xml:space="preserve"> en las carreras de administración, comunicación, contaduría, ingeniería en electrónica e ingeniería mecatrónica. A su vez, </w:t>
      </w:r>
      <w:r w:rsidR="00E14D08" w:rsidRPr="00D045D7">
        <w:rPr>
          <w:bCs/>
          <w:szCs w:val="21"/>
        </w:rPr>
        <w:t>l</w:t>
      </w:r>
      <w:r w:rsidRPr="00D045D7">
        <w:rPr>
          <w:bCs/>
          <w:szCs w:val="21"/>
        </w:rPr>
        <w:t xml:space="preserve">as licenciaturas en psicología, medicina y arquitectura se han mantenido en los primeros </w:t>
      </w:r>
      <w:r w:rsidR="00E14D08" w:rsidRPr="00D045D7">
        <w:rPr>
          <w:bCs/>
          <w:szCs w:val="21"/>
        </w:rPr>
        <w:t>dos</w:t>
      </w:r>
      <w:r w:rsidRPr="00D045D7">
        <w:rPr>
          <w:bCs/>
          <w:szCs w:val="21"/>
        </w:rPr>
        <w:t xml:space="preserve"> lugares desde la edición 2020, y para la actual se posiciona</w:t>
      </w:r>
      <w:r w:rsidR="00AA3298">
        <w:rPr>
          <w:bCs/>
          <w:szCs w:val="21"/>
        </w:rPr>
        <w:t>ron</w:t>
      </w:r>
      <w:r w:rsidRPr="00D045D7">
        <w:rPr>
          <w:bCs/>
          <w:szCs w:val="21"/>
        </w:rPr>
        <w:t xml:space="preserve"> en el primer lugar. No obstante, </w:t>
      </w:r>
      <w:r w:rsidR="00E14D08" w:rsidRPr="00D045D7">
        <w:rPr>
          <w:bCs/>
          <w:szCs w:val="21"/>
        </w:rPr>
        <w:t xml:space="preserve">en </w:t>
      </w:r>
      <w:r w:rsidRPr="00D045D7">
        <w:rPr>
          <w:bCs/>
          <w:szCs w:val="21"/>
        </w:rPr>
        <w:t xml:space="preserve">el resto de las licenciaturas </w:t>
      </w:r>
      <w:r w:rsidR="00E14D08" w:rsidRPr="00D045D7">
        <w:rPr>
          <w:bCs/>
          <w:szCs w:val="21"/>
        </w:rPr>
        <w:t>se present</w:t>
      </w:r>
      <w:r w:rsidR="00161EDB">
        <w:rPr>
          <w:bCs/>
          <w:szCs w:val="21"/>
        </w:rPr>
        <w:t>ó</w:t>
      </w:r>
      <w:r w:rsidRPr="00D045D7">
        <w:rPr>
          <w:bCs/>
          <w:szCs w:val="21"/>
        </w:rPr>
        <w:t xml:space="preserve"> un ligero decremento, siendo la carrera de derecho la que </w:t>
      </w:r>
      <w:r w:rsidR="00E14D08" w:rsidRPr="00D045D7">
        <w:rPr>
          <w:bCs/>
          <w:szCs w:val="21"/>
        </w:rPr>
        <w:t>tuvo</w:t>
      </w:r>
      <w:r w:rsidRPr="00D045D7">
        <w:rPr>
          <w:bCs/>
          <w:szCs w:val="21"/>
        </w:rPr>
        <w:t xml:space="preserve"> una caída más pronunciada al pasar del primer lugar en 2020 al </w:t>
      </w:r>
      <w:r w:rsidR="0039063C" w:rsidRPr="00D045D7">
        <w:rPr>
          <w:bCs/>
          <w:szCs w:val="21"/>
        </w:rPr>
        <w:t xml:space="preserve">sexto </w:t>
      </w:r>
      <w:r w:rsidRPr="00D045D7">
        <w:rPr>
          <w:bCs/>
          <w:szCs w:val="21"/>
        </w:rPr>
        <w:t xml:space="preserve">en 2022. </w:t>
      </w:r>
    </w:p>
    <w:p w14:paraId="449E8C8F" w14:textId="77777777" w:rsidR="001374E8" w:rsidRPr="00D045D7" w:rsidRDefault="001374E8" w:rsidP="009E433A">
      <w:pPr>
        <w:spacing w:after="0" w:line="240" w:lineRule="auto"/>
        <w:jc w:val="both"/>
        <w:rPr>
          <w:bCs/>
          <w:szCs w:val="21"/>
        </w:rPr>
      </w:pPr>
    </w:p>
    <w:p w14:paraId="6FA7AD28" w14:textId="02BE6084" w:rsidR="003D3D5F" w:rsidRDefault="00EC71BE" w:rsidP="009E433A">
      <w:pPr>
        <w:spacing w:after="0" w:line="240" w:lineRule="auto"/>
        <w:jc w:val="both"/>
        <w:rPr>
          <w:bCs/>
          <w:szCs w:val="21"/>
        </w:rPr>
      </w:pPr>
      <w:r w:rsidRPr="00D045D7">
        <w:rPr>
          <w:bCs/>
          <w:szCs w:val="21"/>
        </w:rPr>
        <w:t xml:space="preserve">Es importante </w:t>
      </w:r>
      <w:r w:rsidR="006D672B" w:rsidRPr="00D045D7">
        <w:rPr>
          <w:bCs/>
          <w:szCs w:val="21"/>
        </w:rPr>
        <w:t>recordar</w:t>
      </w:r>
      <w:r w:rsidRPr="00D045D7">
        <w:rPr>
          <w:bCs/>
          <w:szCs w:val="21"/>
        </w:rPr>
        <w:t xml:space="preserve"> que </w:t>
      </w:r>
      <w:r w:rsidR="006D672B" w:rsidRPr="00D045D7">
        <w:rPr>
          <w:bCs/>
          <w:szCs w:val="21"/>
        </w:rPr>
        <w:t>en el ranking de</w:t>
      </w:r>
      <w:r w:rsidRPr="00D045D7">
        <w:rPr>
          <w:bCs/>
          <w:i/>
          <w:iCs/>
          <w:szCs w:val="21"/>
        </w:rPr>
        <w:t xml:space="preserve"> </w:t>
      </w:r>
      <w:r w:rsidR="00B520C9" w:rsidRPr="00D045D7">
        <w:rPr>
          <w:bCs/>
          <w:i/>
          <w:iCs/>
          <w:szCs w:val="21"/>
        </w:rPr>
        <w:t>Reforma</w:t>
      </w:r>
      <w:r w:rsidR="009E433A" w:rsidRPr="00D045D7">
        <w:rPr>
          <w:bCs/>
          <w:szCs w:val="21"/>
        </w:rPr>
        <w:t xml:space="preserve"> </w:t>
      </w:r>
      <w:r w:rsidR="006D672B" w:rsidRPr="00D045D7">
        <w:rPr>
          <w:bCs/>
          <w:szCs w:val="21"/>
        </w:rPr>
        <w:t xml:space="preserve">se </w:t>
      </w:r>
      <w:r w:rsidR="004C63A5" w:rsidRPr="00D045D7">
        <w:rPr>
          <w:bCs/>
          <w:szCs w:val="21"/>
        </w:rPr>
        <w:t xml:space="preserve">utiliza exclusivamente </w:t>
      </w:r>
      <w:r w:rsidR="006D672B" w:rsidRPr="00D045D7">
        <w:rPr>
          <w:bCs/>
          <w:szCs w:val="21"/>
        </w:rPr>
        <w:t xml:space="preserve">el </w:t>
      </w:r>
      <w:r w:rsidR="004C63A5" w:rsidRPr="00D045D7">
        <w:rPr>
          <w:szCs w:val="21"/>
        </w:rPr>
        <w:t xml:space="preserve">método reputacional para clasificar a las </w:t>
      </w:r>
      <w:r w:rsidR="006D672B" w:rsidRPr="00D045D7">
        <w:rPr>
          <w:szCs w:val="21"/>
        </w:rPr>
        <w:t xml:space="preserve">carreras </w:t>
      </w:r>
      <w:r w:rsidR="004C63A5" w:rsidRPr="00D045D7">
        <w:rPr>
          <w:szCs w:val="21"/>
        </w:rPr>
        <w:t>con base en encuestas de opinión realizadas a empleadores</w:t>
      </w:r>
      <w:r w:rsidR="004459F3" w:rsidRPr="00D045D7">
        <w:rPr>
          <w:szCs w:val="21"/>
        </w:rPr>
        <w:t xml:space="preserve"> privados y públicos (</w:t>
      </w:r>
      <w:r w:rsidR="003E7D04" w:rsidRPr="003E7D04">
        <w:rPr>
          <w:szCs w:val="21"/>
        </w:rPr>
        <w:t>89.1% provenientes de organismos privados y 10.9% de organismos públicos</w:t>
      </w:r>
      <w:r w:rsidR="004459F3" w:rsidRPr="00D045D7">
        <w:rPr>
          <w:szCs w:val="21"/>
        </w:rPr>
        <w:t>)</w:t>
      </w:r>
      <w:r w:rsidR="007011FA" w:rsidRPr="00D045D7">
        <w:rPr>
          <w:bCs/>
          <w:szCs w:val="21"/>
        </w:rPr>
        <w:t>.</w:t>
      </w:r>
    </w:p>
    <w:p w14:paraId="03407402" w14:textId="77777777" w:rsidR="00FB2AE1" w:rsidRPr="00D045D7" w:rsidRDefault="00FB2AE1" w:rsidP="009E433A">
      <w:pPr>
        <w:spacing w:after="0" w:line="240" w:lineRule="auto"/>
        <w:jc w:val="both"/>
        <w:rPr>
          <w:szCs w:val="21"/>
        </w:rPr>
      </w:pPr>
    </w:p>
    <w:p w14:paraId="5DFADCE7" w14:textId="022A1A68" w:rsidR="00D474C9" w:rsidRDefault="00F2449D" w:rsidP="002577CF">
      <w:pPr>
        <w:spacing w:after="0" w:line="240" w:lineRule="auto"/>
        <w:jc w:val="both"/>
        <w:rPr>
          <w:szCs w:val="21"/>
        </w:rPr>
      </w:pPr>
      <w:r w:rsidRPr="00D045D7">
        <w:rPr>
          <w:szCs w:val="21"/>
        </w:rPr>
        <w:t>Con base en</w:t>
      </w:r>
      <w:r w:rsidR="004459F3" w:rsidRPr="00D045D7">
        <w:rPr>
          <w:szCs w:val="21"/>
        </w:rPr>
        <w:t xml:space="preserve"> las opiniones de estos empleadores,</w:t>
      </w:r>
      <w:r w:rsidR="002C3235" w:rsidRPr="00D045D7">
        <w:rPr>
          <w:szCs w:val="21"/>
        </w:rPr>
        <w:t xml:space="preserve"> </w:t>
      </w:r>
      <w:r w:rsidRPr="00D045D7">
        <w:rPr>
          <w:szCs w:val="21"/>
        </w:rPr>
        <w:t xml:space="preserve">se incluyeron </w:t>
      </w:r>
      <w:r w:rsidRPr="00D045D7">
        <w:rPr>
          <w:rFonts w:cstheme="minorHAnsi"/>
        </w:rPr>
        <w:t xml:space="preserve">69.4% </w:t>
      </w:r>
      <w:r w:rsidRPr="00D045D7">
        <w:rPr>
          <w:szCs w:val="21"/>
        </w:rPr>
        <w:t>de</w:t>
      </w:r>
      <w:r w:rsidR="002C3235" w:rsidRPr="00D045D7">
        <w:rPr>
          <w:szCs w:val="21"/>
        </w:rPr>
        <w:t xml:space="preserve"> </w:t>
      </w:r>
      <w:r w:rsidR="004459F3" w:rsidRPr="00D045D7">
        <w:rPr>
          <w:szCs w:val="21"/>
        </w:rPr>
        <w:t xml:space="preserve">carreras en </w:t>
      </w:r>
      <w:r w:rsidR="002C3235" w:rsidRPr="00D045D7">
        <w:rPr>
          <w:szCs w:val="21"/>
        </w:rPr>
        <w:t xml:space="preserve">universidades privadas </w:t>
      </w:r>
      <w:r w:rsidRPr="00D045D7">
        <w:rPr>
          <w:rFonts w:cstheme="minorHAnsi"/>
        </w:rPr>
        <w:t>y</w:t>
      </w:r>
      <w:r w:rsidR="00912A06" w:rsidRPr="00D045D7">
        <w:rPr>
          <w:rFonts w:cstheme="minorHAnsi"/>
        </w:rPr>
        <w:t xml:space="preserve"> 30.6% </w:t>
      </w:r>
      <w:r w:rsidRPr="00D045D7">
        <w:rPr>
          <w:rFonts w:cstheme="minorHAnsi"/>
        </w:rPr>
        <w:t>en</w:t>
      </w:r>
      <w:r w:rsidR="00912A06" w:rsidRPr="00D045D7">
        <w:rPr>
          <w:rFonts w:cstheme="minorHAnsi"/>
        </w:rPr>
        <w:t xml:space="preserve"> públicas</w:t>
      </w:r>
      <w:r w:rsidR="002C3235" w:rsidRPr="00D045D7">
        <w:rPr>
          <w:rFonts w:cstheme="minorHAnsi"/>
        </w:rPr>
        <w:t xml:space="preserve">. </w:t>
      </w:r>
      <w:r w:rsidR="002555D3" w:rsidRPr="00D045D7">
        <w:rPr>
          <w:szCs w:val="21"/>
        </w:rPr>
        <w:t>No todas las carreras que se imparten en las diversas instituciones estan consideradas en este ranking</w:t>
      </w:r>
      <w:r w:rsidR="002555D3" w:rsidRPr="00D045D7">
        <w:rPr>
          <w:rFonts w:cstheme="minorHAnsi"/>
        </w:rPr>
        <w:t xml:space="preserve"> y son notables las ausencias de programas en áreas de ciencias naturales, ciencias sociales, humanidades y trabajo social. </w:t>
      </w:r>
      <w:r w:rsidR="00F245D3" w:rsidRPr="00D045D7">
        <w:rPr>
          <w:rFonts w:cstheme="minorHAnsi"/>
        </w:rPr>
        <w:t xml:space="preserve">La </w:t>
      </w:r>
      <w:r w:rsidR="00F245D3" w:rsidRPr="00D045D7">
        <w:rPr>
          <w:b/>
          <w:bCs/>
          <w:szCs w:val="21"/>
        </w:rPr>
        <w:t xml:space="preserve">UNAM </w:t>
      </w:r>
      <w:r w:rsidR="00F245D3" w:rsidRPr="00D045D7">
        <w:rPr>
          <w:szCs w:val="21"/>
        </w:rPr>
        <w:t>y e</w:t>
      </w:r>
      <w:r w:rsidR="004459F3" w:rsidRPr="00D045D7">
        <w:rPr>
          <w:rFonts w:cstheme="minorHAnsi"/>
        </w:rPr>
        <w:t>l</w:t>
      </w:r>
      <w:r w:rsidR="002C3235" w:rsidRPr="00D045D7">
        <w:rPr>
          <w:rFonts w:cstheme="minorHAnsi"/>
        </w:rPr>
        <w:t xml:space="preserve"> </w:t>
      </w:r>
      <w:r w:rsidR="002C3235" w:rsidRPr="00D045D7">
        <w:rPr>
          <w:szCs w:val="21"/>
        </w:rPr>
        <w:t xml:space="preserve">Instituto Tecnológico y de Estudios Superiores de Monterrey (ITESM) </w:t>
      </w:r>
      <w:r w:rsidR="00F245D3" w:rsidRPr="00D045D7">
        <w:rPr>
          <w:szCs w:val="21"/>
        </w:rPr>
        <w:t xml:space="preserve">aparecen </w:t>
      </w:r>
      <w:r w:rsidRPr="00D045D7">
        <w:rPr>
          <w:szCs w:val="21"/>
        </w:rPr>
        <w:t xml:space="preserve">entre los </w:t>
      </w:r>
      <w:r w:rsidR="00F245D3" w:rsidRPr="00D045D7">
        <w:rPr>
          <w:szCs w:val="21"/>
        </w:rPr>
        <w:t>primer</w:t>
      </w:r>
      <w:r w:rsidRPr="00D045D7">
        <w:rPr>
          <w:szCs w:val="21"/>
        </w:rPr>
        <w:t>os</w:t>
      </w:r>
      <w:r w:rsidR="00F245D3" w:rsidRPr="00D045D7">
        <w:rPr>
          <w:szCs w:val="21"/>
        </w:rPr>
        <w:t xml:space="preserve"> lugar</w:t>
      </w:r>
      <w:r w:rsidRPr="00D045D7">
        <w:rPr>
          <w:szCs w:val="21"/>
        </w:rPr>
        <w:t>es</w:t>
      </w:r>
      <w:r w:rsidR="00F245D3" w:rsidRPr="00D045D7">
        <w:rPr>
          <w:szCs w:val="21"/>
        </w:rPr>
        <w:t xml:space="preserve"> en todas las carreras </w:t>
      </w:r>
      <w:r w:rsidR="002555D3" w:rsidRPr="00D045D7">
        <w:rPr>
          <w:szCs w:val="21"/>
        </w:rPr>
        <w:lastRenderedPageBreak/>
        <w:t xml:space="preserve">que imparten y que además son </w:t>
      </w:r>
      <w:r w:rsidR="00F245D3" w:rsidRPr="00D045D7">
        <w:rPr>
          <w:szCs w:val="21"/>
        </w:rPr>
        <w:t>evaluad</w:t>
      </w:r>
      <w:r w:rsidR="00FD1F92" w:rsidRPr="00D045D7">
        <w:rPr>
          <w:szCs w:val="21"/>
        </w:rPr>
        <w:t>o</w:t>
      </w:r>
      <w:r w:rsidR="00F245D3" w:rsidRPr="00D045D7">
        <w:rPr>
          <w:szCs w:val="21"/>
        </w:rPr>
        <w:t>s por el ra</w:t>
      </w:r>
      <w:r w:rsidR="002555D3" w:rsidRPr="00D045D7">
        <w:rPr>
          <w:szCs w:val="21"/>
        </w:rPr>
        <w:t>n</w:t>
      </w:r>
      <w:r w:rsidR="00F245D3" w:rsidRPr="00D045D7">
        <w:rPr>
          <w:szCs w:val="21"/>
        </w:rPr>
        <w:t>king</w:t>
      </w:r>
      <w:r w:rsidR="00FD1F92" w:rsidRPr="00D045D7">
        <w:rPr>
          <w:szCs w:val="21"/>
        </w:rPr>
        <w:t xml:space="preserve"> (la UNAM en 14 y el ITESM en 16). La clasificación más baja de la </w:t>
      </w:r>
      <w:r w:rsidR="009D3ADD" w:rsidRPr="00D045D7">
        <w:rPr>
          <w:szCs w:val="21"/>
        </w:rPr>
        <w:t>UNAM es sexto lugar y la del ITESM es duodécimo)</w:t>
      </w:r>
      <w:r w:rsidR="002C3235" w:rsidRPr="00D045D7">
        <w:rPr>
          <w:szCs w:val="21"/>
        </w:rPr>
        <w:t>.</w:t>
      </w:r>
    </w:p>
    <w:p w14:paraId="3B2242D8" w14:textId="22AAA301" w:rsidR="00E852E7" w:rsidRDefault="00E852E7" w:rsidP="002577CF">
      <w:pPr>
        <w:spacing w:after="0" w:line="240" w:lineRule="auto"/>
        <w:jc w:val="both"/>
        <w:rPr>
          <w:szCs w:val="21"/>
        </w:rPr>
      </w:pPr>
    </w:p>
    <w:p w14:paraId="073C2FA3" w14:textId="77777777" w:rsidR="00E852E7" w:rsidRPr="00D045D7" w:rsidRDefault="00E852E7" w:rsidP="002577CF">
      <w:pPr>
        <w:spacing w:after="0" w:line="240" w:lineRule="auto"/>
        <w:jc w:val="both"/>
        <w:rPr>
          <w:szCs w:val="21"/>
        </w:rPr>
      </w:pPr>
    </w:p>
    <w:p w14:paraId="346563DE" w14:textId="420036D5" w:rsidR="002E3C48" w:rsidRPr="00D045D7" w:rsidRDefault="00501AE5" w:rsidP="00586044">
      <w:pPr>
        <w:spacing w:after="0" w:line="240" w:lineRule="auto"/>
        <w:jc w:val="center"/>
        <w:rPr>
          <w:b/>
          <w:szCs w:val="21"/>
        </w:rPr>
      </w:pPr>
      <w:r w:rsidRPr="00D045D7">
        <w:rPr>
          <w:b/>
          <w:szCs w:val="21"/>
        </w:rPr>
        <w:t>Metodología e Indicadores</w:t>
      </w:r>
    </w:p>
    <w:p w14:paraId="23E3BB80" w14:textId="77777777" w:rsidR="00E852E7" w:rsidRPr="00D045D7" w:rsidRDefault="00E852E7" w:rsidP="00586044">
      <w:pPr>
        <w:spacing w:after="0" w:line="240" w:lineRule="auto"/>
        <w:jc w:val="center"/>
        <w:rPr>
          <w:b/>
          <w:szCs w:val="21"/>
        </w:rPr>
      </w:pPr>
    </w:p>
    <w:p w14:paraId="04AC97BB" w14:textId="6C458E56" w:rsidR="005E368A" w:rsidRPr="00D045D7" w:rsidRDefault="005E368A" w:rsidP="005E368A">
      <w:pPr>
        <w:pStyle w:val="Prrafodelista"/>
        <w:spacing w:after="0" w:line="240" w:lineRule="auto"/>
        <w:ind w:left="0"/>
        <w:jc w:val="both"/>
        <w:rPr>
          <w:szCs w:val="21"/>
        </w:rPr>
      </w:pPr>
      <w:r w:rsidRPr="00D045D7">
        <w:rPr>
          <w:rFonts w:cstheme="minorHAnsi"/>
          <w:szCs w:val="21"/>
        </w:rPr>
        <w:t xml:space="preserve">El ranking </w:t>
      </w:r>
      <w:r w:rsidRPr="00D045D7">
        <w:rPr>
          <w:rFonts w:cstheme="minorHAnsi"/>
          <w:i/>
          <w:szCs w:val="21"/>
        </w:rPr>
        <w:t>Reforma</w:t>
      </w:r>
      <w:r w:rsidRPr="00D045D7">
        <w:rPr>
          <w:rFonts w:cstheme="minorHAnsi"/>
          <w:szCs w:val="21"/>
        </w:rPr>
        <w:t xml:space="preserve"> incluye los resultados de </w:t>
      </w:r>
      <w:r w:rsidRPr="00D045D7">
        <w:rPr>
          <w:rFonts w:cstheme="minorHAnsi"/>
          <w:bCs/>
          <w:szCs w:val="21"/>
        </w:rPr>
        <w:t>43</w:t>
      </w:r>
      <w:r w:rsidRPr="00D045D7">
        <w:rPr>
          <w:rFonts w:cstheme="minorHAnsi"/>
          <w:bCs/>
          <w:i/>
          <w:iCs/>
          <w:szCs w:val="21"/>
        </w:rPr>
        <w:t xml:space="preserve"> </w:t>
      </w:r>
      <w:r w:rsidRPr="00D045D7">
        <w:rPr>
          <w:rFonts w:cstheme="minorHAnsi"/>
          <w:bCs/>
          <w:iCs/>
          <w:szCs w:val="21"/>
        </w:rPr>
        <w:t>instituciones</w:t>
      </w:r>
      <w:r w:rsidRPr="00D045D7">
        <w:rPr>
          <w:rFonts w:cstheme="minorHAnsi"/>
          <w:szCs w:val="21"/>
        </w:rPr>
        <w:t xml:space="preserve"> de educación superior ubicadas en la Zona Metropolitana de la </w:t>
      </w:r>
      <w:r w:rsidRPr="00D045D7">
        <w:rPr>
          <w:rFonts w:cstheme="minorHAnsi"/>
          <w:bCs/>
          <w:iCs/>
          <w:szCs w:val="21"/>
        </w:rPr>
        <w:t xml:space="preserve">Ciudad de México, y que </w:t>
      </w:r>
      <w:r w:rsidRPr="00D045D7">
        <w:rPr>
          <w:szCs w:val="21"/>
        </w:rPr>
        <w:t>pertenecen al anuario estadístico de la Asociación Nacional de Universidades e Instituciones de Educación Superior (ANUIES).</w:t>
      </w:r>
      <w:r w:rsidRPr="00D045D7">
        <w:rPr>
          <w:rFonts w:cstheme="minorHAnsi"/>
          <w:szCs w:val="21"/>
        </w:rPr>
        <w:t xml:space="preserve"> Sin embargo, en este informe se toma en </w:t>
      </w:r>
      <w:r w:rsidRPr="00D045D7">
        <w:rPr>
          <w:szCs w:val="21"/>
        </w:rPr>
        <w:t>cuenta únicamente aquellos programas en los que participa la</w:t>
      </w:r>
      <w:r w:rsidRPr="00D045D7">
        <w:rPr>
          <w:b/>
          <w:bCs/>
          <w:szCs w:val="21"/>
        </w:rPr>
        <w:t xml:space="preserve"> UNAM</w:t>
      </w:r>
      <w:r w:rsidRPr="00D045D7">
        <w:rPr>
          <w:szCs w:val="21"/>
        </w:rPr>
        <w:t xml:space="preserve">; por ello, se reportarán 36 universidades para este análisis. </w:t>
      </w:r>
    </w:p>
    <w:p w14:paraId="43727C4B" w14:textId="77777777" w:rsidR="005E368A" w:rsidRPr="00D045D7" w:rsidRDefault="005E368A" w:rsidP="005E368A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6701E6F7" w14:textId="23CE89FE" w:rsidR="003D3D5F" w:rsidRPr="00D045D7" w:rsidRDefault="008D2B20" w:rsidP="003D3D5F">
      <w:pPr>
        <w:spacing w:after="0" w:line="240" w:lineRule="auto"/>
        <w:jc w:val="both"/>
        <w:rPr>
          <w:szCs w:val="21"/>
        </w:rPr>
      </w:pPr>
      <w:r w:rsidRPr="00D045D7">
        <w:rPr>
          <w:bCs/>
          <w:szCs w:val="21"/>
        </w:rPr>
        <w:t xml:space="preserve">La siguiente sección describe la metodología y los indicadores utilizados por el </w:t>
      </w:r>
      <w:r w:rsidR="00CE6A7D" w:rsidRPr="00D045D7">
        <w:rPr>
          <w:szCs w:val="21"/>
        </w:rPr>
        <w:t xml:space="preserve">ranking </w:t>
      </w:r>
      <w:r w:rsidR="009B28D6" w:rsidRPr="00D045D7">
        <w:rPr>
          <w:szCs w:val="21"/>
        </w:rPr>
        <w:t>“</w:t>
      </w:r>
      <w:r w:rsidR="00CE6A7D" w:rsidRPr="00D045D7">
        <w:rPr>
          <w:b/>
          <w:szCs w:val="21"/>
        </w:rPr>
        <w:t>Las Mejores Universidades 2022</w:t>
      </w:r>
      <w:r w:rsidR="009B28D6" w:rsidRPr="00D045D7">
        <w:rPr>
          <w:b/>
          <w:szCs w:val="21"/>
        </w:rPr>
        <w:t>”</w:t>
      </w:r>
      <w:r w:rsidRPr="00D045D7">
        <w:rPr>
          <w:bCs/>
          <w:szCs w:val="21"/>
        </w:rPr>
        <w:t xml:space="preserve">. </w:t>
      </w:r>
      <w:r w:rsidR="00CE6A7D" w:rsidRPr="00D045D7">
        <w:rPr>
          <w:szCs w:val="21"/>
        </w:rPr>
        <w:t xml:space="preserve">El </w:t>
      </w:r>
      <w:r w:rsidR="00CE6A7D" w:rsidRPr="00D045D7">
        <w:rPr>
          <w:i/>
          <w:szCs w:val="21"/>
        </w:rPr>
        <w:t xml:space="preserve">Reforma </w:t>
      </w:r>
      <w:r w:rsidR="00CE6A7D" w:rsidRPr="00D045D7">
        <w:rPr>
          <w:szCs w:val="21"/>
        </w:rPr>
        <w:t xml:space="preserve">seleccionó a las universidades </w:t>
      </w:r>
      <w:r w:rsidR="006230CB" w:rsidRPr="00D045D7">
        <w:rPr>
          <w:szCs w:val="21"/>
        </w:rPr>
        <w:t>consideradas</w:t>
      </w:r>
      <w:r w:rsidR="00CE6A7D" w:rsidRPr="00D045D7">
        <w:rPr>
          <w:szCs w:val="21"/>
        </w:rPr>
        <w:t xml:space="preserve"> en el anuario estadístico de la ANUIES. La selección se realizó considerando </w:t>
      </w:r>
      <w:r w:rsidR="006230CB" w:rsidRPr="00D045D7">
        <w:rPr>
          <w:szCs w:val="21"/>
        </w:rPr>
        <w:t xml:space="preserve">que las universidades deben </w:t>
      </w:r>
      <w:r w:rsidR="00CE6A7D" w:rsidRPr="00D045D7">
        <w:rPr>
          <w:szCs w:val="21"/>
        </w:rPr>
        <w:t>contar con un mínimo de 40 estudiantes matriculados por carrera en un programa de estudio con validez oficial</w:t>
      </w:r>
      <w:r w:rsidR="006230CB" w:rsidRPr="00D045D7">
        <w:rPr>
          <w:szCs w:val="21"/>
        </w:rPr>
        <w:t xml:space="preserve">, y además </w:t>
      </w:r>
      <w:r w:rsidR="00B36FAA" w:rsidRPr="00D045D7">
        <w:rPr>
          <w:szCs w:val="21"/>
        </w:rPr>
        <w:t xml:space="preserve">que </w:t>
      </w:r>
      <w:r w:rsidR="006230CB" w:rsidRPr="00D045D7">
        <w:rPr>
          <w:szCs w:val="21"/>
        </w:rPr>
        <w:t xml:space="preserve">deben </w:t>
      </w:r>
      <w:r w:rsidR="00CE6A7D" w:rsidRPr="00D045D7">
        <w:rPr>
          <w:szCs w:val="21"/>
        </w:rPr>
        <w:t xml:space="preserve">contar con al menos </w:t>
      </w:r>
      <w:r w:rsidR="00A91832" w:rsidRPr="00D045D7">
        <w:rPr>
          <w:szCs w:val="21"/>
        </w:rPr>
        <w:t xml:space="preserve">2 </w:t>
      </w:r>
      <w:r w:rsidR="00CE6A7D" w:rsidRPr="00D045D7">
        <w:rPr>
          <w:szCs w:val="21"/>
        </w:rPr>
        <w:t xml:space="preserve">generaciones de egresados por carrera. Adicionalmente, se excluyen las carreras que no fueron </w:t>
      </w:r>
      <w:r w:rsidR="00A91832" w:rsidRPr="00D045D7">
        <w:rPr>
          <w:szCs w:val="21"/>
        </w:rPr>
        <w:t xml:space="preserve">valoradas </w:t>
      </w:r>
      <w:r w:rsidR="00CE6A7D" w:rsidRPr="00D045D7">
        <w:rPr>
          <w:szCs w:val="21"/>
        </w:rPr>
        <w:t xml:space="preserve">por al menos 7 evaluadores. </w:t>
      </w:r>
      <w:bookmarkStart w:id="1" w:name="_Hlk68535354"/>
      <w:r w:rsidR="003D3D5F" w:rsidRPr="00D045D7">
        <w:rPr>
          <w:szCs w:val="21"/>
        </w:rPr>
        <w:t xml:space="preserve">Aquellos programas de licenciatura que </w:t>
      </w:r>
      <w:r w:rsidR="00A91832" w:rsidRPr="00D045D7">
        <w:rPr>
          <w:szCs w:val="21"/>
        </w:rPr>
        <w:t xml:space="preserve">cumplen </w:t>
      </w:r>
      <w:r w:rsidR="003D3D5F" w:rsidRPr="00D045D7">
        <w:rPr>
          <w:szCs w:val="21"/>
        </w:rPr>
        <w:t>con los requisitos son evaluados por medio de la aplicación de entrevistas realizadas por empleadores, que califican a las licenciaturas a partir de 4 grandes rubros: “preparación y conocimientos”</w:t>
      </w:r>
      <w:r w:rsidR="0047616F" w:rsidRPr="00D045D7">
        <w:rPr>
          <w:szCs w:val="21"/>
        </w:rPr>
        <w:t xml:space="preserve">, que tiene un peso de </w:t>
      </w:r>
      <w:r w:rsidR="003D3D5F" w:rsidRPr="00D045D7">
        <w:rPr>
          <w:szCs w:val="21"/>
        </w:rPr>
        <w:t>40%</w:t>
      </w:r>
      <w:r w:rsidR="0047616F" w:rsidRPr="00D045D7">
        <w:rPr>
          <w:szCs w:val="21"/>
        </w:rPr>
        <w:t xml:space="preserve"> en la evaluación</w:t>
      </w:r>
      <w:r w:rsidR="003D3D5F" w:rsidRPr="00D045D7">
        <w:rPr>
          <w:szCs w:val="21"/>
        </w:rPr>
        <w:t>, “capacidad para resolver problemas” (20%), “liderazgo y trabajo en equipo” (20%) y “valores y ética profesional” (20%).</w:t>
      </w:r>
    </w:p>
    <w:p w14:paraId="3CF76AB9" w14:textId="77777777" w:rsidR="006230CB" w:rsidRPr="00D045D7" w:rsidRDefault="006230CB" w:rsidP="006230CB">
      <w:pPr>
        <w:pStyle w:val="Prrafodelista"/>
        <w:spacing w:after="0" w:line="240" w:lineRule="auto"/>
        <w:ind w:left="0"/>
        <w:jc w:val="both"/>
        <w:rPr>
          <w:szCs w:val="21"/>
        </w:rPr>
      </w:pPr>
    </w:p>
    <w:p w14:paraId="07398C65" w14:textId="6CF6E447" w:rsidR="009013CD" w:rsidRPr="00D045D7" w:rsidRDefault="00CE6A7D" w:rsidP="009013CD">
      <w:pPr>
        <w:pStyle w:val="Prrafodelista"/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 xml:space="preserve">El </w:t>
      </w:r>
      <w:r w:rsidRPr="00D045D7">
        <w:rPr>
          <w:i/>
          <w:iCs/>
          <w:szCs w:val="21"/>
        </w:rPr>
        <w:t>Reforma</w:t>
      </w:r>
      <w:r w:rsidRPr="00D045D7">
        <w:rPr>
          <w:szCs w:val="21"/>
        </w:rPr>
        <w:t xml:space="preserve"> aplicó 949 entrevistas a empleadores para evaluar </w:t>
      </w:r>
      <w:bookmarkEnd w:id="1"/>
      <w:r w:rsidRPr="00D045D7">
        <w:rPr>
          <w:szCs w:val="21"/>
        </w:rPr>
        <w:t xml:space="preserve">a egresados de licenciatura de </w:t>
      </w:r>
      <w:r w:rsidR="00C56E22" w:rsidRPr="00D045D7">
        <w:rPr>
          <w:szCs w:val="21"/>
        </w:rPr>
        <w:t xml:space="preserve">67 </w:t>
      </w:r>
      <w:r w:rsidRPr="00D045D7">
        <w:rPr>
          <w:szCs w:val="21"/>
        </w:rPr>
        <w:t xml:space="preserve">universidades </w:t>
      </w:r>
      <w:r w:rsidR="0099372A" w:rsidRPr="00D045D7">
        <w:rPr>
          <w:szCs w:val="21"/>
        </w:rPr>
        <w:t>de</w:t>
      </w:r>
      <w:r w:rsidR="00F36C92" w:rsidRPr="00D045D7">
        <w:rPr>
          <w:szCs w:val="21"/>
        </w:rPr>
        <w:t>l Área Metropolitana de</w:t>
      </w:r>
      <w:r w:rsidR="0099372A" w:rsidRPr="00D045D7">
        <w:rPr>
          <w:szCs w:val="21"/>
        </w:rPr>
        <w:t xml:space="preserve"> la Ciudad </w:t>
      </w:r>
      <w:r w:rsidRPr="00D045D7">
        <w:rPr>
          <w:szCs w:val="21"/>
        </w:rPr>
        <w:t>de México y Puebla</w:t>
      </w:r>
      <w:r w:rsidR="00B36FAA" w:rsidRPr="00D045D7">
        <w:rPr>
          <w:rStyle w:val="Refdenotaalpie"/>
          <w:szCs w:val="21"/>
        </w:rPr>
        <w:footnoteReference w:id="2"/>
      </w:r>
      <w:r w:rsidRPr="00D045D7">
        <w:rPr>
          <w:szCs w:val="21"/>
        </w:rPr>
        <w:t>. Dichas encuestas miden la opinión en una escala ordinal de 0 al 10, en 4 indicadores ponderados (véase Tabla 1), para valorar el desempeño de las universidades en los siguientes 17 programas de licenciatura:</w:t>
      </w:r>
      <w:r w:rsidRPr="00D045D7">
        <w:rPr>
          <w:sz w:val="21"/>
          <w:szCs w:val="21"/>
        </w:rPr>
        <w:t xml:space="preserve"> </w:t>
      </w:r>
      <w:r w:rsidR="00AA0507" w:rsidRPr="00D045D7">
        <w:rPr>
          <w:szCs w:val="21"/>
        </w:rPr>
        <w:t>administración, arquitectura, comunicación o periodismo, contaduría, derecho, diseño gráfico, economía, finanzas, gastronomía, ingeniería en electrónica, ingeniería en sistemas, ingeniería industrial, ingeniería mecatrónica, ingeniería química, medicina, mercadotecnia y psicología</w:t>
      </w:r>
      <w:r w:rsidRPr="00D045D7">
        <w:rPr>
          <w:szCs w:val="21"/>
        </w:rPr>
        <w:t>.</w:t>
      </w:r>
      <w:r w:rsidR="009013CD" w:rsidRPr="00D045D7">
        <w:rPr>
          <w:szCs w:val="21"/>
        </w:rPr>
        <w:t xml:space="preserve"> </w:t>
      </w:r>
      <w:r w:rsidR="00B36FAA" w:rsidRPr="00D045D7">
        <w:rPr>
          <w:szCs w:val="21"/>
        </w:rPr>
        <w:t>Todos los</w:t>
      </w:r>
      <w:r w:rsidR="009013CD" w:rsidRPr="00D045D7">
        <w:rPr>
          <w:szCs w:val="21"/>
        </w:rPr>
        <w:t xml:space="preserve"> puntajes publicados se encuentran normalizados al 100% con referencia al valor de 100 puntos asignados a la universidad con mejor desempeño en cada </w:t>
      </w:r>
      <w:r w:rsidR="00B36FAA" w:rsidRPr="00D045D7">
        <w:rPr>
          <w:szCs w:val="21"/>
        </w:rPr>
        <w:t>carrera</w:t>
      </w:r>
      <w:r w:rsidR="009013CD" w:rsidRPr="00D045D7">
        <w:rPr>
          <w:szCs w:val="21"/>
        </w:rPr>
        <w:t>.</w:t>
      </w:r>
    </w:p>
    <w:p w14:paraId="255D4C01" w14:textId="77777777" w:rsidR="009013CD" w:rsidRPr="00D045D7" w:rsidRDefault="009013CD" w:rsidP="006230CB">
      <w:pPr>
        <w:pStyle w:val="Prrafodelista"/>
        <w:spacing w:after="0" w:line="240" w:lineRule="auto"/>
        <w:ind w:left="0"/>
        <w:jc w:val="both"/>
        <w:rPr>
          <w:szCs w:val="21"/>
        </w:rPr>
      </w:pPr>
    </w:p>
    <w:p w14:paraId="45C92C85" w14:textId="765BD1C3" w:rsidR="00A25568" w:rsidRPr="00D045D7" w:rsidRDefault="00A25568" w:rsidP="00A25568">
      <w:pPr>
        <w:spacing w:after="0" w:line="240" w:lineRule="auto"/>
        <w:jc w:val="both"/>
        <w:rPr>
          <w:szCs w:val="21"/>
        </w:rPr>
      </w:pPr>
      <w:r w:rsidRPr="00D045D7">
        <w:rPr>
          <w:szCs w:val="21"/>
        </w:rPr>
        <w:t>Cabe mencionar que el ranking mide los programas de licenciatura de forma general, sin hacer distinción en los programas que se ofrecen en una o varias unidades. Por ejemplo, la</w:t>
      </w:r>
      <w:r w:rsidRPr="00D045D7">
        <w:rPr>
          <w:b/>
          <w:bCs/>
          <w:szCs w:val="21"/>
        </w:rPr>
        <w:t xml:space="preserve"> UNAM</w:t>
      </w:r>
      <w:r w:rsidRPr="00D045D7">
        <w:rPr>
          <w:szCs w:val="21"/>
        </w:rPr>
        <w:t xml:space="preserve"> </w:t>
      </w:r>
      <w:r w:rsidR="00C377F1" w:rsidRPr="00D045D7">
        <w:rPr>
          <w:szCs w:val="21"/>
        </w:rPr>
        <w:t xml:space="preserve">fue </w:t>
      </w:r>
      <w:r w:rsidRPr="00D045D7">
        <w:rPr>
          <w:szCs w:val="21"/>
        </w:rPr>
        <w:t xml:space="preserve">clasificada en Psicología en el </w:t>
      </w:r>
      <w:r w:rsidR="00A91832" w:rsidRPr="00D045D7">
        <w:rPr>
          <w:szCs w:val="21"/>
        </w:rPr>
        <w:t xml:space="preserve">primer </w:t>
      </w:r>
      <w:r w:rsidRPr="00D045D7">
        <w:rPr>
          <w:szCs w:val="21"/>
        </w:rPr>
        <w:t>lugar con un puntaje de 9.05 sobre 10. Sin embargo, no es posible precisar a cuál facultad corresponden los datos: Facultad de Psicología, FES Iztacala o FES Zaragoza.</w:t>
      </w:r>
    </w:p>
    <w:p w14:paraId="6FCC841D" w14:textId="77777777" w:rsidR="00A25568" w:rsidRPr="00D045D7" w:rsidRDefault="00A25568" w:rsidP="00A25568">
      <w:pPr>
        <w:spacing w:after="0" w:line="240" w:lineRule="auto"/>
        <w:jc w:val="both"/>
        <w:rPr>
          <w:szCs w:val="21"/>
        </w:rPr>
      </w:pPr>
    </w:p>
    <w:p w14:paraId="032A8B6E" w14:textId="227745A1" w:rsidR="00EB5401" w:rsidRDefault="00721D5B" w:rsidP="00AA3298">
      <w:pPr>
        <w:spacing w:after="0" w:line="240" w:lineRule="auto"/>
        <w:jc w:val="both"/>
        <w:rPr>
          <w:szCs w:val="21"/>
        </w:rPr>
      </w:pPr>
      <w:r w:rsidRPr="00D045D7">
        <w:rPr>
          <w:szCs w:val="21"/>
        </w:rPr>
        <w:t xml:space="preserve">Es importante destacar que </w:t>
      </w:r>
      <w:r w:rsidR="00A25568" w:rsidRPr="00D045D7">
        <w:rPr>
          <w:szCs w:val="21"/>
        </w:rPr>
        <w:t>el ranking se enfoca en carreras orientadas a la industria y el sector privado, sin tomar en cuenta carreras relacionadas con las humanidades, las artes, las ciencias sociales, las ciencias básicas, el trabajo social,</w:t>
      </w:r>
      <w:r w:rsidRPr="00D045D7">
        <w:rPr>
          <w:szCs w:val="21"/>
        </w:rPr>
        <w:t xml:space="preserve"> etc</w:t>
      </w:r>
      <w:r w:rsidR="00A25568" w:rsidRPr="00D045D7">
        <w:rPr>
          <w:szCs w:val="21"/>
        </w:rPr>
        <w:t>.</w:t>
      </w:r>
      <w:r w:rsidR="004F2FD0" w:rsidRPr="00D045D7">
        <w:rPr>
          <w:szCs w:val="21"/>
        </w:rPr>
        <w:t xml:space="preserve"> </w:t>
      </w:r>
      <w:r w:rsidRPr="00D045D7">
        <w:rPr>
          <w:szCs w:val="21"/>
        </w:rPr>
        <w:t xml:space="preserve">Este énfasis realizado por el ranking influye fuertemente en la </w:t>
      </w:r>
      <w:r w:rsidR="00816B45" w:rsidRPr="00D045D7">
        <w:rPr>
          <w:szCs w:val="21"/>
        </w:rPr>
        <w:t xml:space="preserve">escasa </w:t>
      </w:r>
      <w:r w:rsidR="00BA1A41" w:rsidRPr="00D045D7">
        <w:rPr>
          <w:szCs w:val="21"/>
        </w:rPr>
        <w:t>presencia</w:t>
      </w:r>
      <w:r w:rsidRPr="00D045D7">
        <w:rPr>
          <w:szCs w:val="21"/>
        </w:rPr>
        <w:t xml:space="preserve"> de las universidades públicas</w:t>
      </w:r>
      <w:r w:rsidR="0087099A" w:rsidRPr="00D045D7">
        <w:rPr>
          <w:szCs w:val="21"/>
        </w:rPr>
        <w:t>.</w:t>
      </w:r>
      <w:r w:rsidRPr="00D045D7">
        <w:rPr>
          <w:szCs w:val="21"/>
        </w:rPr>
        <w:t xml:space="preserve"> </w:t>
      </w:r>
      <w:r w:rsidR="0087099A" w:rsidRPr="00D045D7">
        <w:rPr>
          <w:szCs w:val="21"/>
        </w:rPr>
        <w:t>Por ejemplo, el Instituto Politécnico Nacional</w:t>
      </w:r>
      <w:r w:rsidR="005D0DCD" w:rsidRPr="00D045D7">
        <w:rPr>
          <w:szCs w:val="21"/>
        </w:rPr>
        <w:t xml:space="preserve"> </w:t>
      </w:r>
      <w:r w:rsidR="0087099A" w:rsidRPr="00D045D7">
        <w:rPr>
          <w:szCs w:val="21"/>
        </w:rPr>
        <w:t xml:space="preserve">fue clasificada con 2 licenciaturas en el </w:t>
      </w:r>
      <w:r w:rsidR="00816B45" w:rsidRPr="00D045D7">
        <w:rPr>
          <w:szCs w:val="21"/>
        </w:rPr>
        <w:t xml:space="preserve">segundo </w:t>
      </w:r>
      <w:r w:rsidR="0087099A" w:rsidRPr="00D045D7">
        <w:rPr>
          <w:szCs w:val="21"/>
        </w:rPr>
        <w:t>lugar, el Centro de Investigación y Docencia Económicas</w:t>
      </w:r>
      <w:r w:rsidR="005D0DCD" w:rsidRPr="00D045D7">
        <w:rPr>
          <w:szCs w:val="21"/>
        </w:rPr>
        <w:t xml:space="preserve"> </w:t>
      </w:r>
      <w:r w:rsidR="0087099A" w:rsidRPr="00D045D7">
        <w:rPr>
          <w:szCs w:val="21"/>
        </w:rPr>
        <w:t xml:space="preserve">con 1 carrera en el </w:t>
      </w:r>
      <w:r w:rsidR="00816B45" w:rsidRPr="00D045D7">
        <w:rPr>
          <w:szCs w:val="21"/>
        </w:rPr>
        <w:t xml:space="preserve">segundo </w:t>
      </w:r>
      <w:r w:rsidR="0087099A" w:rsidRPr="00D045D7">
        <w:rPr>
          <w:szCs w:val="21"/>
        </w:rPr>
        <w:t>lugar, y la Universidad Autónoma Metropolitana</w:t>
      </w:r>
      <w:r w:rsidR="005D0DCD" w:rsidRPr="00D045D7">
        <w:rPr>
          <w:szCs w:val="21"/>
        </w:rPr>
        <w:t xml:space="preserve"> </w:t>
      </w:r>
      <w:r w:rsidR="0087099A" w:rsidRPr="00D045D7">
        <w:rPr>
          <w:szCs w:val="21"/>
        </w:rPr>
        <w:t xml:space="preserve">con 1 licenciatura en el </w:t>
      </w:r>
      <w:r w:rsidR="00816B45" w:rsidRPr="00D045D7">
        <w:rPr>
          <w:szCs w:val="21"/>
        </w:rPr>
        <w:t xml:space="preserve">tercer </w:t>
      </w:r>
      <w:r w:rsidR="0087099A" w:rsidRPr="00D045D7">
        <w:rPr>
          <w:szCs w:val="21"/>
        </w:rPr>
        <w:t>lugar (ver Tabla 16). El resto de las universidades públicas, incluida la Universidad Autónoma del Estado de México, fueron clasificadas entre las posiciones 5 y 15.</w:t>
      </w:r>
      <w:r w:rsidR="00EB5401">
        <w:rPr>
          <w:szCs w:val="21"/>
        </w:rPr>
        <w:br w:type="page"/>
      </w:r>
    </w:p>
    <w:p w14:paraId="76FA8CE0" w14:textId="77777777" w:rsidR="00F77487" w:rsidRPr="00D045D7" w:rsidRDefault="00F77487" w:rsidP="00CE6A7D">
      <w:pPr>
        <w:pStyle w:val="Prrafodelista"/>
        <w:spacing w:after="0" w:line="240" w:lineRule="auto"/>
        <w:jc w:val="both"/>
        <w:rPr>
          <w:szCs w:val="21"/>
        </w:rPr>
      </w:pPr>
    </w:p>
    <w:tbl>
      <w:tblPr>
        <w:tblStyle w:val="Tablaconcuadrcula"/>
        <w:tblW w:w="6876" w:type="dxa"/>
        <w:jc w:val="center"/>
        <w:tblLook w:val="04A0" w:firstRow="1" w:lastRow="0" w:firstColumn="1" w:lastColumn="0" w:noHBand="0" w:noVBand="1"/>
      </w:tblPr>
      <w:tblGrid>
        <w:gridCol w:w="6876"/>
      </w:tblGrid>
      <w:tr w:rsidR="00CE6A7D" w:rsidRPr="00D045D7" w14:paraId="2EB05C30" w14:textId="77777777" w:rsidTr="00DF70A6">
        <w:trPr>
          <w:trHeight w:val="354"/>
          <w:jc w:val="center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14:paraId="548FE0D0" w14:textId="62AC6BFA" w:rsidR="00CE6A7D" w:rsidRPr="00D045D7" w:rsidRDefault="00CE6A7D" w:rsidP="009B28D6">
            <w:pPr>
              <w:pStyle w:val="Prrafodelista"/>
              <w:ind w:left="0"/>
              <w:rPr>
                <w:noProof/>
                <w:szCs w:val="21"/>
                <w:lang w:eastAsia="es-MX"/>
              </w:rPr>
            </w:pPr>
            <w:r w:rsidRPr="00D045D7">
              <w:rPr>
                <w:b/>
                <w:sz w:val="18"/>
                <w:szCs w:val="21"/>
              </w:rPr>
              <w:t xml:space="preserve">Tabla </w:t>
            </w:r>
            <w:r w:rsidR="00F36C92" w:rsidRPr="00D045D7">
              <w:rPr>
                <w:b/>
                <w:sz w:val="18"/>
                <w:szCs w:val="21"/>
              </w:rPr>
              <w:t>2</w:t>
            </w:r>
            <w:r w:rsidRPr="00D045D7">
              <w:rPr>
                <w:b/>
                <w:sz w:val="18"/>
                <w:szCs w:val="21"/>
              </w:rPr>
              <w:t xml:space="preserve">. Metodología del ranking </w:t>
            </w:r>
            <w:r w:rsidR="009B28D6" w:rsidRPr="00D045D7">
              <w:rPr>
                <w:b/>
                <w:sz w:val="18"/>
                <w:szCs w:val="21"/>
              </w:rPr>
              <w:t>“L</w:t>
            </w:r>
            <w:r w:rsidRPr="00D045D7">
              <w:rPr>
                <w:b/>
                <w:sz w:val="18"/>
                <w:szCs w:val="21"/>
              </w:rPr>
              <w:t>as Mejores Universidades 2022</w:t>
            </w:r>
            <w:r w:rsidR="009B28D6" w:rsidRPr="00D045D7">
              <w:rPr>
                <w:b/>
                <w:sz w:val="18"/>
                <w:szCs w:val="21"/>
              </w:rPr>
              <w:t>”</w:t>
            </w:r>
            <w:r w:rsidRPr="00D045D7">
              <w:rPr>
                <w:b/>
                <w:sz w:val="18"/>
                <w:szCs w:val="21"/>
              </w:rPr>
              <w:t>.</w:t>
            </w:r>
          </w:p>
        </w:tc>
      </w:tr>
      <w:tr w:rsidR="00CE6A7D" w:rsidRPr="00D045D7" w14:paraId="68355531" w14:textId="77777777" w:rsidTr="00DF70A6">
        <w:trPr>
          <w:trHeight w:val="1009"/>
          <w:jc w:val="center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14:paraId="3ECD61FF" w14:textId="77777777" w:rsidR="00CE6A7D" w:rsidRPr="00D045D7" w:rsidRDefault="00CE6A7D" w:rsidP="00DF70A6">
            <w:pPr>
              <w:pStyle w:val="Prrafodelista"/>
              <w:ind w:left="0"/>
              <w:jc w:val="center"/>
              <w:rPr>
                <w:szCs w:val="21"/>
              </w:rPr>
            </w:pPr>
            <w:r w:rsidRPr="00D045D7">
              <w:rPr>
                <w:noProof/>
                <w:szCs w:val="21"/>
                <w:lang w:eastAsia="es-MX"/>
              </w:rPr>
              <w:drawing>
                <wp:inline distT="0" distB="0" distL="0" distR="0" wp14:anchorId="3FAB3277" wp14:editId="25BBC8D0">
                  <wp:extent cx="4227227" cy="669144"/>
                  <wp:effectExtent l="0" t="0" r="1905" b="0"/>
                  <wp:docPr id="7" name="Imagen 7" descr="Gráfi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Gráfico&#10;&#10;Descripción generada automáticamente con confianza baj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728" cy="73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FA76B" w14:textId="77777777" w:rsidR="00C30BBD" w:rsidRPr="00D045D7" w:rsidRDefault="00C30BBD" w:rsidP="00365884">
      <w:pPr>
        <w:spacing w:after="0" w:line="240" w:lineRule="auto"/>
        <w:rPr>
          <w:sz w:val="18"/>
          <w:szCs w:val="18"/>
        </w:rPr>
      </w:pPr>
    </w:p>
    <w:p w14:paraId="2668B341" w14:textId="77777777" w:rsidR="00360DB0" w:rsidRPr="00D045D7" w:rsidRDefault="00360DB0" w:rsidP="00EB5401">
      <w:pPr>
        <w:spacing w:after="0" w:line="240" w:lineRule="auto"/>
        <w:jc w:val="center"/>
        <w:rPr>
          <w:b/>
          <w:szCs w:val="21"/>
        </w:rPr>
      </w:pPr>
      <w:r w:rsidRPr="00D045D7">
        <w:rPr>
          <w:b/>
          <w:szCs w:val="21"/>
        </w:rPr>
        <w:t>Resultados</w:t>
      </w:r>
    </w:p>
    <w:p w14:paraId="344E8400" w14:textId="227E40DC" w:rsidR="001940B5" w:rsidRPr="00D045D7" w:rsidRDefault="001940B5" w:rsidP="001940B5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 xml:space="preserve">El ranking </w:t>
      </w:r>
      <w:r w:rsidR="00A25568" w:rsidRPr="00D045D7">
        <w:rPr>
          <w:i/>
          <w:szCs w:val="21"/>
        </w:rPr>
        <w:t>Reforma</w:t>
      </w:r>
      <w:r w:rsidR="00A25568" w:rsidRPr="00D045D7">
        <w:rPr>
          <w:szCs w:val="21"/>
        </w:rPr>
        <w:t xml:space="preserve"> </w:t>
      </w:r>
      <w:r w:rsidR="009B28D6" w:rsidRPr="00D045D7">
        <w:rPr>
          <w:szCs w:val="21"/>
        </w:rPr>
        <w:t>“</w:t>
      </w:r>
      <w:r w:rsidRPr="00D045D7">
        <w:rPr>
          <w:b/>
          <w:szCs w:val="21"/>
        </w:rPr>
        <w:t>Las Mejores Universidades</w:t>
      </w:r>
      <w:r w:rsidRPr="00D045D7">
        <w:rPr>
          <w:b/>
          <w:bCs/>
          <w:szCs w:val="21"/>
        </w:rPr>
        <w:t xml:space="preserve"> 2022</w:t>
      </w:r>
      <w:r w:rsidR="009B28D6" w:rsidRPr="00D045D7">
        <w:rPr>
          <w:b/>
          <w:bCs/>
          <w:szCs w:val="21"/>
        </w:rPr>
        <w:t>”</w:t>
      </w:r>
      <w:r w:rsidRPr="00D045D7">
        <w:rPr>
          <w:szCs w:val="21"/>
        </w:rPr>
        <w:t xml:space="preserve"> evaluó a 67 universidades</w:t>
      </w:r>
      <w:r w:rsidR="004F2FD0" w:rsidRPr="00D045D7">
        <w:rPr>
          <w:szCs w:val="21"/>
        </w:rPr>
        <w:t xml:space="preserve"> de la Ciudad de México y </w:t>
      </w:r>
      <w:r w:rsidR="005D0DCD" w:rsidRPr="00D045D7">
        <w:rPr>
          <w:szCs w:val="21"/>
        </w:rPr>
        <w:t xml:space="preserve">el </w:t>
      </w:r>
      <w:r w:rsidR="00BA1A41" w:rsidRPr="00D045D7">
        <w:rPr>
          <w:szCs w:val="21"/>
        </w:rPr>
        <w:t>Á</w:t>
      </w:r>
      <w:r w:rsidR="004F2FD0" w:rsidRPr="00D045D7">
        <w:rPr>
          <w:szCs w:val="21"/>
        </w:rPr>
        <w:t xml:space="preserve">rea </w:t>
      </w:r>
      <w:r w:rsidR="00BA1A41" w:rsidRPr="00D045D7">
        <w:rPr>
          <w:szCs w:val="21"/>
        </w:rPr>
        <w:t>M</w:t>
      </w:r>
      <w:r w:rsidR="004F2FD0" w:rsidRPr="00D045D7">
        <w:rPr>
          <w:szCs w:val="21"/>
        </w:rPr>
        <w:t>etropolitana</w:t>
      </w:r>
      <w:r w:rsidRPr="00D045D7">
        <w:rPr>
          <w:szCs w:val="21"/>
        </w:rPr>
        <w:t xml:space="preserve">. </w:t>
      </w:r>
      <w:r w:rsidR="005D0DCD" w:rsidRPr="00D045D7">
        <w:rPr>
          <w:szCs w:val="21"/>
        </w:rPr>
        <w:t>Sin embargo,</w:t>
      </w:r>
      <w:r w:rsidRPr="00D045D7">
        <w:rPr>
          <w:szCs w:val="21"/>
        </w:rPr>
        <w:t xml:space="preserve"> el ranking publicó </w:t>
      </w:r>
      <w:r w:rsidR="00816B45" w:rsidRPr="00D045D7">
        <w:rPr>
          <w:szCs w:val="21"/>
        </w:rPr>
        <w:t xml:space="preserve">únicamente </w:t>
      </w:r>
      <w:r w:rsidRPr="00D045D7">
        <w:rPr>
          <w:szCs w:val="21"/>
        </w:rPr>
        <w:t xml:space="preserve">los resultados de 43 universidades mexicanas, probablemente debido a que algunas universidades no cumplieron con los requisitos metodológicos. </w:t>
      </w:r>
    </w:p>
    <w:p w14:paraId="432AC958" w14:textId="77777777" w:rsidR="001940B5" w:rsidRPr="00D045D7" w:rsidRDefault="001940B5" w:rsidP="001940B5">
      <w:pPr>
        <w:pStyle w:val="Prrafodelista"/>
        <w:spacing w:after="0" w:line="240" w:lineRule="auto"/>
        <w:ind w:left="0"/>
        <w:jc w:val="both"/>
        <w:rPr>
          <w:szCs w:val="21"/>
        </w:rPr>
      </w:pPr>
    </w:p>
    <w:p w14:paraId="51913963" w14:textId="0F335749" w:rsidR="005D0DCD" w:rsidRPr="00D045D7" w:rsidRDefault="001940B5" w:rsidP="005D0DCD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 xml:space="preserve">Para el propósito de este análisis solo </w:t>
      </w:r>
      <w:r w:rsidR="00816B45" w:rsidRPr="00D045D7">
        <w:rPr>
          <w:szCs w:val="21"/>
        </w:rPr>
        <w:t xml:space="preserve">se </w:t>
      </w:r>
      <w:r w:rsidR="004F2FD0" w:rsidRPr="00D045D7">
        <w:rPr>
          <w:szCs w:val="21"/>
        </w:rPr>
        <w:t xml:space="preserve">incluirán </w:t>
      </w:r>
      <w:r w:rsidRPr="00D045D7">
        <w:rPr>
          <w:szCs w:val="21"/>
        </w:rPr>
        <w:t xml:space="preserve">los programas en los que participa la </w:t>
      </w:r>
      <w:r w:rsidRPr="00D045D7">
        <w:rPr>
          <w:b/>
          <w:bCs/>
          <w:szCs w:val="21"/>
        </w:rPr>
        <w:t>UNAM</w:t>
      </w:r>
      <w:r w:rsidR="00AA3298">
        <w:rPr>
          <w:b/>
          <w:bCs/>
          <w:szCs w:val="21"/>
        </w:rPr>
        <w:t>,</w:t>
      </w:r>
      <w:r w:rsidR="004F2FD0" w:rsidRPr="00D045D7">
        <w:rPr>
          <w:szCs w:val="21"/>
        </w:rPr>
        <w:t xml:space="preserve"> r</w:t>
      </w:r>
      <w:r w:rsidRPr="00D045D7">
        <w:rPr>
          <w:szCs w:val="21"/>
        </w:rPr>
        <w:t>azón por la cual consider</w:t>
      </w:r>
      <w:r w:rsidR="00BA1A41" w:rsidRPr="00D045D7">
        <w:rPr>
          <w:szCs w:val="21"/>
        </w:rPr>
        <w:t>a</w:t>
      </w:r>
      <w:r w:rsidR="00E57B7F">
        <w:rPr>
          <w:szCs w:val="21"/>
        </w:rPr>
        <w:t xml:space="preserve"> </w:t>
      </w:r>
      <w:r w:rsidRPr="00D045D7">
        <w:rPr>
          <w:szCs w:val="21"/>
        </w:rPr>
        <w:t>36 universidades.</w:t>
      </w:r>
      <w:r w:rsidR="00360DB0" w:rsidRPr="00D045D7">
        <w:rPr>
          <w:szCs w:val="21"/>
        </w:rPr>
        <w:t xml:space="preserve"> A continuación</w:t>
      </w:r>
      <w:r w:rsidR="00930264" w:rsidRPr="00D045D7">
        <w:rPr>
          <w:szCs w:val="21"/>
        </w:rPr>
        <w:t>,</w:t>
      </w:r>
      <w:r w:rsidR="00360DB0" w:rsidRPr="00D045D7">
        <w:rPr>
          <w:szCs w:val="21"/>
        </w:rPr>
        <w:t xml:space="preserve"> </w:t>
      </w:r>
      <w:r w:rsidR="00816B45" w:rsidRPr="00D045D7">
        <w:rPr>
          <w:szCs w:val="21"/>
        </w:rPr>
        <w:t>presentamos</w:t>
      </w:r>
      <w:r w:rsidR="00360DB0" w:rsidRPr="00D045D7">
        <w:rPr>
          <w:szCs w:val="21"/>
        </w:rPr>
        <w:t xml:space="preserve"> los datos de</w:t>
      </w:r>
      <w:r w:rsidRPr="00D045D7">
        <w:rPr>
          <w:szCs w:val="21"/>
        </w:rPr>
        <w:t xml:space="preserve"> la posición y el puntaje obtenidos por las universidades clasificadas en cada uno de los programas de licenciatura</w:t>
      </w:r>
      <w:r w:rsidR="005D0DCD" w:rsidRPr="00D045D7">
        <w:rPr>
          <w:szCs w:val="21"/>
        </w:rPr>
        <w:t>, con la excepción de las carreras de finanzas, gastronomía y mercadotecnia.</w:t>
      </w:r>
    </w:p>
    <w:p w14:paraId="600E4700" w14:textId="77777777" w:rsidR="005D0DCD" w:rsidRPr="00D045D7" w:rsidRDefault="005D0DCD" w:rsidP="00586044">
      <w:pPr>
        <w:pStyle w:val="Prrafodelista"/>
        <w:rPr>
          <w:szCs w:val="21"/>
        </w:rPr>
      </w:pPr>
    </w:p>
    <w:p w14:paraId="0E4972CB" w14:textId="77777777" w:rsidR="005D0DCD" w:rsidRPr="00D045D7" w:rsidRDefault="005D0DCD" w:rsidP="00586044">
      <w:pPr>
        <w:pStyle w:val="Prrafodelista"/>
        <w:spacing w:after="0" w:line="240" w:lineRule="auto"/>
        <w:ind w:left="0"/>
        <w:jc w:val="both"/>
        <w:rPr>
          <w:szCs w:val="21"/>
        </w:rPr>
      </w:pPr>
    </w:p>
    <w:p w14:paraId="463CD837" w14:textId="77777777" w:rsidR="00C23E14" w:rsidRPr="00D045D7" w:rsidRDefault="00C23E14" w:rsidP="00365884">
      <w:pPr>
        <w:spacing w:after="0" w:line="240" w:lineRule="auto"/>
        <w:rPr>
          <w:sz w:val="2"/>
          <w:szCs w:val="2"/>
        </w:rPr>
      </w:pPr>
    </w:p>
    <w:p w14:paraId="219D3E13" w14:textId="77777777" w:rsidR="00C23E14" w:rsidRPr="003473FF" w:rsidRDefault="00C23E14" w:rsidP="00365884">
      <w:pPr>
        <w:pStyle w:val="Prrafodelista"/>
        <w:spacing w:after="0" w:line="240" w:lineRule="auto"/>
        <w:jc w:val="both"/>
        <w:rPr>
          <w:sz w:val="2"/>
          <w:szCs w:val="2"/>
        </w:rPr>
      </w:pPr>
    </w:p>
    <w:p w14:paraId="4AAE71C8" w14:textId="77777777" w:rsidR="00C23E14" w:rsidRPr="003473FF" w:rsidRDefault="00C23E14" w:rsidP="00365884">
      <w:pPr>
        <w:pStyle w:val="Prrafodelista"/>
        <w:spacing w:after="0" w:line="240" w:lineRule="auto"/>
        <w:jc w:val="both"/>
        <w:rPr>
          <w:sz w:val="2"/>
          <w:szCs w:val="2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170209EC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352F3" w14:textId="70AF7185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3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BA1A41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</w:tr>
      <w:tr w:rsidR="00DF70A6" w:rsidRPr="00D045D7" w14:paraId="27798D7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4F24E4" w14:textId="31E1444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221BA7" w14:textId="59F9556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B9090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DF70A6" w:rsidRPr="00D045D7" w14:paraId="7A977DB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10F6" w14:textId="2A04824D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BC90" w14:textId="7047270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EBD5" w14:textId="5FBFA4B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9.56</w:t>
            </w:r>
          </w:p>
        </w:tc>
      </w:tr>
      <w:tr w:rsidR="00DF70A6" w:rsidRPr="00D045D7" w14:paraId="362F7C2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0935AF" w14:textId="0A079426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BFE094" w14:textId="6E41954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175FA9" w14:textId="5AA8363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9.00</w:t>
            </w:r>
          </w:p>
        </w:tc>
      </w:tr>
      <w:tr w:rsidR="00DF70A6" w:rsidRPr="00D045D7" w14:paraId="2F39860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7784" w14:textId="5FCB36EA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2422" w14:textId="2D5D79E1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1420" w14:textId="3158FD39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8.99</w:t>
            </w:r>
          </w:p>
        </w:tc>
      </w:tr>
      <w:tr w:rsidR="00DF70A6" w:rsidRPr="00D045D7" w14:paraId="0F5A0FC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5D5722" w14:textId="1206A94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D6E845" w14:textId="4A0AE76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998E55" w14:textId="59F4A8E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8.99</w:t>
            </w:r>
          </w:p>
        </w:tc>
      </w:tr>
      <w:tr w:rsidR="00DF70A6" w:rsidRPr="00D045D7" w14:paraId="150F535B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0A41" w14:textId="24996682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7233" w14:textId="5AE4639B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781" w14:textId="456AF28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8.97</w:t>
            </w:r>
          </w:p>
        </w:tc>
      </w:tr>
      <w:tr w:rsidR="00DF70A6" w:rsidRPr="00D045D7" w14:paraId="6B280E0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E36506" w14:textId="2BFE4EE9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FD97B0" w14:textId="296C0408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0F54F" w14:textId="060BAF7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8.96</w:t>
            </w:r>
          </w:p>
        </w:tc>
      </w:tr>
      <w:tr w:rsidR="00DF70A6" w:rsidRPr="00D045D7" w14:paraId="36ED18C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9A4B" w14:textId="562617A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Justo Sierra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8666" w14:textId="41A760E9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DF21" w14:textId="6CD1FF69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8.91</w:t>
            </w:r>
          </w:p>
        </w:tc>
      </w:tr>
      <w:tr w:rsidR="00DF70A6" w:rsidRPr="00D045D7" w14:paraId="27725ED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C5FD1B" w14:textId="0E659DA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DC287D" w14:textId="4F550C4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0A24F7" w14:textId="551E2AE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8.89</w:t>
            </w:r>
          </w:p>
        </w:tc>
      </w:tr>
      <w:tr w:rsidR="00DF70A6" w:rsidRPr="00D045D7" w14:paraId="4D2D336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11BF" w14:textId="6B5D2C6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2BC" w14:textId="228BB673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96F4" w14:textId="276A688B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8.70</w:t>
            </w:r>
          </w:p>
        </w:tc>
      </w:tr>
      <w:tr w:rsidR="00DF70A6" w:rsidRPr="00D045D7" w14:paraId="5F35D9B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E2C35A" w14:textId="707CB85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Escuela Bancaria y Comercial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19E6BC" w14:textId="762CC08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B59EDA" w14:textId="720D5641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8.61</w:t>
            </w:r>
          </w:p>
        </w:tc>
      </w:tr>
      <w:tr w:rsidR="00DF70A6" w:rsidRPr="00D045D7" w14:paraId="5EB145C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A1C6" w14:textId="7BB7DA0F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4548" w14:textId="6F6D121C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A209" w14:textId="6BC27D48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8.58</w:t>
            </w:r>
          </w:p>
        </w:tc>
      </w:tr>
      <w:tr w:rsidR="00DF70A6" w:rsidRPr="00D045D7" w14:paraId="4030FE1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B27D11" w14:textId="57355B2C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Escuela Comercial Cámara de Comercio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CDB948" w14:textId="6AB70E7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49D386" w14:textId="6E764C9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8.58</w:t>
            </w:r>
          </w:p>
        </w:tc>
      </w:tr>
      <w:tr w:rsidR="00DF70A6" w:rsidRPr="00D045D7" w14:paraId="06E89DE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1114" w14:textId="34F78C37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D1C8" w14:textId="5974B17E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A5F2" w14:textId="73F0CE58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8.53</w:t>
            </w:r>
          </w:p>
        </w:tc>
      </w:tr>
      <w:tr w:rsidR="00DF70A6" w:rsidRPr="00D045D7" w14:paraId="42AAF6F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08F6DE" w14:textId="17CADCA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FD5BF0" w14:textId="1EFE1218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CDD8E" w14:textId="125F6204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8.53</w:t>
            </w:r>
          </w:p>
        </w:tc>
      </w:tr>
      <w:tr w:rsidR="00DF70A6" w:rsidRPr="00D045D7" w14:paraId="0440D3D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FC76" w14:textId="0B6982C1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BD0C" w14:textId="36F35573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423D" w14:textId="0B0BA9E7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8.26</w:t>
            </w:r>
          </w:p>
        </w:tc>
      </w:tr>
      <w:tr w:rsidR="00DF70A6" w:rsidRPr="00D045D7" w14:paraId="004B598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E81866" w14:textId="42E0368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0B6C85" w14:textId="22DF12FC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4EF180" w14:textId="70B65458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7.58</w:t>
            </w:r>
          </w:p>
        </w:tc>
      </w:tr>
    </w:tbl>
    <w:p w14:paraId="7DAC47B0" w14:textId="004E58C7" w:rsidR="00BF3D8A" w:rsidRPr="00D045D7" w:rsidRDefault="00BF3D8A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7FE45E87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CCF51F" w14:textId="710E509A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4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BA1A41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Arquitectura</w:t>
            </w:r>
          </w:p>
        </w:tc>
      </w:tr>
      <w:tr w:rsidR="00DF70A6" w:rsidRPr="00D045D7" w14:paraId="3CC2284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70B710D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FD046D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9F7115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DF70A6" w:rsidRPr="00D045D7" w14:paraId="73DCE29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9948" w14:textId="3171791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6487" w14:textId="693E35E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752B" w14:textId="12A79A2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8.64</w:t>
            </w:r>
          </w:p>
        </w:tc>
      </w:tr>
      <w:tr w:rsidR="00DF70A6" w:rsidRPr="00D045D7" w14:paraId="793C2CA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EC9662" w14:textId="42D1372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523958" w14:textId="6F3D0E4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6EB5AA" w14:textId="145AC95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8.64</w:t>
            </w:r>
          </w:p>
        </w:tc>
      </w:tr>
      <w:tr w:rsidR="00DF70A6" w:rsidRPr="00D045D7" w14:paraId="3C3F25F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B9BE" w14:textId="79E9C90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74FC" w14:textId="18D19F2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9B8B" w14:textId="3CD483F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8.29</w:t>
            </w:r>
          </w:p>
        </w:tc>
      </w:tr>
      <w:tr w:rsidR="00DF70A6" w:rsidRPr="00D045D7" w14:paraId="0A7AE42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9FAED2" w14:textId="3FD6CBC2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029C6F" w14:textId="2E539A1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38289D" w14:textId="584AF1D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8.23</w:t>
            </w:r>
          </w:p>
        </w:tc>
      </w:tr>
      <w:tr w:rsidR="00DF70A6" w:rsidRPr="00D045D7" w14:paraId="0CC98D5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9332" w14:textId="4E2CB99E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B5A3" w14:textId="24D9CD8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0B34" w14:textId="52AF43F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8.17</w:t>
            </w:r>
          </w:p>
        </w:tc>
      </w:tr>
      <w:tr w:rsidR="00DF70A6" w:rsidRPr="00D045D7" w14:paraId="50D7AC0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3F9547" w14:textId="28CEEE8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4E7C64" w14:textId="25A0EFA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06D99F" w14:textId="2A15DDB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8.14</w:t>
            </w:r>
          </w:p>
        </w:tc>
      </w:tr>
      <w:tr w:rsidR="00DF70A6" w:rsidRPr="00D045D7" w14:paraId="3788DF3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B819" w14:textId="23E864DE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8754" w14:textId="25725DE2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58E3" w14:textId="2F887AA6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8.02</w:t>
            </w:r>
          </w:p>
        </w:tc>
      </w:tr>
      <w:tr w:rsidR="00DF70A6" w:rsidRPr="00D045D7" w14:paraId="5AC8C34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E8509F" w14:textId="21D5FA17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699F1B" w14:textId="28E7F848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09A341" w14:textId="662CB74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7.91</w:t>
            </w:r>
          </w:p>
        </w:tc>
      </w:tr>
      <w:tr w:rsidR="00DF70A6" w:rsidRPr="00D045D7" w14:paraId="16382D8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8BD15" w14:textId="5C7FDF7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83D" w14:textId="30AC5BFA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35A8" w14:textId="5F5162CE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7.79</w:t>
            </w:r>
          </w:p>
        </w:tc>
      </w:tr>
      <w:tr w:rsidR="00DF70A6" w:rsidRPr="00D045D7" w14:paraId="1F6992D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363536" w14:textId="504862A2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A40474" w14:textId="03FCCCF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4B9394" w14:textId="14504A6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7.73</w:t>
            </w:r>
          </w:p>
        </w:tc>
      </w:tr>
    </w:tbl>
    <w:p w14:paraId="7477DABB" w14:textId="657F1E1E" w:rsidR="00EB5401" w:rsidRDefault="00EB5401" w:rsidP="00BF3D8A">
      <w:pPr>
        <w:spacing w:after="0" w:line="240" w:lineRule="auto"/>
        <w:jc w:val="both"/>
        <w:rPr>
          <w:szCs w:val="21"/>
        </w:rPr>
      </w:pPr>
    </w:p>
    <w:p w14:paraId="58B3403C" w14:textId="77777777" w:rsidR="00EB5401" w:rsidRDefault="00EB5401">
      <w:pPr>
        <w:rPr>
          <w:szCs w:val="21"/>
        </w:rPr>
      </w:pPr>
      <w:r>
        <w:rPr>
          <w:szCs w:val="21"/>
        </w:rPr>
        <w:br w:type="page"/>
      </w:r>
    </w:p>
    <w:p w14:paraId="23D60B60" w14:textId="77777777" w:rsidR="00E642EA" w:rsidRPr="00D045D7" w:rsidRDefault="00E642EA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35366ED7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DCF1D6" w14:textId="7FEECD24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5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BA1A41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Periodismo</w:t>
            </w:r>
          </w:p>
        </w:tc>
      </w:tr>
      <w:tr w:rsidR="00DF70A6" w:rsidRPr="00D045D7" w14:paraId="73C3555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470E9E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087514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804427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DF70A6" w:rsidRPr="00D045D7" w14:paraId="72AAA06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091C" w14:textId="17A04AEC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4AB9" w14:textId="2C11C30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3CA1" w14:textId="02CFE31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8.95</w:t>
            </w:r>
          </w:p>
        </w:tc>
      </w:tr>
      <w:tr w:rsidR="00DF70A6" w:rsidRPr="00D045D7" w14:paraId="1F87A0A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D8E321" w14:textId="39089F38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8E3857" w14:textId="5538028B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1422CC" w14:textId="3A0EB91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8.94</w:t>
            </w:r>
          </w:p>
        </w:tc>
      </w:tr>
      <w:tr w:rsidR="00DF70A6" w:rsidRPr="00D045D7" w14:paraId="7FDE016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D5B" w14:textId="5E134629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6FC1" w14:textId="3A1B74B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14D5" w14:textId="3F89F46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8.83</w:t>
            </w:r>
          </w:p>
        </w:tc>
      </w:tr>
      <w:tr w:rsidR="00DF70A6" w:rsidRPr="00D045D7" w14:paraId="0884C9D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E98878" w14:textId="164DE60E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251D5D" w14:textId="4427E45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E4545A" w14:textId="6F29545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8.83</w:t>
            </w:r>
          </w:p>
        </w:tc>
      </w:tr>
      <w:tr w:rsidR="00DF70A6" w:rsidRPr="00D045D7" w14:paraId="303C3C4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8847" w14:textId="44517A8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 Intercontinental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09D3" w14:textId="5E58FC8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AB0E" w14:textId="400AA50B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8.73</w:t>
            </w:r>
          </w:p>
        </w:tc>
      </w:tr>
      <w:tr w:rsidR="00DF70A6" w:rsidRPr="00D045D7" w14:paraId="39B09FB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E099B4" w14:textId="0511EEA6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754D2E" w14:textId="2574598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1EBFCA" w14:textId="549FFD1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8.50</w:t>
            </w:r>
          </w:p>
        </w:tc>
      </w:tr>
      <w:tr w:rsidR="00DF70A6" w:rsidRPr="00D045D7" w14:paraId="2CFF05C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236D" w14:textId="53B822FC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D98C" w14:textId="2F29BE86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BE9A" w14:textId="50720071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8.48</w:t>
            </w:r>
          </w:p>
        </w:tc>
      </w:tr>
      <w:tr w:rsidR="00DF70A6" w:rsidRPr="00D045D7" w14:paraId="60456D8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8D18BA" w14:textId="0C4B0DB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FA8053" w14:textId="705B535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19A115" w14:textId="368E4958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8.47</w:t>
            </w:r>
          </w:p>
        </w:tc>
      </w:tr>
      <w:tr w:rsidR="00DF70A6" w:rsidRPr="00D045D7" w14:paraId="121BCA3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D300" w14:textId="0B05296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8EDA" w14:textId="4134400F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1198" w14:textId="264C12A3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8.40</w:t>
            </w:r>
          </w:p>
        </w:tc>
      </w:tr>
      <w:tr w:rsidR="00DF70A6" w:rsidRPr="00D045D7" w14:paraId="7844AA1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2A4DB7" w14:textId="16680681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F4513B" w14:textId="34F1A22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DCFF8D" w14:textId="2573427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8.40</w:t>
            </w:r>
          </w:p>
        </w:tc>
      </w:tr>
      <w:tr w:rsidR="00DF70A6" w:rsidRPr="00D045D7" w14:paraId="4F6285E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68A9" w14:textId="1591731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Escuela de Periodismo Carlos Septién García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0FE9" w14:textId="75D33507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2280" w14:textId="14EDDDF7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8.38</w:t>
            </w:r>
          </w:p>
        </w:tc>
      </w:tr>
      <w:tr w:rsidR="00DF70A6" w:rsidRPr="00D045D7" w14:paraId="7007351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B8D7DA" w14:textId="5BAC4D08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3D783E" w14:textId="01FE5EC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3AEF9E" w14:textId="4ACC87D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8.31</w:t>
            </w:r>
          </w:p>
        </w:tc>
      </w:tr>
      <w:tr w:rsidR="00DF70A6" w:rsidRPr="00D045D7" w14:paraId="06F1A97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BE7FA" w14:textId="287AB30F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5463" w14:textId="2918F412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2964" w14:textId="1EBEBCEF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7.77</w:t>
            </w:r>
          </w:p>
        </w:tc>
      </w:tr>
    </w:tbl>
    <w:p w14:paraId="048C5671" w14:textId="2F3C640F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3E12D8BA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127B58" w14:textId="7B9622E2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6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BA1A41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</w:tr>
      <w:tr w:rsidR="00DF70A6" w:rsidRPr="00D045D7" w14:paraId="4A4B2C1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41137DA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988FB2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CD6FEA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DF70A6" w:rsidRPr="00D045D7" w14:paraId="6A5CB96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3E28" w14:textId="58FD4ED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492B" w14:textId="08C71568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B8C9" w14:textId="588CF532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9.26</w:t>
            </w:r>
          </w:p>
        </w:tc>
      </w:tr>
      <w:tr w:rsidR="00DF70A6" w:rsidRPr="00D045D7" w14:paraId="5180491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41B914" w14:textId="32A764C5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65F621" w14:textId="5AD198BB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A01CDF" w14:textId="35DD1C7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9.22</w:t>
            </w:r>
          </w:p>
        </w:tc>
      </w:tr>
      <w:tr w:rsidR="00DF70A6" w:rsidRPr="00D045D7" w14:paraId="10396DB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FD18A" w14:textId="7E9AF07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7618" w14:textId="1907747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6431" w14:textId="4E0B1F3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9.00</w:t>
            </w:r>
          </w:p>
        </w:tc>
      </w:tr>
      <w:tr w:rsidR="00DF70A6" w:rsidRPr="00D045D7" w14:paraId="282306E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33BF82" w14:textId="1BBA6198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469B86" w14:textId="583ED66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C9071F" w14:textId="7DB4844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8.98</w:t>
            </w:r>
          </w:p>
        </w:tc>
      </w:tr>
      <w:tr w:rsidR="00DF70A6" w:rsidRPr="00D045D7" w14:paraId="213BD70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BEAD" w14:textId="1144C8CF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E3FD" w14:textId="16D8554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4563" w14:textId="044CB22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8.94</w:t>
            </w:r>
          </w:p>
        </w:tc>
      </w:tr>
      <w:tr w:rsidR="00DF70A6" w:rsidRPr="00D045D7" w14:paraId="4E09757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B62A1A" w14:textId="0D5C4E5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79DE24" w14:textId="2935A829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4BFBD9" w14:textId="0A80F6D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8.80</w:t>
            </w:r>
          </w:p>
        </w:tc>
      </w:tr>
      <w:tr w:rsidR="00DF70A6" w:rsidRPr="00D045D7" w14:paraId="7CB16FE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C5AED" w14:textId="108AC76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A3D" w14:textId="370FF1AA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2E76" w14:textId="79B6D248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8.68</w:t>
            </w:r>
          </w:p>
        </w:tc>
      </w:tr>
      <w:tr w:rsidR="00DF70A6" w:rsidRPr="00D045D7" w14:paraId="577276F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200276" w14:textId="75AE17F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Escuela Bancaria y Comercial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0B2C3A" w14:textId="32D9D8F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AC9239" w14:textId="6A652FC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8.65</w:t>
            </w:r>
          </w:p>
        </w:tc>
      </w:tr>
      <w:tr w:rsidR="00DF70A6" w:rsidRPr="00D045D7" w14:paraId="2D191C5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B40C" w14:textId="46E7D4E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088C" w14:textId="46DF0D9D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DB0C" w14:textId="761A1141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8.50</w:t>
            </w:r>
          </w:p>
        </w:tc>
      </w:tr>
      <w:tr w:rsidR="00DF70A6" w:rsidRPr="00D045D7" w14:paraId="0598F3D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606223" w14:textId="6114E6E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A1A538" w14:textId="79EBAC65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4C1A47" w14:textId="6141958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8.49</w:t>
            </w:r>
          </w:p>
        </w:tc>
      </w:tr>
      <w:tr w:rsidR="00DF70A6" w:rsidRPr="00D045D7" w14:paraId="23093C9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E448" w14:textId="2C12392E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76F2" w14:textId="52286B15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051F" w14:textId="73A0E881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8.46</w:t>
            </w:r>
          </w:p>
        </w:tc>
      </w:tr>
      <w:tr w:rsidR="00DF70A6" w:rsidRPr="00D045D7" w14:paraId="3F0E6DF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6768BE" w14:textId="7F04A1EF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2A17B6" w14:textId="6FC53E7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DCA764" w14:textId="7CF94F3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8.31</w:t>
            </w:r>
          </w:p>
        </w:tc>
      </w:tr>
    </w:tbl>
    <w:p w14:paraId="3AD770E3" w14:textId="09E89933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49D0F152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F4E3B9" w14:textId="4CE7DADD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7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Derecho</w:t>
            </w:r>
          </w:p>
        </w:tc>
      </w:tr>
      <w:tr w:rsidR="00DF70A6" w:rsidRPr="00D045D7" w14:paraId="5B35969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FC6AAB5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8FCC61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A06AFF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DF70A6" w:rsidRPr="00D045D7" w14:paraId="0DCE3F9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3CE1" w14:textId="0FD50FC2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60A6" w14:textId="7BCA3B1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A323" w14:textId="184B1691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9.19</w:t>
            </w:r>
          </w:p>
        </w:tc>
      </w:tr>
      <w:tr w:rsidR="00DF70A6" w:rsidRPr="00D045D7" w14:paraId="6CB2320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6A87CE" w14:textId="13AD675C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E8BEA7" w14:textId="7E62EE1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E6FE2F" w14:textId="3455C97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9.17</w:t>
            </w:r>
          </w:p>
        </w:tc>
      </w:tr>
      <w:tr w:rsidR="00DF70A6" w:rsidRPr="00D045D7" w14:paraId="3343D3A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3866" w14:textId="5A1FC375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4C4A" w14:textId="0F9A53C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854E" w14:textId="2E8D68F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9.13</w:t>
            </w:r>
          </w:p>
        </w:tc>
      </w:tr>
      <w:tr w:rsidR="00DF70A6" w:rsidRPr="00D045D7" w14:paraId="6535388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C1CABF4" w14:textId="02018E6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FD7F25" w14:textId="10BFB1E6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035734" w14:textId="251880C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9.07</w:t>
            </w:r>
          </w:p>
        </w:tc>
      </w:tr>
      <w:tr w:rsidR="00DF70A6" w:rsidRPr="00D045D7" w14:paraId="0284FE4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DE06" w14:textId="38120473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Escuela Libre de Derecho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687D" w14:textId="264190A9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7B39" w14:textId="3C5777EA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8.99</w:t>
            </w:r>
          </w:p>
        </w:tc>
      </w:tr>
      <w:tr w:rsidR="00DF70A6" w:rsidRPr="00D045D7" w14:paraId="3A5A237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1B5843" w14:textId="02A021A8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15C8DA" w14:textId="5437CEBF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C71AC0" w14:textId="7C034F6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8.99</w:t>
            </w:r>
          </w:p>
        </w:tc>
      </w:tr>
      <w:tr w:rsidR="00DF70A6" w:rsidRPr="00D045D7" w14:paraId="57797D2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A09F" w14:textId="26090C7D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B34D" w14:textId="4430DF91" w:rsidR="00DF70A6" w:rsidRPr="00D045D7" w:rsidRDefault="00DF70A6" w:rsidP="00DF70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6C02" w14:textId="21FD9472" w:rsidR="00DF70A6" w:rsidRPr="00D045D7" w:rsidRDefault="00DF70A6" w:rsidP="00DF70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8.97</w:t>
            </w:r>
          </w:p>
        </w:tc>
      </w:tr>
      <w:tr w:rsidR="00DF70A6" w:rsidRPr="00D045D7" w14:paraId="4B59668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C39896" w14:textId="183499EE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Centro de Investigación y Docencia Económicas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C194A5" w14:textId="35020200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707C32" w14:textId="291378D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8.93</w:t>
            </w:r>
          </w:p>
        </w:tc>
      </w:tr>
      <w:tr w:rsidR="00DF70A6" w:rsidRPr="00D045D7" w14:paraId="1587F51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07A3" w14:textId="6B109F55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DEF1" w14:textId="77BD730A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9E84" w14:textId="39F34DE1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8.71</w:t>
            </w:r>
          </w:p>
        </w:tc>
      </w:tr>
      <w:tr w:rsidR="00DF70A6" w:rsidRPr="00D045D7" w14:paraId="5D53062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D128C0" w14:textId="45FF8555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152198" w14:textId="76AAEA7D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B6A7E0" w14:textId="15F2AAB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8.70</w:t>
            </w:r>
          </w:p>
        </w:tc>
      </w:tr>
      <w:tr w:rsidR="00DF70A6" w:rsidRPr="00D045D7" w14:paraId="3F0589A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E954" w14:textId="198CA260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1474" w14:textId="433DF991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9749" w14:textId="3B9C0E76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8.55</w:t>
            </w:r>
          </w:p>
        </w:tc>
      </w:tr>
      <w:tr w:rsidR="00DF70A6" w:rsidRPr="00D045D7" w14:paraId="3E810C4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7DFBF2" w14:textId="6CE39616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374290" w14:textId="7201C64C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016B5F" w14:textId="492138A3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8.47</w:t>
            </w:r>
          </w:p>
        </w:tc>
      </w:tr>
      <w:tr w:rsidR="00DF70A6" w:rsidRPr="00D045D7" w14:paraId="3ED821F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E7CA" w14:textId="1A8695C4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3515" w14:textId="382C3DCC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347B" w14:textId="144B7A6D" w:rsidR="00DF70A6" w:rsidRPr="00D045D7" w:rsidRDefault="00DF70A6" w:rsidP="00DF70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8.34</w:t>
            </w:r>
          </w:p>
        </w:tc>
      </w:tr>
      <w:tr w:rsidR="00DF70A6" w:rsidRPr="00D045D7" w14:paraId="25E3F31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9B9497" w14:textId="2EA46DBB" w:rsidR="00DF70A6" w:rsidRPr="00D045D7" w:rsidRDefault="00DF70A6" w:rsidP="00DF70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Barra Nacional de Abogados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A01D80" w14:textId="7512795E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989DA1" w14:textId="60C71491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7.94</w:t>
            </w:r>
          </w:p>
        </w:tc>
      </w:tr>
    </w:tbl>
    <w:p w14:paraId="6ADCA00C" w14:textId="6E6E616B" w:rsidR="00EB5401" w:rsidRDefault="00EB5401" w:rsidP="00BF3D8A">
      <w:pPr>
        <w:spacing w:after="0" w:line="240" w:lineRule="auto"/>
        <w:jc w:val="both"/>
        <w:rPr>
          <w:szCs w:val="21"/>
        </w:rPr>
      </w:pPr>
    </w:p>
    <w:p w14:paraId="1B9C4554" w14:textId="77777777" w:rsidR="00EB5401" w:rsidRDefault="00EB5401">
      <w:pPr>
        <w:rPr>
          <w:szCs w:val="21"/>
        </w:rPr>
      </w:pPr>
      <w:r>
        <w:rPr>
          <w:szCs w:val="21"/>
        </w:rPr>
        <w:br w:type="page"/>
      </w:r>
    </w:p>
    <w:p w14:paraId="6D659E14" w14:textId="77777777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17A63DFC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6E61AF" w14:textId="13A4A07C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8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Diseño Gráfico</w:t>
            </w:r>
          </w:p>
        </w:tc>
      </w:tr>
      <w:tr w:rsidR="00DF70A6" w:rsidRPr="00D045D7" w14:paraId="2D27A67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FA4A3FE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3430FF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88BCA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0311F4D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F427" w14:textId="3A5ADD5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5C9B" w14:textId="4AE978B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5105" w14:textId="79C7F95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9.00</w:t>
            </w:r>
          </w:p>
        </w:tc>
      </w:tr>
      <w:tr w:rsidR="0062688F" w:rsidRPr="00D045D7" w14:paraId="25A3945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EA0B7B" w14:textId="07B54CA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C75CCE" w14:textId="514B938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4023A0" w14:textId="5B67F74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8.84</w:t>
            </w:r>
          </w:p>
        </w:tc>
      </w:tr>
      <w:tr w:rsidR="0062688F" w:rsidRPr="00D045D7" w14:paraId="66AB4C8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473D" w14:textId="3E86A9C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B823" w14:textId="4F2BED3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13C6" w14:textId="633934F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8.81</w:t>
            </w:r>
          </w:p>
        </w:tc>
      </w:tr>
      <w:tr w:rsidR="0062688F" w:rsidRPr="00D045D7" w14:paraId="3C019DD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A48AD9" w14:textId="24B1F8F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6F8790" w14:textId="5AA8102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B08C43" w14:textId="7C7FFFB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8.80</w:t>
            </w:r>
          </w:p>
        </w:tc>
      </w:tr>
      <w:tr w:rsidR="0062688F" w:rsidRPr="00D045D7" w14:paraId="6313674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F19E" w14:textId="5581994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F511" w14:textId="67E2CAA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6FA3" w14:textId="028564E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8.76</w:t>
            </w:r>
          </w:p>
        </w:tc>
      </w:tr>
      <w:tr w:rsidR="0062688F" w:rsidRPr="00D045D7" w14:paraId="711931D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6CF470" w14:textId="527CAB8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Centro de Diseño, Cine y Televisión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EA65FF" w14:textId="13CD9AC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57C478" w14:textId="51B6FC3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8.73</w:t>
            </w:r>
          </w:p>
        </w:tc>
      </w:tr>
      <w:tr w:rsidR="0062688F" w:rsidRPr="00D045D7" w14:paraId="3F78096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1370" w14:textId="73F6877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9AEA" w14:textId="53B8F1D8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3C9" w14:textId="7922DC15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8.71</w:t>
            </w:r>
          </w:p>
        </w:tc>
      </w:tr>
      <w:tr w:rsidR="0062688F" w:rsidRPr="00D045D7" w14:paraId="05275C1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0C87A1" w14:textId="4962120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Nacional de Bellas Artes y Literatura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BC30F0" w14:textId="525B89D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AE2DFF" w14:textId="1CC2CB8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8.68</w:t>
            </w:r>
          </w:p>
        </w:tc>
      </w:tr>
      <w:tr w:rsidR="0062688F" w:rsidRPr="00D045D7" w14:paraId="6ABAEA5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B624" w14:textId="7806C12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 Londres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653B" w14:textId="362CB71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86B1" w14:textId="6C795AA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8.63</w:t>
            </w:r>
          </w:p>
        </w:tc>
      </w:tr>
      <w:tr w:rsidR="0062688F" w:rsidRPr="00D045D7" w14:paraId="5BE933B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BC4A92" w14:textId="06979C54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858368" w14:textId="0154E61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0EE162" w14:textId="310C7E5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8.54</w:t>
            </w:r>
          </w:p>
        </w:tc>
      </w:tr>
      <w:tr w:rsidR="0062688F" w:rsidRPr="00D045D7" w14:paraId="2AABF5B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8F0E" w14:textId="4758867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 Cuautitlán Izcalli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DFEE" w14:textId="2A2C1A1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911F" w14:textId="78F136F2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8.49</w:t>
            </w:r>
          </w:p>
        </w:tc>
      </w:tr>
      <w:tr w:rsidR="0062688F" w:rsidRPr="00D045D7" w14:paraId="70C0000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FDD103" w14:textId="58D5DF4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Mexicana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4812AB" w14:textId="1FE32F9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00F4E6" w14:textId="69A4647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8.35</w:t>
            </w:r>
          </w:p>
        </w:tc>
      </w:tr>
      <w:tr w:rsidR="0062688F" w:rsidRPr="00D045D7" w14:paraId="6D1EBF8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2301" w14:textId="62AE985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86A6" w14:textId="5F18535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6B5D" w14:textId="43433BB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8.34</w:t>
            </w:r>
          </w:p>
        </w:tc>
      </w:tr>
      <w:tr w:rsidR="0062688F" w:rsidRPr="00D045D7" w14:paraId="5C75C83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A76C39" w14:textId="05563A3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EFA50A" w14:textId="580410F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9B64C5" w14:textId="2F0AD9E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8.33</w:t>
            </w:r>
          </w:p>
        </w:tc>
      </w:tr>
      <w:tr w:rsidR="0062688F" w:rsidRPr="00D045D7" w14:paraId="0B447F5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8A80" w14:textId="4E56190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2F22" w14:textId="580C1962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1500" w14:textId="6336A2A2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8.26</w:t>
            </w:r>
          </w:p>
        </w:tc>
      </w:tr>
      <w:tr w:rsidR="0062688F" w:rsidRPr="00D045D7" w14:paraId="6007E3A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D5D417" w14:textId="420A1F7B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366BFE" w14:textId="19668A7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D9CFDC" w14:textId="0DDB272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8.21</w:t>
            </w:r>
          </w:p>
        </w:tc>
      </w:tr>
      <w:tr w:rsidR="0062688F" w:rsidRPr="00D045D7" w14:paraId="10F6CDC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F7AD" w14:textId="2B7A3C9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 Intercontinental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6D4F" w14:textId="0B744262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31C9" w14:textId="062359E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8.15</w:t>
            </w:r>
          </w:p>
        </w:tc>
      </w:tr>
      <w:tr w:rsidR="0062688F" w:rsidRPr="00D045D7" w14:paraId="4B80889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420CE2" w14:textId="153DDF5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Pedregal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F52B04" w14:textId="01AF062C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802E64" w14:textId="328C847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8.11</w:t>
            </w:r>
          </w:p>
        </w:tc>
      </w:tr>
      <w:tr w:rsidR="0062688F" w:rsidRPr="00D045D7" w14:paraId="6163A91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2581" w14:textId="53C30288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Latinoamericana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EE2" w14:textId="7B44ED73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86B5" w14:textId="1E565103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8.05</w:t>
            </w:r>
          </w:p>
        </w:tc>
      </w:tr>
    </w:tbl>
    <w:p w14:paraId="360289D4" w14:textId="71FD6366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7E85F0A8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D82EBE" w14:textId="343E110F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9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Economía</w:t>
            </w:r>
          </w:p>
        </w:tc>
      </w:tr>
      <w:tr w:rsidR="00DF70A6" w:rsidRPr="00D045D7" w14:paraId="2CCC03C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36E61BA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810C8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98BE5F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7C8BB92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A4CA" w14:textId="3211050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9566" w14:textId="51FAB49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56DB" w14:textId="19EFA11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9.16</w:t>
            </w:r>
          </w:p>
        </w:tc>
      </w:tr>
      <w:tr w:rsidR="0062688F" w:rsidRPr="00D045D7" w14:paraId="3924EF1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4A9304" w14:textId="190294D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Centro de Investigación y Docencia Económicas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6BA86" w14:textId="1315C90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5E77C0" w14:textId="45CD530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9.11</w:t>
            </w:r>
          </w:p>
        </w:tc>
      </w:tr>
      <w:tr w:rsidR="0062688F" w:rsidRPr="00D045D7" w14:paraId="7D30585B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412A" w14:textId="70F8073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DE57" w14:textId="7638CB1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B9FF" w14:textId="7BD4784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9.08</w:t>
            </w:r>
          </w:p>
        </w:tc>
      </w:tr>
      <w:tr w:rsidR="0062688F" w:rsidRPr="00D045D7" w14:paraId="14D7D86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BA8A7A" w14:textId="2117929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F480F" w14:textId="206061E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5C23D8" w14:textId="2C97F49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9.00</w:t>
            </w:r>
          </w:p>
        </w:tc>
      </w:tr>
      <w:tr w:rsidR="0062688F" w:rsidRPr="00D045D7" w14:paraId="1306084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E2F2" w14:textId="5C8E33D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325B" w14:textId="5668B9A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C218" w14:textId="0AA6BB4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8.93</w:t>
            </w:r>
          </w:p>
        </w:tc>
      </w:tr>
      <w:tr w:rsidR="0062688F" w:rsidRPr="00D045D7" w14:paraId="637B8F2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788BD8" w14:textId="396C099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9C791" w14:textId="00B9659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89E74F" w14:textId="637B030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8.84</w:t>
            </w:r>
          </w:p>
        </w:tc>
      </w:tr>
      <w:tr w:rsidR="0062688F" w:rsidRPr="00D045D7" w14:paraId="7468007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8425" w14:textId="012F439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4E44" w14:textId="0D3FB678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63D6" w14:textId="6047D430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8.68</w:t>
            </w:r>
          </w:p>
        </w:tc>
      </w:tr>
      <w:tr w:rsidR="0062688F" w:rsidRPr="00D045D7" w14:paraId="4D64537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E72C33" w14:textId="3EA41C6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977F50" w14:textId="38E361C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FBF149" w14:textId="062BFE5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8.64</w:t>
            </w:r>
          </w:p>
        </w:tc>
      </w:tr>
      <w:tr w:rsidR="0062688F" w:rsidRPr="00D045D7" w14:paraId="0F39E59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BCD2" w14:textId="60CA3084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8DCB" w14:textId="47B4260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85DA" w14:textId="6523877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8.61</w:t>
            </w:r>
          </w:p>
        </w:tc>
      </w:tr>
      <w:tr w:rsidR="0062688F" w:rsidRPr="00D045D7" w14:paraId="53F8A7C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B2ACE0B" w14:textId="1F1212B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F4832" w14:textId="1365C35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F19BF3" w14:textId="4202A80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8.49</w:t>
            </w:r>
          </w:p>
        </w:tc>
      </w:tr>
      <w:tr w:rsidR="0062688F" w:rsidRPr="00D045D7" w14:paraId="199DAE0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13E1" w14:textId="7AF612A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5F41" w14:textId="4D375EC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0326" w14:textId="603BA95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8.40</w:t>
            </w:r>
          </w:p>
        </w:tc>
      </w:tr>
      <w:tr w:rsidR="0062688F" w:rsidRPr="00D045D7" w14:paraId="05165A7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2A51F4" w14:textId="6BDD7A60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96F0CE" w14:textId="2AAC9F0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A0EFA5" w14:textId="3B5E780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8.36</w:t>
            </w:r>
          </w:p>
        </w:tc>
      </w:tr>
    </w:tbl>
    <w:p w14:paraId="20DB444E" w14:textId="2F804C37" w:rsidR="00DF70A6" w:rsidRPr="00D045D7" w:rsidRDefault="00DF70A6" w:rsidP="00586044">
      <w:pPr>
        <w:spacing w:after="120" w:line="240" w:lineRule="auto"/>
        <w:jc w:val="both"/>
        <w:rPr>
          <w:sz w:val="18"/>
          <w:szCs w:val="18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470E6ADC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A481A5" w14:textId="210F158A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Tabla 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10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Ingeniería en Electrónica</w:t>
            </w:r>
          </w:p>
        </w:tc>
      </w:tr>
      <w:tr w:rsidR="00DF70A6" w:rsidRPr="00D045D7" w14:paraId="23DC63D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26648C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EC148B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DCEF7D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3625882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988D" w14:textId="767000E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3F93" w14:textId="41DF55A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C8E3" w14:textId="2FE639F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8.76</w:t>
            </w:r>
          </w:p>
        </w:tc>
      </w:tr>
      <w:tr w:rsidR="0062688F" w:rsidRPr="00D045D7" w14:paraId="54755E9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E60CC6" w14:textId="2E4B99F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4ED63" w14:textId="255D962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93A031" w14:textId="1255593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8.65</w:t>
            </w:r>
          </w:p>
        </w:tc>
      </w:tr>
      <w:tr w:rsidR="0062688F" w:rsidRPr="00D045D7" w14:paraId="29267C6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1BE1" w14:textId="6F4B612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49B9" w14:textId="39DBD3E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26E1" w14:textId="415D867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8.56</w:t>
            </w:r>
          </w:p>
        </w:tc>
      </w:tr>
      <w:tr w:rsidR="0062688F" w:rsidRPr="00D045D7" w14:paraId="3D80C79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8030A6" w14:textId="3BFC172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D71BFC" w14:textId="511165D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59578E" w14:textId="237DFE0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8.50</w:t>
            </w:r>
          </w:p>
        </w:tc>
      </w:tr>
      <w:tr w:rsidR="0062688F" w:rsidRPr="00D045D7" w14:paraId="79FB58A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C001" w14:textId="3386CFC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992B" w14:textId="55DD9D1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BFF0" w14:textId="31E17EF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8.23</w:t>
            </w:r>
          </w:p>
        </w:tc>
      </w:tr>
      <w:tr w:rsidR="0062688F" w:rsidRPr="00D045D7" w14:paraId="0C3A66B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8562FA" w14:textId="32D06EE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32D5FB" w14:textId="013B24A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47CAC2" w14:textId="54F8FB5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7.95</w:t>
            </w:r>
          </w:p>
        </w:tc>
      </w:tr>
      <w:tr w:rsidR="0062688F" w:rsidRPr="00D045D7" w14:paraId="102F686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6103" w14:textId="6ED03EE8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8FB2" w14:textId="460A35F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972D" w14:textId="10C4AC3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7.91</w:t>
            </w:r>
          </w:p>
        </w:tc>
      </w:tr>
      <w:tr w:rsidR="0062688F" w:rsidRPr="00D045D7" w14:paraId="31F083C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C4DCBC" w14:textId="64101E0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 Ecatepec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54DD4E" w14:textId="595E225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BADE58" w14:textId="0B58CF0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7.67</w:t>
            </w:r>
          </w:p>
        </w:tc>
      </w:tr>
    </w:tbl>
    <w:p w14:paraId="67F8AA27" w14:textId="69EDB9D5" w:rsidR="00EB5401" w:rsidRDefault="00EB5401" w:rsidP="00BF3D8A">
      <w:pPr>
        <w:spacing w:after="0" w:line="240" w:lineRule="auto"/>
        <w:jc w:val="both"/>
        <w:rPr>
          <w:szCs w:val="21"/>
        </w:rPr>
      </w:pPr>
    </w:p>
    <w:p w14:paraId="5FFF0FB9" w14:textId="77777777" w:rsidR="00EB5401" w:rsidRDefault="00EB5401">
      <w:pPr>
        <w:rPr>
          <w:szCs w:val="21"/>
        </w:rPr>
      </w:pPr>
      <w:r>
        <w:rPr>
          <w:szCs w:val="21"/>
        </w:rPr>
        <w:br w:type="page"/>
      </w: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30C6AAB6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94C141" w14:textId="5952CB48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lastRenderedPageBreak/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1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Ingeniería en Sistemas</w:t>
            </w:r>
          </w:p>
        </w:tc>
      </w:tr>
      <w:tr w:rsidR="00DF70A6" w:rsidRPr="00D045D7" w14:paraId="2FFAEF6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08FE8A0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DC1A2B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E4A783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2C6B6FA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3A8F" w14:textId="0B3C2A0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537F" w14:textId="1E24C00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F6EB" w14:textId="02E6DD6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9.17</w:t>
            </w:r>
          </w:p>
        </w:tc>
      </w:tr>
      <w:tr w:rsidR="0062688F" w:rsidRPr="00D045D7" w14:paraId="574DDFF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A77B84" w14:textId="6DC96A1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3A379E" w14:textId="62F92B1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7478DF" w14:textId="0BF5E2B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9.12</w:t>
            </w:r>
          </w:p>
        </w:tc>
      </w:tr>
      <w:tr w:rsidR="0062688F" w:rsidRPr="00D045D7" w14:paraId="4964A85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236F" w14:textId="7306B75A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4571" w14:textId="63B4FF1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0460" w14:textId="31AAF7E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9.03</w:t>
            </w:r>
          </w:p>
        </w:tc>
      </w:tr>
      <w:tr w:rsidR="0062688F" w:rsidRPr="00D045D7" w14:paraId="42A3FBC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9A3CA3" w14:textId="06F493D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513CD" w14:textId="6FD8407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A59077" w14:textId="562D4F1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8.90</w:t>
            </w:r>
          </w:p>
        </w:tc>
      </w:tr>
      <w:tr w:rsidR="0062688F" w:rsidRPr="00D045D7" w14:paraId="7B72C62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ACE7" w14:textId="23404B53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E8D1" w14:textId="74966F7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7E08" w14:textId="4A3E160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8.86</w:t>
            </w:r>
          </w:p>
        </w:tc>
      </w:tr>
      <w:tr w:rsidR="0062688F" w:rsidRPr="00D045D7" w14:paraId="3E3F934B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28D0C8" w14:textId="4AE095A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DE8A5C" w14:textId="24DA634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6EAF14" w14:textId="691FE12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8.68</w:t>
            </w:r>
          </w:p>
        </w:tc>
      </w:tr>
      <w:tr w:rsidR="0062688F" w:rsidRPr="00D045D7" w14:paraId="20AB0C2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75FF" w14:textId="070C8143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1A3" w14:textId="05C7ABC1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1DF5" w14:textId="5814B85E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8.50</w:t>
            </w:r>
          </w:p>
        </w:tc>
      </w:tr>
      <w:tr w:rsidR="0062688F" w:rsidRPr="00D045D7" w14:paraId="07B102D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CFD484F" w14:textId="2DF1E343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CBD99F" w14:textId="33A8578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68A5E4" w14:textId="5C31EBB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8.44</w:t>
            </w:r>
          </w:p>
        </w:tc>
      </w:tr>
      <w:tr w:rsidR="0062688F" w:rsidRPr="00D045D7" w14:paraId="3C18BD3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5C08" w14:textId="022CD55A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7BE4" w14:textId="0D019991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C3A2" w14:textId="116D082D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8.35</w:t>
            </w:r>
          </w:p>
        </w:tc>
      </w:tr>
      <w:tr w:rsidR="0062688F" w:rsidRPr="00D045D7" w14:paraId="5903D2A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20F7DA" w14:textId="1EDF6F2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D11C98" w14:textId="7CB8A47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42C81C" w14:textId="528B4C2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8.30</w:t>
            </w:r>
          </w:p>
        </w:tc>
      </w:tr>
      <w:tr w:rsidR="0062688F" w:rsidRPr="00D045D7" w14:paraId="2A9FA71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53DF" w14:textId="44F461D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 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4784" w14:textId="6E5A0C08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3A98" w14:textId="0F8C7F1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8.10</w:t>
            </w:r>
          </w:p>
        </w:tc>
      </w:tr>
      <w:tr w:rsidR="0062688F" w:rsidRPr="00D045D7" w14:paraId="78F5A06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D8F358" w14:textId="1BF3D29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 Cuautitlán Izcalli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C4B57" w14:textId="73E2F12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E31050" w14:textId="644945A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7.73</w:t>
            </w:r>
          </w:p>
        </w:tc>
      </w:tr>
      <w:tr w:rsidR="0062688F" w:rsidRPr="00D045D7" w14:paraId="5D05D21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A8D8" w14:textId="6A01AFD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 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26D5" w14:textId="5DC4CB30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458" w14:textId="61B3CDB9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7.71</w:t>
            </w:r>
          </w:p>
        </w:tc>
      </w:tr>
    </w:tbl>
    <w:p w14:paraId="509036D7" w14:textId="53C5D1D6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50C45189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53522" w14:textId="21B349B9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2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Ingeniería Industrial</w:t>
            </w:r>
          </w:p>
        </w:tc>
      </w:tr>
      <w:tr w:rsidR="00DF70A6" w:rsidRPr="00D045D7" w14:paraId="142F892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678DC19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A07111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1E65AD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0AA69A1B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2E79" w14:textId="51337E8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D696" w14:textId="3F89226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116F" w14:textId="0AF9E02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9.24</w:t>
            </w:r>
          </w:p>
        </w:tc>
      </w:tr>
      <w:tr w:rsidR="0062688F" w:rsidRPr="00D045D7" w14:paraId="566B36D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72BBED" w14:textId="2F19E38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A03CD4" w14:textId="0F39BEC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4A60AB" w14:textId="3559B0B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9.04</w:t>
            </w:r>
          </w:p>
        </w:tc>
      </w:tr>
      <w:tr w:rsidR="0062688F" w:rsidRPr="00D045D7" w14:paraId="04402A7B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2E0B1" w14:textId="4CDE1C93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CE4D" w14:textId="7FFB0C0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3E50" w14:textId="5D09D74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8.96</w:t>
            </w:r>
          </w:p>
        </w:tc>
      </w:tr>
      <w:tr w:rsidR="0062688F" w:rsidRPr="00D045D7" w14:paraId="49CAE8F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AA52A1" w14:textId="5D941A74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0A8D5" w14:textId="15C7AA5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C9ABA6" w14:textId="27DD6E3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8.84</w:t>
            </w:r>
          </w:p>
        </w:tc>
      </w:tr>
      <w:tr w:rsidR="0062688F" w:rsidRPr="00D045D7" w14:paraId="28979C2C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7B6FB" w14:textId="74D9314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6299" w14:textId="4B455F9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4FE4" w14:textId="3F701C9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8.78</w:t>
            </w:r>
          </w:p>
        </w:tc>
      </w:tr>
      <w:tr w:rsidR="0062688F" w:rsidRPr="00D045D7" w14:paraId="21624DE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4EFC41" w14:textId="4B066BD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303344" w14:textId="5063981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2B6F86" w14:textId="17CE1EF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8.69</w:t>
            </w:r>
          </w:p>
        </w:tc>
      </w:tr>
      <w:tr w:rsidR="0062688F" w:rsidRPr="00D045D7" w14:paraId="13EF461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B609" w14:textId="5986D28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566E" w14:textId="24486FD9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87A9" w14:textId="09F79EA5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8.52</w:t>
            </w:r>
          </w:p>
        </w:tc>
      </w:tr>
      <w:tr w:rsidR="0062688F" w:rsidRPr="00D045D7" w14:paraId="35FCFF0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60EF8B" w14:textId="7B8DC600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D285C1" w14:textId="08F1F8B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622A49" w14:textId="45DE808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8.52</w:t>
            </w:r>
          </w:p>
        </w:tc>
      </w:tr>
      <w:tr w:rsidR="0062688F" w:rsidRPr="00D045D7" w14:paraId="418EAA2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4E1D" w14:textId="03F5C04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8C91" w14:textId="05DDC8E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954E" w14:textId="2870CB0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8.51</w:t>
            </w:r>
          </w:p>
        </w:tc>
      </w:tr>
      <w:tr w:rsidR="0062688F" w:rsidRPr="00D045D7" w14:paraId="6401624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2170D5" w14:textId="0A29196B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F261BD" w14:textId="65C0E3D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9C58A5" w14:textId="33F2151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8.49</w:t>
            </w:r>
          </w:p>
        </w:tc>
      </w:tr>
      <w:tr w:rsidR="0062688F" w:rsidRPr="00D045D7" w14:paraId="29C2D28F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D0FA" w14:textId="691ECBB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CD7B" w14:textId="5D7B3C6C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A62C" w14:textId="5BC9D380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8.44</w:t>
            </w:r>
          </w:p>
        </w:tc>
      </w:tr>
      <w:tr w:rsidR="0062688F" w:rsidRPr="00D045D7" w14:paraId="3BBF716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147312" w14:textId="68C3AE4A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de Tlalnepantla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8F3914" w14:textId="3602301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8D8F4D" w14:textId="0CFBA8B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8.35</w:t>
            </w:r>
          </w:p>
        </w:tc>
      </w:tr>
      <w:tr w:rsidR="0062688F" w:rsidRPr="00D045D7" w14:paraId="5D1B26E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AD79" w14:textId="2D843D7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DD1D" w14:textId="4536AE8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796D" w14:textId="5DD383D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8.31</w:t>
            </w:r>
          </w:p>
        </w:tc>
      </w:tr>
      <w:tr w:rsidR="0062688F" w:rsidRPr="00D045D7" w14:paraId="2FE7A10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B08A17" w14:textId="1676559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 Ecatepec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AE7F35" w14:textId="54BDF39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52C8A2" w14:textId="1637E0F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8.28</w:t>
            </w:r>
          </w:p>
        </w:tc>
      </w:tr>
      <w:tr w:rsidR="0062688F" w:rsidRPr="00D045D7" w14:paraId="5291540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6462" w14:textId="78BE6B7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 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FCAF" w14:textId="3C2EEC6F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B3CB" w14:textId="6F313D8E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8.27</w:t>
            </w:r>
          </w:p>
        </w:tc>
      </w:tr>
      <w:tr w:rsidR="0062688F" w:rsidRPr="00D045D7" w14:paraId="7CB778B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507B5D" w14:textId="4F136B9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 Cuautitlán Izcalli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995FD3" w14:textId="37147021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FDEE9A" w14:textId="261E72C3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8.07</w:t>
            </w:r>
          </w:p>
        </w:tc>
      </w:tr>
    </w:tbl>
    <w:p w14:paraId="670FDD99" w14:textId="64B9891D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46B62E31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85B5F" w14:textId="4C65E576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3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AA0507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Ingeniería</w:t>
            </w:r>
            <w:r w:rsidR="00FD6311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</w:t>
            </w:r>
            <w:r w:rsidR="0062688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ecatrónica </w:t>
            </w:r>
          </w:p>
        </w:tc>
      </w:tr>
      <w:tr w:rsidR="00DF70A6" w:rsidRPr="00D045D7" w14:paraId="7A7348B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16F01B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0621A3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453E4A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33381E5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7849" w14:textId="5294DE94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6042" w14:textId="342BC50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B8B8" w14:textId="0E339C8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8.86</w:t>
            </w:r>
          </w:p>
        </w:tc>
      </w:tr>
      <w:tr w:rsidR="0062688F" w:rsidRPr="00D045D7" w14:paraId="28980DA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F00177" w14:textId="6D07C25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74E542" w14:textId="5DB7C71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8BE335" w14:textId="6E5DB9C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8.84</w:t>
            </w:r>
          </w:p>
        </w:tc>
      </w:tr>
      <w:tr w:rsidR="0062688F" w:rsidRPr="00D045D7" w14:paraId="766FE5D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3EEB" w14:textId="1CAE2F1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9E40" w14:textId="6151469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F836" w14:textId="060EFD4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8.80</w:t>
            </w:r>
          </w:p>
        </w:tc>
      </w:tr>
      <w:tr w:rsidR="0062688F" w:rsidRPr="00D045D7" w14:paraId="6890E7D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D23C9B" w14:textId="081688F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6BE0BF" w14:textId="6392651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99E271" w14:textId="023C337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8.74</w:t>
            </w:r>
          </w:p>
        </w:tc>
      </w:tr>
      <w:tr w:rsidR="0062688F" w:rsidRPr="00D045D7" w14:paraId="2DDECD3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CDF8" w14:textId="5A9014FB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52AD" w14:textId="6481C17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7770" w14:textId="60E7F2BB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8.74</w:t>
            </w:r>
          </w:p>
        </w:tc>
      </w:tr>
      <w:tr w:rsidR="0062688F" w:rsidRPr="00D045D7" w14:paraId="35D1147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72B1E8" w14:textId="3D57DD7B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1FFAB4" w14:textId="6ED8809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E1BB08" w14:textId="02C9F09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8.69</w:t>
            </w:r>
          </w:p>
        </w:tc>
      </w:tr>
      <w:tr w:rsidR="0062688F" w:rsidRPr="00D045D7" w14:paraId="733D9E9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3575" w14:textId="181F41C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98A2" w14:textId="022BF56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2B22" w14:textId="6B71FCB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8.66</w:t>
            </w:r>
          </w:p>
        </w:tc>
      </w:tr>
      <w:tr w:rsidR="0062688F" w:rsidRPr="00D045D7" w14:paraId="625F8FA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FA5F53" w14:textId="0EF87D8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27C3DA" w14:textId="6DF38ED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914DB8" w14:textId="33BC755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8.38</w:t>
            </w:r>
          </w:p>
        </w:tc>
      </w:tr>
      <w:tr w:rsidR="0062688F" w:rsidRPr="00D045D7" w14:paraId="4AA32A6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73E7" w14:textId="5FEDBE1A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18EC" w14:textId="3EA2DA31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CB75" w14:textId="08994F1D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8.35</w:t>
            </w:r>
          </w:p>
        </w:tc>
      </w:tr>
      <w:tr w:rsidR="0062688F" w:rsidRPr="00D045D7" w14:paraId="6AF87AE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9ECEFD" w14:textId="7C7CBFA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77BFBE" w14:textId="58D2869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038B00" w14:textId="1F82765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8.33</w:t>
            </w:r>
          </w:p>
        </w:tc>
      </w:tr>
      <w:tr w:rsidR="0062688F" w:rsidRPr="00D045D7" w14:paraId="45588A0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E6EF" w14:textId="6B02005A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 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3D03" w14:textId="46D4715C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5BEE" w14:textId="5F0DA93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7.97</w:t>
            </w:r>
          </w:p>
        </w:tc>
      </w:tr>
    </w:tbl>
    <w:p w14:paraId="3CCE0310" w14:textId="7859C8E2" w:rsidR="00EB5401" w:rsidRDefault="00EB5401" w:rsidP="00BF3D8A">
      <w:pPr>
        <w:spacing w:after="0" w:line="240" w:lineRule="auto"/>
        <w:jc w:val="both"/>
        <w:rPr>
          <w:szCs w:val="21"/>
        </w:rPr>
      </w:pPr>
    </w:p>
    <w:p w14:paraId="277C9152" w14:textId="77777777" w:rsidR="00EB5401" w:rsidRDefault="00EB5401">
      <w:pPr>
        <w:rPr>
          <w:szCs w:val="21"/>
        </w:rPr>
      </w:pPr>
      <w:r>
        <w:rPr>
          <w:szCs w:val="21"/>
        </w:rPr>
        <w:br w:type="page"/>
      </w:r>
    </w:p>
    <w:p w14:paraId="5C7B1176" w14:textId="77777777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1CCBE0FC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E914B3" w14:textId="157AFAC5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4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Ingeniería Química</w:t>
            </w:r>
          </w:p>
        </w:tc>
      </w:tr>
      <w:tr w:rsidR="00DF70A6" w:rsidRPr="00D045D7" w14:paraId="0E4AEBB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482E1BD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1AE05C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1DF4F2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131A52D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926F" w14:textId="1960533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AD0D" w14:textId="1F65DA3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A7F5" w14:textId="217183B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8.82</w:t>
            </w:r>
          </w:p>
        </w:tc>
      </w:tr>
      <w:tr w:rsidR="0062688F" w:rsidRPr="00D045D7" w14:paraId="60B55852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E9176F" w14:textId="1AD7CAF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34FDE7" w14:textId="63934A3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FD5512" w14:textId="2493E97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8.77</w:t>
            </w:r>
          </w:p>
        </w:tc>
      </w:tr>
      <w:tr w:rsidR="0062688F" w:rsidRPr="00D045D7" w14:paraId="41883B3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3841" w14:textId="596F6160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CFC2" w14:textId="20F78B1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1D85" w14:textId="53A0152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8.72</w:t>
            </w:r>
          </w:p>
        </w:tc>
      </w:tr>
      <w:tr w:rsidR="0062688F" w:rsidRPr="00D045D7" w14:paraId="5C2F293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540319" w14:textId="3F582F3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079B52" w14:textId="3517433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DE45F9" w14:textId="587A7BB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8.57</w:t>
            </w:r>
          </w:p>
        </w:tc>
      </w:tr>
      <w:tr w:rsidR="0062688F" w:rsidRPr="00D045D7" w14:paraId="55D48BE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E374" w14:textId="6DE8A9B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Tecnológico de Estudios Superiores de 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87E4" w14:textId="11C3BEF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4337" w14:textId="1D8158A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8.25</w:t>
            </w:r>
          </w:p>
        </w:tc>
      </w:tr>
      <w:tr w:rsidR="0062688F" w:rsidRPr="00D045D7" w14:paraId="2A5FB15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078DC8" w14:textId="0632D97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71755" w14:textId="67CE233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A70460" w14:textId="6A29E58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8.10</w:t>
            </w:r>
          </w:p>
        </w:tc>
      </w:tr>
      <w:tr w:rsidR="0062688F" w:rsidRPr="00D045D7" w14:paraId="07F3F00E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2D1E" w14:textId="645718C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B6AF" w14:textId="7C5E4EA0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28CC" w14:textId="48FB4324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8.06</w:t>
            </w:r>
          </w:p>
        </w:tc>
      </w:tr>
      <w:tr w:rsidR="0062688F" w:rsidRPr="00D045D7" w14:paraId="2CD97DE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4D09AD" w14:textId="6A4B8F0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78FB5B" w14:textId="6FBAB5F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4F8CCD" w14:textId="68E2B37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7.99</w:t>
            </w:r>
          </w:p>
        </w:tc>
      </w:tr>
      <w:tr w:rsidR="0062688F" w:rsidRPr="00D045D7" w14:paraId="0DE88AC4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A9D6" w14:textId="5C0AEE9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42F3" w14:textId="2A70BA7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0D56" w14:textId="41AEB210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7.97</w:t>
            </w:r>
          </w:p>
        </w:tc>
      </w:tr>
    </w:tbl>
    <w:p w14:paraId="78105064" w14:textId="3D54DE1D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DF70A6" w:rsidRPr="00D045D7" w14:paraId="0B2992AF" w14:textId="77777777" w:rsidTr="00DF70A6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09DB28" w14:textId="0E696261" w:rsidR="00DF70A6" w:rsidRPr="00D045D7" w:rsidRDefault="00DF70A6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5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Medicina</w:t>
            </w:r>
          </w:p>
        </w:tc>
      </w:tr>
      <w:tr w:rsidR="00DF70A6" w:rsidRPr="00D045D7" w14:paraId="638B7FB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4ECEE82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86CE24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9EF78B" w14:textId="77777777" w:rsidR="00DF70A6" w:rsidRPr="00D045D7" w:rsidRDefault="00DF70A6" w:rsidP="00DF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26C0D37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364" w14:textId="4C4BA80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2C72" w14:textId="0D79D15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FAD7" w14:textId="155FA97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9.15</w:t>
            </w:r>
          </w:p>
        </w:tc>
      </w:tr>
      <w:tr w:rsidR="0062688F" w:rsidRPr="00D045D7" w14:paraId="548BB017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7D2909" w14:textId="11F4943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9C2FF0" w14:textId="6EE7E4D7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E7D2B8" w14:textId="5142EF8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8.96</w:t>
            </w:r>
          </w:p>
        </w:tc>
      </w:tr>
      <w:tr w:rsidR="0062688F" w:rsidRPr="00D045D7" w14:paraId="2AFAD419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34A1" w14:textId="0FEC361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C8E6" w14:textId="73E493C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32D" w14:textId="23054D2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8.87</w:t>
            </w:r>
          </w:p>
        </w:tc>
      </w:tr>
      <w:tr w:rsidR="0062688F" w:rsidRPr="00D045D7" w14:paraId="4FF73238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A7993F" w14:textId="1D6E66C8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AF01BD" w14:textId="2F69B94F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2B99A" w14:textId="05F6DD7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8.77</w:t>
            </w:r>
          </w:p>
        </w:tc>
      </w:tr>
      <w:tr w:rsidR="0062688F" w:rsidRPr="00D045D7" w14:paraId="46703203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7020" w14:textId="6A9A3EC5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570A" w14:textId="3A66FC09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E530" w14:textId="1BDFB16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8.76</w:t>
            </w:r>
          </w:p>
        </w:tc>
      </w:tr>
      <w:tr w:rsidR="0062688F" w:rsidRPr="00D045D7" w14:paraId="1282D41D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3B732E" w14:textId="6FA55E8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BEA099" w14:textId="362793D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23F536" w14:textId="27608231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8.63</w:t>
            </w:r>
          </w:p>
        </w:tc>
      </w:tr>
      <w:tr w:rsidR="0062688F" w:rsidRPr="00D045D7" w14:paraId="71749AC5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188E" w14:textId="3C6F63C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C605" w14:textId="185371D5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7DC4" w14:textId="5442B61E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8.55</w:t>
            </w:r>
          </w:p>
        </w:tc>
      </w:tr>
      <w:tr w:rsidR="0062688F" w:rsidRPr="00D045D7" w14:paraId="67F3D5C6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627E37" w14:textId="1E519084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90C731" w14:textId="3A21D5D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367A04" w14:textId="3F159AA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8.33</w:t>
            </w:r>
          </w:p>
        </w:tc>
      </w:tr>
      <w:tr w:rsidR="0062688F" w:rsidRPr="00D045D7" w14:paraId="1F1EF350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038B" w14:textId="3ADAFB0B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Justo Sierra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B393" w14:textId="7DDDB0EE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491" w14:textId="3CD995C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8.28</w:t>
            </w:r>
          </w:p>
        </w:tc>
      </w:tr>
      <w:tr w:rsidR="0062688F" w:rsidRPr="00D045D7" w14:paraId="63C9548A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69063A" w14:textId="025465F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20A175" w14:textId="7AD95B32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DEDCCC" w14:textId="7F8C878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8.15</w:t>
            </w:r>
          </w:p>
        </w:tc>
      </w:tr>
      <w:tr w:rsidR="0062688F" w:rsidRPr="00D045D7" w14:paraId="6ABB71B1" w14:textId="77777777" w:rsidTr="00DF70A6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0CCC" w14:textId="4D3801E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Westhill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BFB6" w14:textId="78AE2693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552C" w14:textId="4C0ADAED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7.69</w:t>
            </w:r>
          </w:p>
        </w:tc>
      </w:tr>
    </w:tbl>
    <w:p w14:paraId="7BD9CFE7" w14:textId="13ABC624" w:rsidR="00DF70A6" w:rsidRPr="00D045D7" w:rsidRDefault="00DF70A6" w:rsidP="00BF3D8A">
      <w:pPr>
        <w:spacing w:after="0" w:line="240" w:lineRule="auto"/>
        <w:jc w:val="both"/>
        <w:rPr>
          <w:szCs w:val="21"/>
        </w:rPr>
      </w:pPr>
    </w:p>
    <w:tbl>
      <w:tblPr>
        <w:tblW w:w="7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931"/>
        <w:gridCol w:w="1209"/>
      </w:tblGrid>
      <w:tr w:rsidR="0062688F" w:rsidRPr="00D045D7" w14:paraId="6919563D" w14:textId="77777777" w:rsidTr="009A02E4">
        <w:trPr>
          <w:trHeight w:val="239"/>
          <w:jc w:val="center"/>
        </w:trPr>
        <w:tc>
          <w:tcPr>
            <w:tcW w:w="70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7037CC" w14:textId="37AC2410" w:rsidR="0062688F" w:rsidRPr="00D045D7" w:rsidRDefault="0062688F" w:rsidP="0058604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B54C4F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6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8670CA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Psicología</w:t>
            </w:r>
          </w:p>
        </w:tc>
      </w:tr>
      <w:tr w:rsidR="0062688F" w:rsidRPr="00D045D7" w14:paraId="004184CD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C0E46CB" w14:textId="77777777" w:rsidR="0062688F" w:rsidRPr="00D045D7" w:rsidRDefault="0062688F" w:rsidP="009A0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BE8B0D" w14:textId="77777777" w:rsidR="0062688F" w:rsidRPr="00D045D7" w:rsidRDefault="0062688F" w:rsidP="009A0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Posición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E93922" w14:textId="77777777" w:rsidR="0062688F" w:rsidRPr="00D045D7" w:rsidRDefault="0062688F" w:rsidP="009A0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Puntaje</w:t>
            </w:r>
          </w:p>
        </w:tc>
      </w:tr>
      <w:tr w:rsidR="0062688F" w:rsidRPr="00D045D7" w14:paraId="76984593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6FD5" w14:textId="66AFC8F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2388" w14:textId="00BEB5DC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08DF" w14:textId="2F535685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9.05</w:t>
            </w:r>
          </w:p>
        </w:tc>
      </w:tr>
      <w:tr w:rsidR="0062688F" w:rsidRPr="00D045D7" w14:paraId="30324272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B20E30" w14:textId="2B2AFC7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735F5" w14:textId="2B253A64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3DCEC5" w14:textId="4E3DCA88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9.02</w:t>
            </w:r>
          </w:p>
        </w:tc>
      </w:tr>
      <w:tr w:rsidR="0062688F" w:rsidRPr="00D045D7" w14:paraId="526D7303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D207" w14:textId="338FAE7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1C61" w14:textId="2A23FDEB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73CE" w14:textId="41D0E42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8.94</w:t>
            </w:r>
          </w:p>
        </w:tc>
      </w:tr>
      <w:tr w:rsidR="0062688F" w:rsidRPr="00D045D7" w14:paraId="1E09F894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E21760" w14:textId="05CEA15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A79D2F" w14:textId="630F436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45EFB7" w14:textId="5B9A330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8.87</w:t>
            </w:r>
          </w:p>
        </w:tc>
      </w:tr>
      <w:tr w:rsidR="0062688F" w:rsidRPr="00D045D7" w14:paraId="69735464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08F9" w14:textId="45A4F84D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360A" w14:textId="64D66A80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E197" w14:textId="10C0AA1D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8.82</w:t>
            </w:r>
          </w:p>
        </w:tc>
      </w:tr>
      <w:tr w:rsidR="0062688F" w:rsidRPr="00D045D7" w14:paraId="7CAF9B57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7967CF" w14:textId="4A4AC67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Pedagógica 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901DC2" w14:textId="31ABC7D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D25FBD" w14:textId="261DBD46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8.80</w:t>
            </w:r>
          </w:p>
        </w:tc>
      </w:tr>
      <w:tr w:rsidR="0062688F" w:rsidRPr="00D045D7" w14:paraId="42A611B3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55F5" w14:textId="5DF2F52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93DD" w14:textId="4CB4BBE1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4281" w14:textId="4C987C3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8.70</w:t>
            </w:r>
          </w:p>
        </w:tc>
      </w:tr>
      <w:tr w:rsidR="0062688F" w:rsidRPr="00D045D7" w14:paraId="3A987E57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01E63A" w14:textId="10E2C6F1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 Intercontinental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EA35FA" w14:textId="66F6C76B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25C236" w14:textId="244D32BB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8.52</w:t>
            </w:r>
          </w:p>
        </w:tc>
      </w:tr>
      <w:tr w:rsidR="0062688F" w:rsidRPr="00D045D7" w14:paraId="71741D34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9897" w14:textId="40A00820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892F" w14:textId="56648572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AFFB" w14:textId="69604DBD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8.49</w:t>
            </w:r>
          </w:p>
        </w:tc>
      </w:tr>
      <w:tr w:rsidR="0062688F" w:rsidRPr="00D045D7" w14:paraId="413D19FE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9138BF" w14:textId="2E933802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3ABDBE" w14:textId="60D8713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E115F" w14:textId="6A7CA95E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8.48</w:t>
            </w:r>
          </w:p>
        </w:tc>
      </w:tr>
      <w:tr w:rsidR="0062688F" w:rsidRPr="00D045D7" w14:paraId="46E11D7D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ECC1" w14:textId="4B7A592F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8CE5" w14:textId="2FBC385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EC6F" w14:textId="62CA3A65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8.43</w:t>
            </w:r>
          </w:p>
        </w:tc>
      </w:tr>
      <w:tr w:rsidR="0062688F" w:rsidRPr="00D045D7" w14:paraId="48641A8D" w14:textId="77777777" w:rsidTr="0062688F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5A6D08" w14:textId="032F17E7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1578B7" w14:textId="40B498E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C4CFC8" w14:textId="6B5B11FD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8.33</w:t>
            </w:r>
          </w:p>
        </w:tc>
      </w:tr>
      <w:tr w:rsidR="0062688F" w:rsidRPr="00D045D7" w14:paraId="7D14BF87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728F" w14:textId="1FCE049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A61A" w14:textId="3D93852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F83B" w14:textId="5F67F0A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8.31</w:t>
            </w:r>
          </w:p>
        </w:tc>
      </w:tr>
      <w:tr w:rsidR="0062688F" w:rsidRPr="00D045D7" w14:paraId="618C2935" w14:textId="77777777" w:rsidTr="0062688F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EE33B0" w14:textId="3187F51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Latinoamericana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41958C" w14:textId="47D20C3B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2CE95" w14:textId="602C18F6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8.28</w:t>
            </w:r>
          </w:p>
        </w:tc>
      </w:tr>
      <w:tr w:rsidR="0062688F" w:rsidRPr="00D045D7" w14:paraId="733D157E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26FA" w14:textId="16C673EE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0D94" w14:textId="565A2DC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A88E" w14:textId="5C9B0D99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8.24</w:t>
            </w:r>
          </w:p>
        </w:tc>
      </w:tr>
      <w:tr w:rsidR="0062688F" w:rsidRPr="00D045D7" w14:paraId="004BF948" w14:textId="77777777" w:rsidTr="0062688F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CF6A45" w14:textId="43658C69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 las Américas de la Ciudad de 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2CAA84" w14:textId="29C86C37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964E6F" w14:textId="08EC4C2E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8.00</w:t>
            </w:r>
          </w:p>
        </w:tc>
      </w:tr>
      <w:tr w:rsidR="0062688F" w:rsidRPr="00D045D7" w14:paraId="47A47205" w14:textId="77777777" w:rsidTr="009A02E4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A1C2" w14:textId="6C333E26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Universidad de Londres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6DBD" w14:textId="04E435EA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B277" w14:textId="41F4FA18" w:rsidR="0062688F" w:rsidRPr="00D045D7" w:rsidRDefault="0062688F" w:rsidP="006268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45D7">
              <w:rPr>
                <w:rFonts w:ascii="Calibri" w:hAnsi="Calibri" w:cs="Calibri"/>
                <w:color w:val="000000"/>
                <w:sz w:val="16"/>
                <w:szCs w:val="16"/>
              </w:rPr>
              <w:t>7.91</w:t>
            </w:r>
          </w:p>
        </w:tc>
      </w:tr>
      <w:tr w:rsidR="0062688F" w:rsidRPr="00D045D7" w14:paraId="6F0D0FA2" w14:textId="77777777" w:rsidTr="0062688F">
        <w:trPr>
          <w:trHeight w:val="23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5ACB8" w14:textId="37384DAC" w:rsidR="0062688F" w:rsidRPr="00D045D7" w:rsidRDefault="0062688F" w:rsidP="0062688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sz w:val="16"/>
                <w:szCs w:val="16"/>
              </w:rPr>
              <w:t>Universidad 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50FC8EB" w14:textId="06089043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sz w:val="16"/>
                <w:szCs w:val="16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9B8A14" w14:textId="1193067A" w:rsidR="0062688F" w:rsidRPr="00D045D7" w:rsidRDefault="0062688F" w:rsidP="006268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5D7">
              <w:rPr>
                <w:sz w:val="16"/>
                <w:szCs w:val="16"/>
              </w:rPr>
              <w:t>7.52</w:t>
            </w:r>
          </w:p>
        </w:tc>
      </w:tr>
    </w:tbl>
    <w:p w14:paraId="3CE17B32" w14:textId="0031ACDE" w:rsidR="00EB5401" w:rsidRDefault="00EB5401" w:rsidP="00BF3D8A">
      <w:pPr>
        <w:spacing w:after="0" w:line="240" w:lineRule="auto"/>
        <w:jc w:val="both"/>
        <w:rPr>
          <w:szCs w:val="21"/>
        </w:rPr>
      </w:pPr>
    </w:p>
    <w:p w14:paraId="0CC161C5" w14:textId="77777777" w:rsidR="00EB5401" w:rsidRDefault="00EB5401">
      <w:pPr>
        <w:rPr>
          <w:szCs w:val="21"/>
        </w:rPr>
      </w:pPr>
      <w:r>
        <w:rPr>
          <w:szCs w:val="21"/>
        </w:rPr>
        <w:br w:type="page"/>
      </w:r>
    </w:p>
    <w:p w14:paraId="526823C9" w14:textId="77777777" w:rsidR="001C2016" w:rsidRPr="00D045D7" w:rsidRDefault="001C2016" w:rsidP="00BF3D8A">
      <w:pPr>
        <w:spacing w:after="0" w:line="240" w:lineRule="auto"/>
        <w:jc w:val="both"/>
        <w:rPr>
          <w:szCs w:val="21"/>
        </w:rPr>
      </w:pPr>
    </w:p>
    <w:p w14:paraId="14AD66FB" w14:textId="598A7A1E" w:rsidR="00F77487" w:rsidRPr="00D045D7" w:rsidRDefault="00F77487" w:rsidP="00F77487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bCs/>
          <w:szCs w:val="21"/>
        </w:rPr>
        <w:t>Las universidades privadas concentran 69.4% de la participación del ranking</w:t>
      </w:r>
      <w:r w:rsidR="0035458E" w:rsidRPr="00D045D7">
        <w:rPr>
          <w:bCs/>
          <w:szCs w:val="21"/>
        </w:rPr>
        <w:t>.</w:t>
      </w:r>
      <w:r w:rsidR="005031E4" w:rsidRPr="00D045D7">
        <w:t xml:space="preserve"> </w:t>
      </w:r>
      <w:r w:rsidR="0098185B" w:rsidRPr="00D045D7">
        <w:t>D</w:t>
      </w:r>
      <w:r w:rsidR="005031E4" w:rsidRPr="00D045D7">
        <w:t xml:space="preserve">estaca </w:t>
      </w:r>
      <w:r w:rsidR="0035458E" w:rsidRPr="00D045D7">
        <w:t>el desempeño de</w:t>
      </w:r>
      <w:r w:rsidR="005031E4" w:rsidRPr="00D045D7">
        <w:t xml:space="preserve"> </w:t>
      </w:r>
      <w:r w:rsidRPr="00D045D7">
        <w:t>8</w:t>
      </w:r>
      <w:r w:rsidR="005031E4" w:rsidRPr="00D045D7">
        <w:t xml:space="preserve"> universidades </w:t>
      </w:r>
      <w:r w:rsidRPr="00D045D7">
        <w:t xml:space="preserve">privadas </w:t>
      </w:r>
      <w:r w:rsidR="0098185B" w:rsidRPr="00D045D7">
        <w:t>ubicadas</w:t>
      </w:r>
      <w:r w:rsidR="0035458E" w:rsidRPr="00D045D7">
        <w:t xml:space="preserve"> </w:t>
      </w:r>
      <w:r w:rsidRPr="00D045D7">
        <w:t>en</w:t>
      </w:r>
      <w:r w:rsidR="0035458E" w:rsidRPr="00D045D7">
        <w:t>tre</w:t>
      </w:r>
      <w:r w:rsidRPr="00D045D7">
        <w:t xml:space="preserve"> los primeros 3 lugares </w:t>
      </w:r>
      <w:r w:rsidR="005031E4" w:rsidRPr="00D045D7">
        <w:t>del ranking</w:t>
      </w:r>
      <w:r w:rsidRPr="00D045D7">
        <w:t xml:space="preserve"> (ver Tabla 16).</w:t>
      </w:r>
      <w:r w:rsidR="00FD6311" w:rsidRPr="00D045D7">
        <w:t xml:space="preserve"> </w:t>
      </w:r>
      <w:r w:rsidR="00AC74A4" w:rsidRPr="00D045D7">
        <w:rPr>
          <w:szCs w:val="21"/>
        </w:rPr>
        <w:t>El Instituto Tecnológico y de Estudios Superiores de Monterrey (ITESM) es la institución con más carreras</w:t>
      </w:r>
      <w:r w:rsidRPr="00D045D7">
        <w:rPr>
          <w:szCs w:val="21"/>
        </w:rPr>
        <w:t xml:space="preserve"> mejor evaluadas en el ranking. El ITESM obtuvo el primer lugar en </w:t>
      </w:r>
      <w:r w:rsidR="00AC74A4" w:rsidRPr="00D045D7">
        <w:rPr>
          <w:szCs w:val="21"/>
        </w:rPr>
        <w:t xml:space="preserve">comunicación, ingeniería en electrónica, ingeniería industrial y mercadotecnia. </w:t>
      </w:r>
    </w:p>
    <w:p w14:paraId="4E86CDA7" w14:textId="77777777" w:rsidR="00F77487" w:rsidRPr="00D045D7" w:rsidRDefault="00F77487" w:rsidP="00F77487">
      <w:pPr>
        <w:pStyle w:val="Prrafodelista"/>
        <w:spacing w:after="0" w:line="240" w:lineRule="auto"/>
        <w:ind w:left="0"/>
        <w:jc w:val="both"/>
        <w:rPr>
          <w:szCs w:val="21"/>
        </w:rPr>
      </w:pPr>
    </w:p>
    <w:p w14:paraId="71BEEA37" w14:textId="307BC005" w:rsidR="00AC74A4" w:rsidRPr="00D045D7" w:rsidRDefault="00F77487" w:rsidP="00F77487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>L</w:t>
      </w:r>
      <w:r w:rsidR="00AC74A4" w:rsidRPr="00D045D7">
        <w:rPr>
          <w:szCs w:val="21"/>
        </w:rPr>
        <w:t xml:space="preserve">a </w:t>
      </w:r>
      <w:r w:rsidR="00AC74A4" w:rsidRPr="00D045D7">
        <w:rPr>
          <w:b/>
          <w:bCs/>
          <w:szCs w:val="21"/>
        </w:rPr>
        <w:t>UNAM</w:t>
      </w:r>
      <w:r w:rsidR="00AC74A4" w:rsidRPr="00D045D7">
        <w:rPr>
          <w:szCs w:val="21"/>
        </w:rPr>
        <w:t xml:space="preserve"> </w:t>
      </w:r>
      <w:r w:rsidRPr="00D045D7">
        <w:rPr>
          <w:szCs w:val="21"/>
        </w:rPr>
        <w:t xml:space="preserve">es la segunda universidad con más licenciaturas clasificadas en </w:t>
      </w:r>
      <w:r w:rsidR="00720D56" w:rsidRPr="00D045D7">
        <w:rPr>
          <w:szCs w:val="21"/>
        </w:rPr>
        <w:t>el primer lugar</w:t>
      </w:r>
      <w:r w:rsidRPr="00D045D7">
        <w:rPr>
          <w:szCs w:val="21"/>
        </w:rPr>
        <w:t xml:space="preserve"> del ranking</w:t>
      </w:r>
      <w:r w:rsidRPr="00D045D7">
        <w:rPr>
          <w:bCs/>
          <w:szCs w:val="21"/>
        </w:rPr>
        <w:t xml:space="preserve"> </w:t>
      </w:r>
      <w:r w:rsidR="001D3FDF" w:rsidRPr="00D045D7">
        <w:rPr>
          <w:szCs w:val="21"/>
        </w:rPr>
        <w:t>(ver Tabla 16)</w:t>
      </w:r>
      <w:r w:rsidR="00AC74A4" w:rsidRPr="00D045D7">
        <w:rPr>
          <w:szCs w:val="21"/>
        </w:rPr>
        <w:t xml:space="preserve">. Cabe precisar que la </w:t>
      </w:r>
      <w:r w:rsidR="00AC74A4" w:rsidRPr="00D045D7">
        <w:rPr>
          <w:b/>
          <w:bCs/>
          <w:szCs w:val="21"/>
        </w:rPr>
        <w:t>UNAM</w:t>
      </w:r>
      <w:r w:rsidR="00AC74A4" w:rsidRPr="00D045D7">
        <w:rPr>
          <w:szCs w:val="21"/>
        </w:rPr>
        <w:t xml:space="preserve"> no fue clasificada en 3 programas de licenciatura debido a que no cuenta con las carreras de finanzas, gastronomía y mercadotecnia.</w:t>
      </w:r>
    </w:p>
    <w:p w14:paraId="1D4AC3B4" w14:textId="77777777" w:rsidR="00EC3E69" w:rsidRPr="00D045D7" w:rsidRDefault="00EC3E69" w:rsidP="00EC3E69">
      <w:pPr>
        <w:pStyle w:val="Prrafodelista"/>
        <w:spacing w:after="0" w:line="240" w:lineRule="auto"/>
        <w:ind w:left="0"/>
        <w:jc w:val="both"/>
        <w:rPr>
          <w:bCs/>
          <w:szCs w:val="21"/>
        </w:rPr>
      </w:pPr>
    </w:p>
    <w:p w14:paraId="683FAF07" w14:textId="3088A039" w:rsidR="00AC74A4" w:rsidRPr="00D045D7" w:rsidRDefault="00EC3E69" w:rsidP="00F77487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Cs w:val="21"/>
        </w:rPr>
      </w:pPr>
      <w:r w:rsidRPr="00D045D7">
        <w:t xml:space="preserve">La </w:t>
      </w:r>
      <w:r w:rsidRPr="00D045D7">
        <w:rPr>
          <w:b/>
          <w:bCs/>
        </w:rPr>
        <w:t>UNAM</w:t>
      </w:r>
      <w:r w:rsidRPr="00D045D7">
        <w:t xml:space="preserve"> </w:t>
      </w:r>
      <w:r w:rsidRPr="00D045D7">
        <w:rPr>
          <w:szCs w:val="21"/>
        </w:rPr>
        <w:t>fue</w:t>
      </w:r>
      <w:r w:rsidRPr="00D045D7">
        <w:t xml:space="preserve"> clasificada en 14 de los 17 programas de licenciatura considerados por el ranking, los cuales </w:t>
      </w:r>
      <w:r w:rsidR="00AC74A4" w:rsidRPr="00D045D7">
        <w:rPr>
          <w:szCs w:val="21"/>
        </w:rPr>
        <w:t xml:space="preserve">se distribuyen de la siguiente manera: </w:t>
      </w:r>
    </w:p>
    <w:p w14:paraId="283E28CB" w14:textId="1682419B" w:rsidR="005A72AA" w:rsidRPr="00D045D7" w:rsidRDefault="00AC74A4" w:rsidP="005A72A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D045D7">
        <w:rPr>
          <w:szCs w:val="21"/>
        </w:rPr>
        <w:t xml:space="preserve">En </w:t>
      </w:r>
      <w:r w:rsidR="00E513D4" w:rsidRPr="00D045D7">
        <w:rPr>
          <w:szCs w:val="21"/>
        </w:rPr>
        <w:t xml:space="preserve">primer </w:t>
      </w:r>
      <w:r w:rsidRPr="00D045D7">
        <w:rPr>
          <w:szCs w:val="21"/>
        </w:rPr>
        <w:t xml:space="preserve">lugar en 3 licenciaturas: </w:t>
      </w:r>
      <w:r w:rsidR="005A72AA" w:rsidRPr="00D045D7">
        <w:rPr>
          <w:szCs w:val="21"/>
        </w:rPr>
        <w:t xml:space="preserve">medicina con 9.15 puntos sobre 10 posibles, psicología con 9.05 puntos y </w:t>
      </w:r>
      <w:r w:rsidRPr="00D045D7">
        <w:rPr>
          <w:szCs w:val="21"/>
        </w:rPr>
        <w:t>arquitectura</w:t>
      </w:r>
      <w:r w:rsidR="005A72AA" w:rsidRPr="00D045D7">
        <w:rPr>
          <w:szCs w:val="21"/>
        </w:rPr>
        <w:t xml:space="preserve"> con 8.64 puntos.</w:t>
      </w:r>
    </w:p>
    <w:p w14:paraId="6FA4A914" w14:textId="1E1B9D38" w:rsidR="00AC74A4" w:rsidRPr="00D045D7" w:rsidRDefault="00AC74A4" w:rsidP="00AC74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D045D7">
        <w:rPr>
          <w:szCs w:val="21"/>
        </w:rPr>
        <w:t xml:space="preserve">En </w:t>
      </w:r>
      <w:r w:rsidR="00E513D4" w:rsidRPr="00D045D7">
        <w:rPr>
          <w:szCs w:val="21"/>
        </w:rPr>
        <w:t xml:space="preserve">segundo </w:t>
      </w:r>
      <w:r w:rsidRPr="00D045D7">
        <w:rPr>
          <w:szCs w:val="21"/>
        </w:rPr>
        <w:t>lugar en la licenciatura en comunicación.</w:t>
      </w:r>
    </w:p>
    <w:p w14:paraId="1AF765AB" w14:textId="246B32E1" w:rsidR="00AC74A4" w:rsidRPr="00D045D7" w:rsidRDefault="00AC74A4" w:rsidP="00AC74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D045D7">
        <w:rPr>
          <w:rFonts w:cstheme="minorHAnsi"/>
        </w:rPr>
        <w:t xml:space="preserve">En </w:t>
      </w:r>
      <w:r w:rsidR="00E513D4" w:rsidRPr="00D045D7">
        <w:rPr>
          <w:rFonts w:cstheme="minorHAnsi"/>
        </w:rPr>
        <w:t xml:space="preserve">tercer </w:t>
      </w:r>
      <w:r w:rsidRPr="00D045D7">
        <w:rPr>
          <w:rFonts w:cstheme="minorHAnsi"/>
        </w:rPr>
        <w:t>lugar en 3 licenciaturas: contaduría, diseño gráfico e ingeniería química.</w:t>
      </w:r>
    </w:p>
    <w:p w14:paraId="20041F46" w14:textId="66A95825" w:rsidR="00AC74A4" w:rsidRPr="00D045D7" w:rsidRDefault="00AC74A4" w:rsidP="00AC74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D045D7">
        <w:rPr>
          <w:rFonts w:cstheme="minorHAnsi"/>
        </w:rPr>
        <w:t>El resto de las posiciones obtenidas fueron</w:t>
      </w:r>
      <w:r w:rsidR="00EA1072" w:rsidRPr="00D045D7">
        <w:rPr>
          <w:rFonts w:cstheme="minorHAnsi"/>
        </w:rPr>
        <w:t>:</w:t>
      </w:r>
      <w:r w:rsidRPr="00D045D7">
        <w:rPr>
          <w:rFonts w:cstheme="minorHAnsi"/>
        </w:rPr>
        <w:t xml:space="preserve"> 1 </w:t>
      </w:r>
      <w:r w:rsidR="00EA1072" w:rsidRPr="00D045D7">
        <w:rPr>
          <w:rFonts w:cstheme="minorHAnsi"/>
        </w:rPr>
        <w:t xml:space="preserve">licenciatura </w:t>
      </w:r>
      <w:r w:rsidRPr="00D045D7">
        <w:rPr>
          <w:rFonts w:cstheme="minorHAnsi"/>
        </w:rPr>
        <w:t xml:space="preserve">en </w:t>
      </w:r>
      <w:r w:rsidR="00EA1072" w:rsidRPr="00D045D7">
        <w:rPr>
          <w:rFonts w:cstheme="minorHAnsi"/>
        </w:rPr>
        <w:t>cuarto</w:t>
      </w:r>
      <w:r w:rsidRPr="00D045D7">
        <w:rPr>
          <w:rFonts w:cstheme="minorHAnsi"/>
        </w:rPr>
        <w:t xml:space="preserve"> lugar, 3 en </w:t>
      </w:r>
      <w:r w:rsidR="00EA1072" w:rsidRPr="00D045D7">
        <w:rPr>
          <w:rFonts w:cstheme="minorHAnsi"/>
        </w:rPr>
        <w:t>quinto</w:t>
      </w:r>
      <w:r w:rsidRPr="00D045D7">
        <w:rPr>
          <w:rFonts w:cstheme="minorHAnsi"/>
        </w:rPr>
        <w:t xml:space="preserve"> y 3 en </w:t>
      </w:r>
      <w:r w:rsidR="00EA1072" w:rsidRPr="00D045D7">
        <w:rPr>
          <w:rFonts w:cstheme="minorHAnsi"/>
        </w:rPr>
        <w:t>sexto</w:t>
      </w:r>
      <w:r w:rsidRPr="00D045D7">
        <w:rPr>
          <w:rFonts w:cstheme="minorHAnsi"/>
        </w:rPr>
        <w:t>.</w:t>
      </w:r>
    </w:p>
    <w:p w14:paraId="2E720BE9" w14:textId="3313517B" w:rsidR="00AC74A4" w:rsidRPr="00D045D7" w:rsidRDefault="00AC74A4" w:rsidP="005031E4">
      <w:pPr>
        <w:pStyle w:val="Prrafodelista"/>
        <w:spacing w:after="0" w:line="240" w:lineRule="auto"/>
        <w:ind w:left="0"/>
        <w:jc w:val="both"/>
        <w:rPr>
          <w:bCs/>
          <w:szCs w:val="21"/>
        </w:rPr>
      </w:pPr>
    </w:p>
    <w:p w14:paraId="21DF0023" w14:textId="50505A18" w:rsidR="00FD6311" w:rsidRPr="00D045D7" w:rsidRDefault="00FD6311" w:rsidP="009E6FD1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</w:pPr>
      <w:bookmarkStart w:id="2" w:name="_Hlk68027376"/>
      <w:r w:rsidRPr="00D045D7">
        <w:t xml:space="preserve">Al </w:t>
      </w:r>
      <w:r w:rsidRPr="00082D78">
        <w:rPr>
          <w:szCs w:val="21"/>
        </w:rPr>
        <w:t>comparar</w:t>
      </w:r>
      <w:r w:rsidRPr="00D045D7">
        <w:t xml:space="preserve"> el desempeño de la UNAM, es posible apreciar </w:t>
      </w:r>
      <w:r w:rsidR="00EF188B" w:rsidRPr="00D045D7">
        <w:t xml:space="preserve">que las licenciaturas en psicología, medicina y arquitectura se han mantenido en los primeros 2 lugares </w:t>
      </w:r>
      <w:r w:rsidR="008E1CDC" w:rsidRPr="00D045D7">
        <w:t xml:space="preserve">desde la edición </w:t>
      </w:r>
      <w:r w:rsidR="00EF188B" w:rsidRPr="00D045D7">
        <w:t>2020</w:t>
      </w:r>
      <w:r w:rsidR="008E1CDC" w:rsidRPr="00D045D7">
        <w:t>,</w:t>
      </w:r>
      <w:r w:rsidR="00EF188B" w:rsidRPr="00D045D7">
        <w:t xml:space="preserve"> y </w:t>
      </w:r>
      <w:r w:rsidR="008E1CDC" w:rsidRPr="00D045D7">
        <w:t>para la actual se posicionan en el primer lugar</w:t>
      </w:r>
      <w:r w:rsidR="00EF188B" w:rsidRPr="00D045D7">
        <w:t>.</w:t>
      </w:r>
      <w:r w:rsidR="0035451D" w:rsidRPr="00D045D7">
        <w:t xml:space="preserve"> En términos generales, se muestra una tendencia al alza en las carreras de administración, comunicación, contaduría, ingeniería en electrónica e ingeniería mecatrónica. No obstante, e</w:t>
      </w:r>
      <w:r w:rsidRPr="00082D78">
        <w:rPr>
          <w:szCs w:val="21"/>
        </w:rPr>
        <w:t xml:space="preserve">l resto de </w:t>
      </w:r>
      <w:r w:rsidR="0035451D" w:rsidRPr="00082D78">
        <w:rPr>
          <w:szCs w:val="21"/>
        </w:rPr>
        <w:t xml:space="preserve">las licenciaturas </w:t>
      </w:r>
      <w:r w:rsidRPr="00082D78">
        <w:rPr>
          <w:szCs w:val="21"/>
        </w:rPr>
        <w:t>presentaron un ligero decremento</w:t>
      </w:r>
      <w:r w:rsidR="00774E07" w:rsidRPr="00082D78">
        <w:rPr>
          <w:szCs w:val="21"/>
        </w:rPr>
        <w:t xml:space="preserve">, siendo la </w:t>
      </w:r>
      <w:r w:rsidRPr="00082D78">
        <w:rPr>
          <w:szCs w:val="21"/>
        </w:rPr>
        <w:t xml:space="preserve">carrera de </w:t>
      </w:r>
      <w:r w:rsidR="00774E07" w:rsidRPr="00082D78">
        <w:rPr>
          <w:szCs w:val="21"/>
        </w:rPr>
        <w:t>derecho la que presento una caída más pronunciada</w:t>
      </w:r>
      <w:r w:rsidRPr="00082D78">
        <w:rPr>
          <w:szCs w:val="21"/>
        </w:rPr>
        <w:t xml:space="preserve"> al pasar del </w:t>
      </w:r>
      <w:r w:rsidR="0035458E" w:rsidRPr="00082D78">
        <w:rPr>
          <w:szCs w:val="21"/>
        </w:rPr>
        <w:t xml:space="preserve">primer </w:t>
      </w:r>
      <w:r w:rsidRPr="00082D78">
        <w:rPr>
          <w:szCs w:val="21"/>
        </w:rPr>
        <w:t>luga</w:t>
      </w:r>
      <w:r w:rsidRPr="00D045D7">
        <w:t>r</w:t>
      </w:r>
      <w:r w:rsidR="00774E07" w:rsidRPr="00D045D7">
        <w:t xml:space="preserve"> en 2020</w:t>
      </w:r>
      <w:r w:rsidR="00FE042A" w:rsidRPr="00D045D7">
        <w:t>,</w:t>
      </w:r>
      <w:r w:rsidRPr="00D045D7">
        <w:t xml:space="preserve"> al </w:t>
      </w:r>
      <w:r w:rsidR="00FE042A" w:rsidRPr="00D045D7">
        <w:t>sexto</w:t>
      </w:r>
      <w:r w:rsidR="00082D78">
        <w:t xml:space="preserve"> </w:t>
      </w:r>
      <w:r w:rsidR="00774E07" w:rsidRPr="00D045D7">
        <w:t>en 2022</w:t>
      </w:r>
      <w:r w:rsidRPr="00D045D7">
        <w:t>.</w:t>
      </w:r>
    </w:p>
    <w:bookmarkEnd w:id="2"/>
    <w:p w14:paraId="35CC5143" w14:textId="77777777" w:rsidR="00FD6311" w:rsidRPr="00D045D7" w:rsidRDefault="00FD6311" w:rsidP="005031E4">
      <w:pPr>
        <w:pStyle w:val="Prrafodelista"/>
        <w:spacing w:after="0" w:line="240" w:lineRule="auto"/>
        <w:ind w:left="0"/>
        <w:jc w:val="both"/>
        <w:rPr>
          <w:bCs/>
          <w:szCs w:val="21"/>
        </w:rPr>
      </w:pPr>
    </w:p>
    <w:tbl>
      <w:tblPr>
        <w:tblW w:w="8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995"/>
        <w:gridCol w:w="995"/>
        <w:gridCol w:w="995"/>
        <w:gridCol w:w="1000"/>
      </w:tblGrid>
      <w:tr w:rsidR="001C2016" w:rsidRPr="00D045D7" w14:paraId="1A30867C" w14:textId="77777777" w:rsidTr="001D3FDF">
        <w:trPr>
          <w:trHeight w:val="199"/>
          <w:jc w:val="center"/>
        </w:trPr>
        <w:tc>
          <w:tcPr>
            <w:tcW w:w="8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06147" w14:textId="0A6C2ECD" w:rsidR="001C2016" w:rsidRPr="00D045D7" w:rsidRDefault="001C2016" w:rsidP="00FE042A">
            <w:pPr>
              <w:tabs>
                <w:tab w:val="left" w:pos="69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Tabla 1</w:t>
            </w:r>
            <w:r w:rsidR="0035458E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7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. Universidades clasificadas en los primeros 3 lugares del ranking </w:t>
            </w:r>
            <w:r w:rsidRPr="00D045D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s-MX"/>
              </w:rPr>
              <w:t>Reforma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9B28D6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“Las Mejores Universidades 2022”</w:t>
            </w:r>
          </w:p>
        </w:tc>
      </w:tr>
      <w:tr w:rsidR="009A02E4" w:rsidRPr="00D045D7" w14:paraId="13D4FAE7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930871B" w14:textId="77777777" w:rsidR="001C2016" w:rsidRPr="00D045D7" w:rsidRDefault="001C2016" w:rsidP="001C201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5BC174F" w14:textId="77777777" w:rsidR="001C2016" w:rsidRPr="00D045D7" w:rsidRDefault="001C2016" w:rsidP="001C201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1er lugar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D71F52" w14:textId="77777777" w:rsidR="001C2016" w:rsidRPr="00D045D7" w:rsidRDefault="001C2016" w:rsidP="001C201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2do lugar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6D95CA9" w14:textId="77777777" w:rsidR="001C2016" w:rsidRPr="00D045D7" w:rsidRDefault="001C2016" w:rsidP="001C201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3er lugar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BC4B15D" w14:textId="77777777" w:rsidR="001C2016" w:rsidRPr="00D045D7" w:rsidRDefault="001C2016" w:rsidP="001C201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Sector</w:t>
            </w:r>
          </w:p>
        </w:tc>
      </w:tr>
      <w:tr w:rsidR="001C2016" w:rsidRPr="00D045D7" w14:paraId="1E72D4ED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9A5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Tecnológico y de Estudios Superiores de Monterrey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4F4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1C8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0AB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DA4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9A02E4" w:rsidRPr="00D045D7" w14:paraId="28DCF6FE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5F525B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Nacional Autónoma de México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E72C44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99D52B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938965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0AD011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Público</w:t>
            </w:r>
          </w:p>
        </w:tc>
      </w:tr>
      <w:tr w:rsidR="001C2016" w:rsidRPr="00D045D7" w14:paraId="716C10A4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772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Iberoamericana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0A98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C50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3C2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C7D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9A02E4" w:rsidRPr="00D045D7" w14:paraId="4338EF95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C75FBC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Panamericana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B08863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6D16AF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0BED73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A11F41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1C2016" w:rsidRPr="00D045D7" w14:paraId="744A9955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157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La Salle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B1E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91F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155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FE6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9A02E4" w:rsidRPr="00D045D7" w14:paraId="0B06A9E8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CE9389A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Tecnológico Autónomo de México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2D6D59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C8BD7B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1A02D4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EB757A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1C2016" w:rsidRPr="00D045D7" w14:paraId="59A2D526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1EE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Anáhuac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73A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5A6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961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38B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9A02E4" w:rsidRPr="00D045D7" w14:paraId="1B3D2C49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D801D9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del Claustro de Sor Juana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CBC304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053A7C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A16C35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9C0F9D5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  <w:tr w:rsidR="001C2016" w:rsidRPr="00D045D7" w14:paraId="061F9AFD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013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Politécnico Nacional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B2E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D8FA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3C8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E40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Público</w:t>
            </w:r>
          </w:p>
        </w:tc>
      </w:tr>
      <w:tr w:rsidR="009A02E4" w:rsidRPr="00D045D7" w14:paraId="42D58186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89984E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Centro de Investigación y Docencia Económicas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A4AB40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4A7197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F4A8AA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F7506E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Público</w:t>
            </w:r>
          </w:p>
        </w:tc>
      </w:tr>
      <w:tr w:rsidR="001C2016" w:rsidRPr="00D045D7" w14:paraId="01458566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B5F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Autónoma Metropolitana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F40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B585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CCA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A8A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Público</w:t>
            </w:r>
          </w:p>
        </w:tc>
      </w:tr>
      <w:tr w:rsidR="009A02E4" w:rsidRPr="00D045D7" w14:paraId="1C58591E" w14:textId="77777777" w:rsidTr="005A72AA">
        <w:trPr>
          <w:trHeight w:val="19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1B57CB" w14:textId="77777777" w:rsidR="001C2016" w:rsidRPr="00D045D7" w:rsidRDefault="001C2016" w:rsidP="001C20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Universidad Justo Sierra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03FA5D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A88B24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EEB740" w14:textId="77777777" w:rsidR="001C2016" w:rsidRPr="00D045D7" w:rsidRDefault="001C2016" w:rsidP="001C20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F8DD8E" w14:textId="77777777" w:rsidR="001C2016" w:rsidRPr="00D045D7" w:rsidRDefault="001C2016" w:rsidP="009A02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045D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Privado</w:t>
            </w:r>
          </w:p>
        </w:tc>
      </w:tr>
    </w:tbl>
    <w:p w14:paraId="01EF24D1" w14:textId="5DFC0CCD" w:rsidR="001C2016" w:rsidRPr="00D045D7" w:rsidRDefault="001C2016" w:rsidP="00E4106C">
      <w:pPr>
        <w:spacing w:after="0" w:line="240" w:lineRule="auto"/>
        <w:jc w:val="both"/>
        <w:rPr>
          <w:szCs w:val="21"/>
        </w:rPr>
      </w:pPr>
    </w:p>
    <w:p w14:paraId="66F11129" w14:textId="77777777" w:rsidR="00EB5401" w:rsidRDefault="00EB5401">
      <w:r>
        <w:br w:type="page"/>
      </w:r>
    </w:p>
    <w:tbl>
      <w:tblPr>
        <w:tblStyle w:val="Tablaconcuadrcula"/>
        <w:tblW w:w="12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2"/>
      </w:tblGrid>
      <w:tr w:rsidR="00FD6311" w:rsidRPr="00D045D7" w14:paraId="4AB83633" w14:textId="77777777" w:rsidTr="00252514">
        <w:trPr>
          <w:trHeight w:val="61"/>
          <w:jc w:val="center"/>
        </w:trPr>
        <w:tc>
          <w:tcPr>
            <w:tcW w:w="12112" w:type="dxa"/>
            <w:vAlign w:val="center"/>
          </w:tcPr>
          <w:p w14:paraId="451827B5" w14:textId="2952578D" w:rsidR="00FD6311" w:rsidRPr="00D045D7" w:rsidRDefault="00FD6311" w:rsidP="00FE042A">
            <w:pPr>
              <w:pStyle w:val="Prrafodelista"/>
              <w:jc w:val="center"/>
              <w:rPr>
                <w:b/>
                <w:sz w:val="18"/>
                <w:szCs w:val="18"/>
              </w:rPr>
            </w:pPr>
            <w:r w:rsidRPr="00D045D7">
              <w:rPr>
                <w:b/>
                <w:sz w:val="18"/>
                <w:szCs w:val="18"/>
              </w:rPr>
              <w:lastRenderedPageBreak/>
              <w:t xml:space="preserve">Gráfica 1. Posición de </w:t>
            </w:r>
            <w:r w:rsidR="00EF188B" w:rsidRPr="00D045D7">
              <w:rPr>
                <w:b/>
                <w:sz w:val="18"/>
                <w:szCs w:val="18"/>
              </w:rPr>
              <w:t xml:space="preserve">los 14 </w:t>
            </w:r>
            <w:r w:rsidRPr="00D045D7">
              <w:rPr>
                <w:b/>
                <w:sz w:val="18"/>
                <w:szCs w:val="18"/>
              </w:rPr>
              <w:t xml:space="preserve">programas de la UNAM clasificados en el 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ranking </w:t>
            </w:r>
            <w:r w:rsidRPr="00D045D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s-MX"/>
              </w:rPr>
              <w:t>Reforma</w:t>
            </w:r>
            <w:r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9B28D6" w:rsidRPr="00D045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“Las Mejores Universidades</w:t>
            </w:r>
            <w:r w:rsidR="00082D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” para los años 2020-2022</w:t>
            </w:r>
          </w:p>
        </w:tc>
      </w:tr>
      <w:tr w:rsidR="00FD6311" w:rsidRPr="00D045D7" w14:paraId="7378B485" w14:textId="77777777" w:rsidTr="003E7D04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2112" w:type="dxa"/>
            <w:vAlign w:val="center"/>
          </w:tcPr>
          <w:p w14:paraId="18042E80" w14:textId="7E28D457" w:rsidR="00FD6311" w:rsidRPr="00D045D7" w:rsidRDefault="003E7D04" w:rsidP="0025251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6717D8" wp14:editId="17ED31FA">
                  <wp:extent cx="7200000" cy="1800000"/>
                  <wp:effectExtent l="0" t="0" r="127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C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D6311" w:rsidRPr="00D045D7" w14:paraId="6C090A94" w14:textId="77777777" w:rsidTr="003E7D04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2112" w:type="dxa"/>
            <w:vAlign w:val="center"/>
          </w:tcPr>
          <w:p w14:paraId="78B25237" w14:textId="47845127" w:rsidR="00FD6311" w:rsidRPr="00D045D7" w:rsidRDefault="003E7D04" w:rsidP="0025251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2A2621" wp14:editId="5AF8E61E">
                  <wp:extent cx="7200000" cy="1872000"/>
                  <wp:effectExtent l="0" t="0" r="127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C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231DF2" w14:textId="26B864FE" w:rsidR="00C23457" w:rsidRPr="00D045D7" w:rsidRDefault="00C23457" w:rsidP="00365884">
      <w:pPr>
        <w:spacing w:after="0" w:line="240" w:lineRule="auto"/>
        <w:rPr>
          <w:rFonts w:cstheme="minorHAnsi"/>
          <w:sz w:val="16"/>
          <w:szCs w:val="16"/>
        </w:rPr>
      </w:pPr>
    </w:p>
    <w:p w14:paraId="251CFD24" w14:textId="77777777" w:rsidR="00C05526" w:rsidRPr="00D045D7" w:rsidRDefault="00C05526" w:rsidP="00EB5401">
      <w:pPr>
        <w:spacing w:after="0" w:line="240" w:lineRule="auto"/>
        <w:jc w:val="center"/>
        <w:rPr>
          <w:b/>
          <w:bCs/>
        </w:rPr>
      </w:pPr>
      <w:r w:rsidRPr="00D045D7">
        <w:rPr>
          <w:b/>
          <w:bCs/>
        </w:rPr>
        <w:t>Conclusiones</w:t>
      </w:r>
    </w:p>
    <w:p w14:paraId="64280D0E" w14:textId="77777777" w:rsidR="00C05526" w:rsidRPr="00D045D7" w:rsidRDefault="00C05526" w:rsidP="00365884">
      <w:pPr>
        <w:pStyle w:val="Prrafodelista"/>
        <w:spacing w:after="0" w:line="240" w:lineRule="auto"/>
        <w:jc w:val="both"/>
      </w:pPr>
    </w:p>
    <w:p w14:paraId="617D4A9A" w14:textId="405AFAB1" w:rsidR="00720D56" w:rsidRPr="00D045D7" w:rsidRDefault="00676B30" w:rsidP="00720D56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</w:pPr>
      <w:r w:rsidRPr="00D045D7">
        <w:t xml:space="preserve">El </w:t>
      </w:r>
      <w:r w:rsidR="00F77487" w:rsidRPr="00D045D7">
        <w:rPr>
          <w:szCs w:val="21"/>
        </w:rPr>
        <w:t>ranking</w:t>
      </w:r>
      <w:r w:rsidR="00F77487" w:rsidRPr="00D045D7">
        <w:t xml:space="preserve"> </w:t>
      </w:r>
      <w:r w:rsidR="00F77487" w:rsidRPr="00D045D7">
        <w:rPr>
          <w:b/>
          <w:i/>
        </w:rPr>
        <w:t>Reforma</w:t>
      </w:r>
      <w:r w:rsidR="00F77487" w:rsidRPr="00D045D7">
        <w:rPr>
          <w:b/>
        </w:rPr>
        <w:t xml:space="preserve"> </w:t>
      </w:r>
      <w:r w:rsidR="00000C15" w:rsidRPr="00D045D7">
        <w:rPr>
          <w:b/>
        </w:rPr>
        <w:t>“Las Mejores Universidades”</w:t>
      </w:r>
      <w:r w:rsidR="00F77487" w:rsidRPr="00D045D7">
        <w:rPr>
          <w:b/>
        </w:rPr>
        <w:t xml:space="preserve"> 2022</w:t>
      </w:r>
      <w:r w:rsidR="00F77487" w:rsidRPr="00D045D7">
        <w:rPr>
          <w:b/>
          <w:bCs/>
          <w:szCs w:val="21"/>
        </w:rPr>
        <w:t xml:space="preserve"> </w:t>
      </w:r>
      <w:r w:rsidRPr="00D045D7">
        <w:t xml:space="preserve">clasificó a </w:t>
      </w:r>
      <w:r w:rsidR="00F77487" w:rsidRPr="00D045D7">
        <w:t xml:space="preserve">43 universidades en al menos </w:t>
      </w:r>
      <w:r w:rsidR="00F77487" w:rsidRPr="00D045D7">
        <w:rPr>
          <w:szCs w:val="21"/>
        </w:rPr>
        <w:t>un</w:t>
      </w:r>
      <w:r w:rsidR="00F77487" w:rsidRPr="00D045D7">
        <w:t xml:space="preserve"> programa de licenciatura. Sin embargo, </w:t>
      </w:r>
      <w:r w:rsidR="00F77487" w:rsidRPr="00D045D7">
        <w:rPr>
          <w:szCs w:val="21"/>
        </w:rPr>
        <w:t xml:space="preserve">para este análisis general solo </w:t>
      </w:r>
      <w:r w:rsidR="00FE042A" w:rsidRPr="00D045D7">
        <w:rPr>
          <w:szCs w:val="21"/>
        </w:rPr>
        <w:t xml:space="preserve">se </w:t>
      </w:r>
      <w:r w:rsidR="00F77487" w:rsidRPr="00D045D7">
        <w:rPr>
          <w:szCs w:val="21"/>
        </w:rPr>
        <w:t>tomaron en cuenta 36 universidades que participaron en los mismos programas que la UNAM.</w:t>
      </w:r>
    </w:p>
    <w:p w14:paraId="0E75578A" w14:textId="77777777" w:rsidR="00720D56" w:rsidRPr="00D045D7" w:rsidRDefault="00720D56" w:rsidP="00720D56">
      <w:pPr>
        <w:pStyle w:val="Prrafodelista"/>
        <w:spacing w:after="0" w:line="240" w:lineRule="auto"/>
        <w:ind w:left="0"/>
        <w:jc w:val="both"/>
      </w:pPr>
    </w:p>
    <w:p w14:paraId="214DC66F" w14:textId="26E9C3F0" w:rsidR="00F77487" w:rsidRPr="00D045D7" w:rsidRDefault="009B28D6" w:rsidP="00720D56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</w:pPr>
      <w:r w:rsidRPr="00D045D7">
        <w:t xml:space="preserve">Con respecto al total de universidades, las universidades públicas representan </w:t>
      </w:r>
      <w:r w:rsidR="00720D56" w:rsidRPr="00D045D7">
        <w:t>30.6% del ranking, mientras que las universidades privadas ocupan 69.4%</w:t>
      </w:r>
      <w:r w:rsidR="00F77487" w:rsidRPr="00D045D7">
        <w:t xml:space="preserve">. </w:t>
      </w:r>
    </w:p>
    <w:p w14:paraId="0E6AAD65" w14:textId="77777777" w:rsidR="00720D56" w:rsidRPr="00D045D7" w:rsidRDefault="00720D56" w:rsidP="00720D56">
      <w:pPr>
        <w:pStyle w:val="Prrafodelista"/>
      </w:pPr>
    </w:p>
    <w:p w14:paraId="429C89EA" w14:textId="459B8A95" w:rsidR="00720D56" w:rsidRPr="00D045D7" w:rsidRDefault="00720D56" w:rsidP="00720D56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</w:pPr>
      <w:r w:rsidRPr="00D045D7">
        <w:rPr>
          <w:rFonts w:cstheme="minorHAnsi"/>
        </w:rPr>
        <w:t xml:space="preserve">El </w:t>
      </w:r>
      <w:r w:rsidRPr="00D045D7">
        <w:rPr>
          <w:szCs w:val="21"/>
        </w:rPr>
        <w:t xml:space="preserve">ITESM es la institución con más carreras evaluadas en los primeros lugares en el ranking: </w:t>
      </w:r>
      <w:r w:rsidRPr="00D045D7">
        <w:t xml:space="preserve"> 4 licenciaturas en </w:t>
      </w:r>
      <w:r w:rsidR="00FE042A" w:rsidRPr="00D045D7">
        <w:t>primer lugar</w:t>
      </w:r>
      <w:r w:rsidRPr="00D045D7">
        <w:t xml:space="preserve">, 3 en </w:t>
      </w:r>
      <w:r w:rsidR="00FE042A" w:rsidRPr="00D045D7">
        <w:t>segundo</w:t>
      </w:r>
      <w:r w:rsidRPr="00D045D7">
        <w:t xml:space="preserve"> y 6 en </w:t>
      </w:r>
      <w:r w:rsidR="00FE042A" w:rsidRPr="00D045D7">
        <w:t>tercero</w:t>
      </w:r>
      <w:r w:rsidRPr="00D045D7">
        <w:t>.</w:t>
      </w:r>
    </w:p>
    <w:p w14:paraId="74753679" w14:textId="77777777" w:rsidR="00720D56" w:rsidRPr="00D045D7" w:rsidRDefault="00720D56" w:rsidP="00720D56">
      <w:pPr>
        <w:pStyle w:val="Prrafodelista"/>
      </w:pPr>
    </w:p>
    <w:bookmarkEnd w:id="0"/>
    <w:p w14:paraId="36EFF65D" w14:textId="48CC48F3" w:rsidR="00720D56" w:rsidRPr="00D045D7" w:rsidRDefault="00720D56" w:rsidP="00720D56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 xml:space="preserve">Aun cuando la </w:t>
      </w:r>
      <w:r w:rsidRPr="00D045D7">
        <w:rPr>
          <w:b/>
          <w:bCs/>
          <w:szCs w:val="21"/>
        </w:rPr>
        <w:t>UNAM</w:t>
      </w:r>
      <w:r w:rsidRPr="00D045D7">
        <w:rPr>
          <w:szCs w:val="21"/>
        </w:rPr>
        <w:t xml:space="preserve"> particip</w:t>
      </w:r>
      <w:r w:rsidR="0035458E" w:rsidRPr="00D045D7">
        <w:rPr>
          <w:szCs w:val="21"/>
        </w:rPr>
        <w:t>ó</w:t>
      </w:r>
      <w:r w:rsidRPr="00D045D7">
        <w:rPr>
          <w:szCs w:val="21"/>
        </w:rPr>
        <w:t xml:space="preserve"> en la evaluación de 14 programas de licenciatura</w:t>
      </w:r>
      <w:r w:rsidR="00FE042A" w:rsidRPr="00D045D7">
        <w:rPr>
          <w:szCs w:val="21"/>
        </w:rPr>
        <w:t>,</w:t>
      </w:r>
      <w:r w:rsidRPr="00D045D7">
        <w:rPr>
          <w:szCs w:val="21"/>
        </w:rPr>
        <w:t xml:space="preserve"> se </w:t>
      </w:r>
      <w:r w:rsidR="00FE042A" w:rsidRPr="00D045D7">
        <w:rPr>
          <w:szCs w:val="21"/>
        </w:rPr>
        <w:t xml:space="preserve">ubicó </w:t>
      </w:r>
      <w:r w:rsidRPr="00D045D7">
        <w:rPr>
          <w:szCs w:val="21"/>
        </w:rPr>
        <w:t xml:space="preserve">como la segunda universidad con más programas clasificados en primer lugar. </w:t>
      </w:r>
    </w:p>
    <w:p w14:paraId="2FECB8FC" w14:textId="601763F3" w:rsidR="00720D56" w:rsidRPr="00D045D7" w:rsidRDefault="00720D56" w:rsidP="00720D5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D045D7">
        <w:rPr>
          <w:szCs w:val="21"/>
        </w:rPr>
        <w:t xml:space="preserve">En </w:t>
      </w:r>
      <w:r w:rsidR="00FE042A" w:rsidRPr="00D045D7">
        <w:rPr>
          <w:szCs w:val="21"/>
        </w:rPr>
        <w:t xml:space="preserve">primer </w:t>
      </w:r>
      <w:r w:rsidRPr="00D045D7">
        <w:rPr>
          <w:szCs w:val="21"/>
        </w:rPr>
        <w:t>lugar en medicina, psicología y arquitectura.</w:t>
      </w:r>
    </w:p>
    <w:p w14:paraId="2781777C" w14:textId="7C623AAA" w:rsidR="00720D56" w:rsidRPr="00D045D7" w:rsidRDefault="00720D56" w:rsidP="00720D5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D045D7">
        <w:rPr>
          <w:szCs w:val="21"/>
        </w:rPr>
        <w:t xml:space="preserve">En </w:t>
      </w:r>
      <w:r w:rsidR="00FE042A" w:rsidRPr="00D045D7">
        <w:rPr>
          <w:szCs w:val="21"/>
        </w:rPr>
        <w:t xml:space="preserve">segundo </w:t>
      </w:r>
      <w:r w:rsidRPr="00D045D7">
        <w:rPr>
          <w:szCs w:val="21"/>
        </w:rPr>
        <w:t>lugar en comunicación.</w:t>
      </w:r>
    </w:p>
    <w:p w14:paraId="2CD1A504" w14:textId="5F718058" w:rsidR="00720D56" w:rsidRPr="00D045D7" w:rsidRDefault="00720D56" w:rsidP="00720D5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D045D7">
        <w:rPr>
          <w:rFonts w:cstheme="minorHAnsi"/>
        </w:rPr>
        <w:t xml:space="preserve">En </w:t>
      </w:r>
      <w:r w:rsidR="00FE042A" w:rsidRPr="00D045D7">
        <w:rPr>
          <w:rFonts w:cstheme="minorHAnsi"/>
        </w:rPr>
        <w:t xml:space="preserve">tercer </w:t>
      </w:r>
      <w:r w:rsidRPr="00D045D7">
        <w:rPr>
          <w:rFonts w:cstheme="minorHAnsi"/>
        </w:rPr>
        <w:t>lugar en contaduría, diseño gráfico e ingeniería química.</w:t>
      </w:r>
    </w:p>
    <w:p w14:paraId="01B4638C" w14:textId="4D4A97FA" w:rsidR="00720D56" w:rsidRPr="00D045D7" w:rsidRDefault="00720D56" w:rsidP="00720D5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D045D7">
        <w:rPr>
          <w:rFonts w:cstheme="minorHAnsi"/>
        </w:rPr>
        <w:t>El resto de las posiciones obtenidas fueron</w:t>
      </w:r>
      <w:r w:rsidR="0035458E" w:rsidRPr="00D045D7">
        <w:rPr>
          <w:rFonts w:cstheme="minorHAnsi"/>
        </w:rPr>
        <w:t>:</w:t>
      </w:r>
      <w:r w:rsidRPr="00D045D7">
        <w:rPr>
          <w:rFonts w:cstheme="minorHAnsi"/>
        </w:rPr>
        <w:t xml:space="preserve"> 1 en </w:t>
      </w:r>
      <w:r w:rsidR="00FE042A" w:rsidRPr="00D045D7">
        <w:rPr>
          <w:rFonts w:cstheme="minorHAnsi"/>
        </w:rPr>
        <w:t>cuarto</w:t>
      </w:r>
      <w:r w:rsidRPr="00D045D7">
        <w:rPr>
          <w:rFonts w:cstheme="minorHAnsi"/>
        </w:rPr>
        <w:t xml:space="preserve"> lugar, 3 en </w:t>
      </w:r>
      <w:r w:rsidR="00FE042A" w:rsidRPr="00D045D7">
        <w:rPr>
          <w:rFonts w:cstheme="minorHAnsi"/>
        </w:rPr>
        <w:t>quinto</w:t>
      </w:r>
      <w:r w:rsidRPr="00D045D7">
        <w:rPr>
          <w:rFonts w:cstheme="minorHAnsi"/>
        </w:rPr>
        <w:t xml:space="preserve"> lugar y 3 en </w:t>
      </w:r>
      <w:r w:rsidR="00FE042A" w:rsidRPr="00D045D7">
        <w:rPr>
          <w:rFonts w:cstheme="minorHAnsi"/>
        </w:rPr>
        <w:t>sexto</w:t>
      </w:r>
      <w:r w:rsidRPr="00D045D7">
        <w:rPr>
          <w:rFonts w:cstheme="minorHAnsi"/>
        </w:rPr>
        <w:t>.</w:t>
      </w:r>
    </w:p>
    <w:p w14:paraId="0AE556F9" w14:textId="77777777" w:rsidR="003473FF" w:rsidRPr="00D045D7" w:rsidRDefault="003473FF" w:rsidP="003473FF">
      <w:pPr>
        <w:spacing w:after="0" w:line="240" w:lineRule="auto"/>
        <w:jc w:val="both"/>
        <w:rPr>
          <w:szCs w:val="21"/>
        </w:rPr>
      </w:pPr>
    </w:p>
    <w:p w14:paraId="2D3EF2B4" w14:textId="78DF3B53" w:rsidR="00720D56" w:rsidRPr="00D045D7" w:rsidRDefault="00720D56" w:rsidP="00EA1072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szCs w:val="21"/>
        </w:rPr>
      </w:pPr>
      <w:r w:rsidRPr="00D045D7">
        <w:rPr>
          <w:szCs w:val="21"/>
        </w:rPr>
        <w:t xml:space="preserve">Finalmente, al comparar el desempeño de cada una de las 14 disciplinas en las que participó la </w:t>
      </w:r>
      <w:r w:rsidRPr="00D045D7">
        <w:rPr>
          <w:b/>
          <w:bCs/>
          <w:szCs w:val="21"/>
        </w:rPr>
        <w:t>UNAM</w:t>
      </w:r>
      <w:r w:rsidRPr="00D045D7">
        <w:rPr>
          <w:szCs w:val="21"/>
        </w:rPr>
        <w:t xml:space="preserve"> con respecto a la edición pasada, podemos observar que </w:t>
      </w:r>
      <w:r w:rsidR="003473FF" w:rsidRPr="00D045D7">
        <w:t xml:space="preserve">las licenciaturas en psicología, medicina y arquitectura se han mantenido en los primeros </w:t>
      </w:r>
      <w:r w:rsidR="00764DD5" w:rsidRPr="00D045D7">
        <w:t xml:space="preserve">dos </w:t>
      </w:r>
      <w:r w:rsidR="003473FF" w:rsidRPr="00D045D7">
        <w:t>lugares. Además, se muestra un crecimiento en las carreras de administración, comunicación, contaduría, ingeniería en electrónica e ingeniería mecatrónica. En el resto de las</w:t>
      </w:r>
      <w:r w:rsidR="003473FF" w:rsidRPr="00D045D7">
        <w:rPr>
          <w:szCs w:val="21"/>
        </w:rPr>
        <w:t xml:space="preserve"> licenciaturas presentaron un decremento, siendo la carrera de derecho la que presento una caída más pronunciada al pasar del </w:t>
      </w:r>
      <w:r w:rsidR="00764DD5" w:rsidRPr="00D045D7">
        <w:rPr>
          <w:szCs w:val="21"/>
        </w:rPr>
        <w:t xml:space="preserve">primer </w:t>
      </w:r>
      <w:r w:rsidR="003473FF" w:rsidRPr="00D045D7">
        <w:rPr>
          <w:szCs w:val="21"/>
        </w:rPr>
        <w:t>luga</w:t>
      </w:r>
      <w:r w:rsidR="003473FF" w:rsidRPr="00D045D7">
        <w:t>r en 2020</w:t>
      </w:r>
      <w:r w:rsidR="00764DD5" w:rsidRPr="00D045D7">
        <w:t>,</w:t>
      </w:r>
      <w:r w:rsidR="003473FF" w:rsidRPr="00D045D7">
        <w:t xml:space="preserve"> al </w:t>
      </w:r>
      <w:r w:rsidR="00764DD5" w:rsidRPr="00D045D7">
        <w:t xml:space="preserve">sexto </w:t>
      </w:r>
      <w:r w:rsidR="003473FF" w:rsidRPr="00D045D7">
        <w:t>en 2022.</w:t>
      </w:r>
    </w:p>
    <w:sectPr w:rsidR="00720D56" w:rsidRPr="00D045D7" w:rsidSect="00D045D7">
      <w:footerReference w:type="default" r:id="rId11"/>
      <w:pgSz w:w="12240" w:h="15840"/>
      <w:pgMar w:top="927" w:right="1701" w:bottom="106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377B" w14:textId="77777777" w:rsidR="00733520" w:rsidRDefault="00733520" w:rsidP="00DD1B59">
      <w:pPr>
        <w:spacing w:after="0" w:line="240" w:lineRule="auto"/>
      </w:pPr>
      <w:r>
        <w:separator/>
      </w:r>
    </w:p>
  </w:endnote>
  <w:endnote w:type="continuationSeparator" w:id="0">
    <w:p w14:paraId="1AC7A0FA" w14:textId="77777777" w:rsidR="00733520" w:rsidRDefault="00733520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9B9A" w14:textId="77777777" w:rsidR="00E852E7" w:rsidRDefault="00E85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F601" w14:textId="77777777" w:rsidR="00733520" w:rsidRDefault="00733520" w:rsidP="00DD1B59">
      <w:pPr>
        <w:spacing w:after="0" w:line="240" w:lineRule="auto"/>
      </w:pPr>
      <w:r>
        <w:separator/>
      </w:r>
    </w:p>
  </w:footnote>
  <w:footnote w:type="continuationSeparator" w:id="0">
    <w:p w14:paraId="22E7BF76" w14:textId="77777777" w:rsidR="00733520" w:rsidRDefault="00733520" w:rsidP="00DD1B59">
      <w:pPr>
        <w:spacing w:after="0" w:line="240" w:lineRule="auto"/>
      </w:pPr>
      <w:r>
        <w:continuationSeparator/>
      </w:r>
    </w:p>
  </w:footnote>
  <w:footnote w:id="1">
    <w:p w14:paraId="39358019" w14:textId="77777777" w:rsidR="00AA3298" w:rsidRDefault="00AA3298" w:rsidP="00AA329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852E7">
        <w:t xml:space="preserve">Véase </w:t>
      </w:r>
      <w:hyperlink r:id="rId1" w:history="1">
        <w:r w:rsidRPr="00E852E7">
          <w:rPr>
            <w:rStyle w:val="Hipervnculo"/>
            <w:sz w:val="18"/>
          </w:rPr>
          <w:t>https://www.reforma.com/libre/online07/aplicacionei/Pagina.html?seccion=universitarios&amp;fecha=20220327</w:t>
        </w:r>
      </w:hyperlink>
      <w:r w:rsidRPr="00E852E7">
        <w:rPr>
          <w:sz w:val="18"/>
        </w:rPr>
        <w:t>.</w:t>
      </w:r>
    </w:p>
  </w:footnote>
  <w:footnote w:id="2">
    <w:p w14:paraId="5D547359" w14:textId="6A4E137D" w:rsidR="00E852E7" w:rsidRDefault="00E852E7">
      <w:pPr>
        <w:pStyle w:val="Textonotapie"/>
      </w:pPr>
      <w:r>
        <w:rPr>
          <w:rStyle w:val="Refdenotaalpie"/>
        </w:rPr>
        <w:footnoteRef/>
      </w:r>
      <w:r>
        <w:t xml:space="preserve"> El </w:t>
      </w:r>
      <w:r w:rsidRPr="00B36FAA">
        <w:t>Reforma</w:t>
      </w:r>
      <w:r>
        <w:t xml:space="preserve"> publica un ranking independiente para las universidades de Puebla.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4DF0"/>
    <w:multiLevelType w:val="hybridMultilevel"/>
    <w:tmpl w:val="51024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5D"/>
    <w:multiLevelType w:val="hybridMultilevel"/>
    <w:tmpl w:val="92EAA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C83716A"/>
    <w:multiLevelType w:val="hybridMultilevel"/>
    <w:tmpl w:val="3B221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391F"/>
    <w:multiLevelType w:val="hybridMultilevel"/>
    <w:tmpl w:val="85A2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040D"/>
    <w:multiLevelType w:val="hybridMultilevel"/>
    <w:tmpl w:val="CC2AE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875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340AF"/>
    <w:multiLevelType w:val="hybridMultilevel"/>
    <w:tmpl w:val="55FC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24999"/>
    <w:multiLevelType w:val="hybridMultilevel"/>
    <w:tmpl w:val="67E08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10217"/>
    <w:multiLevelType w:val="hybridMultilevel"/>
    <w:tmpl w:val="5C1C1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1"/>
  </w:num>
  <w:num w:numId="4">
    <w:abstractNumId w:val="16"/>
  </w:num>
  <w:num w:numId="5">
    <w:abstractNumId w:val="15"/>
  </w:num>
  <w:num w:numId="6">
    <w:abstractNumId w:val="20"/>
  </w:num>
  <w:num w:numId="7">
    <w:abstractNumId w:val="7"/>
  </w:num>
  <w:num w:numId="8">
    <w:abstractNumId w:val="1"/>
  </w:num>
  <w:num w:numId="9">
    <w:abstractNumId w:val="27"/>
  </w:num>
  <w:num w:numId="10">
    <w:abstractNumId w:val="28"/>
  </w:num>
  <w:num w:numId="11">
    <w:abstractNumId w:val="0"/>
  </w:num>
  <w:num w:numId="12">
    <w:abstractNumId w:val="22"/>
  </w:num>
  <w:num w:numId="13">
    <w:abstractNumId w:val="5"/>
  </w:num>
  <w:num w:numId="14">
    <w:abstractNumId w:val="9"/>
  </w:num>
  <w:num w:numId="15">
    <w:abstractNumId w:val="23"/>
  </w:num>
  <w:num w:numId="16">
    <w:abstractNumId w:val="12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13"/>
  </w:num>
  <w:num w:numId="22">
    <w:abstractNumId w:val="10"/>
  </w:num>
  <w:num w:numId="23">
    <w:abstractNumId w:val="31"/>
  </w:num>
  <w:num w:numId="24">
    <w:abstractNumId w:val="3"/>
  </w:num>
  <w:num w:numId="25">
    <w:abstractNumId w:val="2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8"/>
  </w:num>
  <w:num w:numId="29">
    <w:abstractNumId w:val="17"/>
  </w:num>
  <w:num w:numId="30">
    <w:abstractNumId w:val="4"/>
  </w:num>
  <w:num w:numId="31">
    <w:abstractNumId w:val="6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C15"/>
    <w:rsid w:val="00010FDC"/>
    <w:rsid w:val="00035199"/>
    <w:rsid w:val="0004030C"/>
    <w:rsid w:val="00043B94"/>
    <w:rsid w:val="00044D8C"/>
    <w:rsid w:val="00060AB8"/>
    <w:rsid w:val="000622FE"/>
    <w:rsid w:val="000664E5"/>
    <w:rsid w:val="00067EC6"/>
    <w:rsid w:val="00074FAA"/>
    <w:rsid w:val="00076185"/>
    <w:rsid w:val="00082D78"/>
    <w:rsid w:val="0008448F"/>
    <w:rsid w:val="0008504E"/>
    <w:rsid w:val="00086EC8"/>
    <w:rsid w:val="00087D12"/>
    <w:rsid w:val="0009273D"/>
    <w:rsid w:val="00095E29"/>
    <w:rsid w:val="0009674E"/>
    <w:rsid w:val="000A04AE"/>
    <w:rsid w:val="000A46DB"/>
    <w:rsid w:val="000A62C9"/>
    <w:rsid w:val="000A7E64"/>
    <w:rsid w:val="000B051A"/>
    <w:rsid w:val="000B3CEF"/>
    <w:rsid w:val="000B7933"/>
    <w:rsid w:val="000B7D95"/>
    <w:rsid w:val="000C326D"/>
    <w:rsid w:val="000C3D13"/>
    <w:rsid w:val="000C4389"/>
    <w:rsid w:val="000C6A1B"/>
    <w:rsid w:val="000D0015"/>
    <w:rsid w:val="000D2075"/>
    <w:rsid w:val="000E31BB"/>
    <w:rsid w:val="000E44B8"/>
    <w:rsid w:val="000E7136"/>
    <w:rsid w:val="000F56A4"/>
    <w:rsid w:val="00100487"/>
    <w:rsid w:val="00102D0B"/>
    <w:rsid w:val="00114D13"/>
    <w:rsid w:val="00120F2A"/>
    <w:rsid w:val="00121ECB"/>
    <w:rsid w:val="001374E8"/>
    <w:rsid w:val="00142CF8"/>
    <w:rsid w:val="00145AB4"/>
    <w:rsid w:val="001511A2"/>
    <w:rsid w:val="00153214"/>
    <w:rsid w:val="001614A7"/>
    <w:rsid w:val="00161EDB"/>
    <w:rsid w:val="00167C47"/>
    <w:rsid w:val="0018221D"/>
    <w:rsid w:val="00182EA8"/>
    <w:rsid w:val="00185910"/>
    <w:rsid w:val="0019206B"/>
    <w:rsid w:val="00192C32"/>
    <w:rsid w:val="001940B5"/>
    <w:rsid w:val="001A1148"/>
    <w:rsid w:val="001A286B"/>
    <w:rsid w:val="001A7CDB"/>
    <w:rsid w:val="001B6472"/>
    <w:rsid w:val="001C2016"/>
    <w:rsid w:val="001D27C3"/>
    <w:rsid w:val="001D3FDF"/>
    <w:rsid w:val="001D5EBD"/>
    <w:rsid w:val="001D7DA2"/>
    <w:rsid w:val="001E345D"/>
    <w:rsid w:val="001F0D44"/>
    <w:rsid w:val="001F507B"/>
    <w:rsid w:val="00200691"/>
    <w:rsid w:val="002219C7"/>
    <w:rsid w:val="00224F4B"/>
    <w:rsid w:val="00226581"/>
    <w:rsid w:val="00230F08"/>
    <w:rsid w:val="002347DF"/>
    <w:rsid w:val="0023497B"/>
    <w:rsid w:val="00235633"/>
    <w:rsid w:val="00236AB1"/>
    <w:rsid w:val="0024141D"/>
    <w:rsid w:val="00252514"/>
    <w:rsid w:val="002555D3"/>
    <w:rsid w:val="002577CF"/>
    <w:rsid w:val="00261226"/>
    <w:rsid w:val="0026150C"/>
    <w:rsid w:val="00267720"/>
    <w:rsid w:val="00271E02"/>
    <w:rsid w:val="00275CD0"/>
    <w:rsid w:val="00281E97"/>
    <w:rsid w:val="00284C0A"/>
    <w:rsid w:val="00286835"/>
    <w:rsid w:val="00286D01"/>
    <w:rsid w:val="00291132"/>
    <w:rsid w:val="00292829"/>
    <w:rsid w:val="002938AF"/>
    <w:rsid w:val="002A1E0D"/>
    <w:rsid w:val="002A35CA"/>
    <w:rsid w:val="002A5E6F"/>
    <w:rsid w:val="002B705F"/>
    <w:rsid w:val="002B7783"/>
    <w:rsid w:val="002B7AE1"/>
    <w:rsid w:val="002C26C4"/>
    <w:rsid w:val="002C3235"/>
    <w:rsid w:val="002D101E"/>
    <w:rsid w:val="002D2258"/>
    <w:rsid w:val="002D78E2"/>
    <w:rsid w:val="002E24B1"/>
    <w:rsid w:val="002E342B"/>
    <w:rsid w:val="002E3C48"/>
    <w:rsid w:val="002E5C8D"/>
    <w:rsid w:val="002E7005"/>
    <w:rsid w:val="002F3D75"/>
    <w:rsid w:val="002F62AE"/>
    <w:rsid w:val="00305498"/>
    <w:rsid w:val="00312D70"/>
    <w:rsid w:val="0031474A"/>
    <w:rsid w:val="0031614B"/>
    <w:rsid w:val="003201C2"/>
    <w:rsid w:val="00326420"/>
    <w:rsid w:val="003273D0"/>
    <w:rsid w:val="00331748"/>
    <w:rsid w:val="003341A2"/>
    <w:rsid w:val="00335571"/>
    <w:rsid w:val="00336A3D"/>
    <w:rsid w:val="003439CC"/>
    <w:rsid w:val="0034407C"/>
    <w:rsid w:val="00344794"/>
    <w:rsid w:val="003473FF"/>
    <w:rsid w:val="00350282"/>
    <w:rsid w:val="0035451D"/>
    <w:rsid w:val="0035458E"/>
    <w:rsid w:val="00357C5B"/>
    <w:rsid w:val="00360DB0"/>
    <w:rsid w:val="00365884"/>
    <w:rsid w:val="00366727"/>
    <w:rsid w:val="00386481"/>
    <w:rsid w:val="0039063C"/>
    <w:rsid w:val="00392EC5"/>
    <w:rsid w:val="00396BBE"/>
    <w:rsid w:val="003C102E"/>
    <w:rsid w:val="003C1FBF"/>
    <w:rsid w:val="003D1B18"/>
    <w:rsid w:val="003D2823"/>
    <w:rsid w:val="003D3D5F"/>
    <w:rsid w:val="003E07BD"/>
    <w:rsid w:val="003E1861"/>
    <w:rsid w:val="003E7D04"/>
    <w:rsid w:val="003F504E"/>
    <w:rsid w:val="004004ED"/>
    <w:rsid w:val="00400FEF"/>
    <w:rsid w:val="0040279C"/>
    <w:rsid w:val="00410308"/>
    <w:rsid w:val="0041260E"/>
    <w:rsid w:val="00414020"/>
    <w:rsid w:val="00427882"/>
    <w:rsid w:val="00435BE7"/>
    <w:rsid w:val="00445700"/>
    <w:rsid w:val="004459F3"/>
    <w:rsid w:val="00464558"/>
    <w:rsid w:val="00465D80"/>
    <w:rsid w:val="00465EE6"/>
    <w:rsid w:val="004744A4"/>
    <w:rsid w:val="0047616F"/>
    <w:rsid w:val="00476C56"/>
    <w:rsid w:val="00490AED"/>
    <w:rsid w:val="004959E9"/>
    <w:rsid w:val="00495D1A"/>
    <w:rsid w:val="004A288E"/>
    <w:rsid w:val="004A2911"/>
    <w:rsid w:val="004A29EF"/>
    <w:rsid w:val="004A5256"/>
    <w:rsid w:val="004A59D0"/>
    <w:rsid w:val="004A70A5"/>
    <w:rsid w:val="004B4A0F"/>
    <w:rsid w:val="004C4F5D"/>
    <w:rsid w:val="004C63A5"/>
    <w:rsid w:val="004D2986"/>
    <w:rsid w:val="004D75DD"/>
    <w:rsid w:val="004E0674"/>
    <w:rsid w:val="004E1ADF"/>
    <w:rsid w:val="004E48B5"/>
    <w:rsid w:val="004E5112"/>
    <w:rsid w:val="004F0C87"/>
    <w:rsid w:val="004F1B90"/>
    <w:rsid w:val="004F2FD0"/>
    <w:rsid w:val="004F57E5"/>
    <w:rsid w:val="004F5A6B"/>
    <w:rsid w:val="004F61D3"/>
    <w:rsid w:val="00500A80"/>
    <w:rsid w:val="00501AE5"/>
    <w:rsid w:val="005031E4"/>
    <w:rsid w:val="00504412"/>
    <w:rsid w:val="00507F31"/>
    <w:rsid w:val="00516B87"/>
    <w:rsid w:val="005236F9"/>
    <w:rsid w:val="00526947"/>
    <w:rsid w:val="00530202"/>
    <w:rsid w:val="00530E67"/>
    <w:rsid w:val="00534845"/>
    <w:rsid w:val="00536ABF"/>
    <w:rsid w:val="005410C3"/>
    <w:rsid w:val="005427A3"/>
    <w:rsid w:val="0054305B"/>
    <w:rsid w:val="00554CD5"/>
    <w:rsid w:val="00556FA9"/>
    <w:rsid w:val="005612C8"/>
    <w:rsid w:val="00562CD5"/>
    <w:rsid w:val="00577CD5"/>
    <w:rsid w:val="005810D1"/>
    <w:rsid w:val="00586044"/>
    <w:rsid w:val="00592830"/>
    <w:rsid w:val="005A21A2"/>
    <w:rsid w:val="005A69A8"/>
    <w:rsid w:val="005A72AA"/>
    <w:rsid w:val="005B2F50"/>
    <w:rsid w:val="005B5A58"/>
    <w:rsid w:val="005B79EA"/>
    <w:rsid w:val="005D0DCD"/>
    <w:rsid w:val="005D5076"/>
    <w:rsid w:val="005E02C6"/>
    <w:rsid w:val="005E27AC"/>
    <w:rsid w:val="005E27BD"/>
    <w:rsid w:val="005E368A"/>
    <w:rsid w:val="00602B07"/>
    <w:rsid w:val="0060365B"/>
    <w:rsid w:val="00603FD7"/>
    <w:rsid w:val="00607B17"/>
    <w:rsid w:val="00612A1D"/>
    <w:rsid w:val="0062023B"/>
    <w:rsid w:val="00620639"/>
    <w:rsid w:val="006230CB"/>
    <w:rsid w:val="0062380E"/>
    <w:rsid w:val="0062688F"/>
    <w:rsid w:val="0063287F"/>
    <w:rsid w:val="00634467"/>
    <w:rsid w:val="006347C7"/>
    <w:rsid w:val="00670550"/>
    <w:rsid w:val="006736A3"/>
    <w:rsid w:val="0067403C"/>
    <w:rsid w:val="00676438"/>
    <w:rsid w:val="00676B30"/>
    <w:rsid w:val="00695250"/>
    <w:rsid w:val="006A5E9B"/>
    <w:rsid w:val="006A60F4"/>
    <w:rsid w:val="006B05EF"/>
    <w:rsid w:val="006B4A2A"/>
    <w:rsid w:val="006D2A38"/>
    <w:rsid w:val="006D672B"/>
    <w:rsid w:val="006D72D0"/>
    <w:rsid w:val="006D7C9A"/>
    <w:rsid w:val="006E32C3"/>
    <w:rsid w:val="006F2E18"/>
    <w:rsid w:val="006F45A7"/>
    <w:rsid w:val="006F4917"/>
    <w:rsid w:val="007011FA"/>
    <w:rsid w:val="00715E6E"/>
    <w:rsid w:val="00720D56"/>
    <w:rsid w:val="00721D5B"/>
    <w:rsid w:val="007301B5"/>
    <w:rsid w:val="00733520"/>
    <w:rsid w:val="0073645B"/>
    <w:rsid w:val="007376F1"/>
    <w:rsid w:val="00742115"/>
    <w:rsid w:val="0074388E"/>
    <w:rsid w:val="00744819"/>
    <w:rsid w:val="00745A05"/>
    <w:rsid w:val="007467BD"/>
    <w:rsid w:val="00754BE1"/>
    <w:rsid w:val="007567B7"/>
    <w:rsid w:val="00757B9E"/>
    <w:rsid w:val="00761FC4"/>
    <w:rsid w:val="00764DD5"/>
    <w:rsid w:val="00767B4D"/>
    <w:rsid w:val="00774E07"/>
    <w:rsid w:val="00776C1B"/>
    <w:rsid w:val="00777C99"/>
    <w:rsid w:val="00785BED"/>
    <w:rsid w:val="00790071"/>
    <w:rsid w:val="00790D03"/>
    <w:rsid w:val="00790E2A"/>
    <w:rsid w:val="00792343"/>
    <w:rsid w:val="007934C0"/>
    <w:rsid w:val="00795857"/>
    <w:rsid w:val="007A20CD"/>
    <w:rsid w:val="007A3ACB"/>
    <w:rsid w:val="007A47F9"/>
    <w:rsid w:val="007A5787"/>
    <w:rsid w:val="007B2B33"/>
    <w:rsid w:val="007B3A13"/>
    <w:rsid w:val="007B4D15"/>
    <w:rsid w:val="007B5D8E"/>
    <w:rsid w:val="007C2C1D"/>
    <w:rsid w:val="007C3DCD"/>
    <w:rsid w:val="007C7017"/>
    <w:rsid w:val="007D3725"/>
    <w:rsid w:val="007D5832"/>
    <w:rsid w:val="007E02D3"/>
    <w:rsid w:val="007E5AB4"/>
    <w:rsid w:val="007E6460"/>
    <w:rsid w:val="007F491D"/>
    <w:rsid w:val="007F6BCB"/>
    <w:rsid w:val="007F72AE"/>
    <w:rsid w:val="007F746F"/>
    <w:rsid w:val="008005A1"/>
    <w:rsid w:val="00804B87"/>
    <w:rsid w:val="008056C9"/>
    <w:rsid w:val="008067C4"/>
    <w:rsid w:val="00812F50"/>
    <w:rsid w:val="00816B45"/>
    <w:rsid w:val="008331B2"/>
    <w:rsid w:val="0083344D"/>
    <w:rsid w:val="0083640D"/>
    <w:rsid w:val="00840C31"/>
    <w:rsid w:val="0084682F"/>
    <w:rsid w:val="00847789"/>
    <w:rsid w:val="00851722"/>
    <w:rsid w:val="0085263B"/>
    <w:rsid w:val="0086322B"/>
    <w:rsid w:val="008670CA"/>
    <w:rsid w:val="00867C93"/>
    <w:rsid w:val="0087099A"/>
    <w:rsid w:val="00876A66"/>
    <w:rsid w:val="008A341F"/>
    <w:rsid w:val="008A3DE1"/>
    <w:rsid w:val="008B1BC3"/>
    <w:rsid w:val="008B3929"/>
    <w:rsid w:val="008B711B"/>
    <w:rsid w:val="008C3094"/>
    <w:rsid w:val="008C3620"/>
    <w:rsid w:val="008D2B20"/>
    <w:rsid w:val="008D6D0B"/>
    <w:rsid w:val="008E1CDC"/>
    <w:rsid w:val="008E6DC1"/>
    <w:rsid w:val="008E7A6C"/>
    <w:rsid w:val="008F2D1A"/>
    <w:rsid w:val="008F6975"/>
    <w:rsid w:val="009013CD"/>
    <w:rsid w:val="009015AC"/>
    <w:rsid w:val="00903EBE"/>
    <w:rsid w:val="0090446A"/>
    <w:rsid w:val="00912A06"/>
    <w:rsid w:val="0091324E"/>
    <w:rsid w:val="00923586"/>
    <w:rsid w:val="009265F9"/>
    <w:rsid w:val="00927179"/>
    <w:rsid w:val="00930264"/>
    <w:rsid w:val="00932183"/>
    <w:rsid w:val="00936491"/>
    <w:rsid w:val="0093746B"/>
    <w:rsid w:val="00942DCE"/>
    <w:rsid w:val="009439A7"/>
    <w:rsid w:val="00950874"/>
    <w:rsid w:val="00950D2D"/>
    <w:rsid w:val="00954CDE"/>
    <w:rsid w:val="00955161"/>
    <w:rsid w:val="009554EB"/>
    <w:rsid w:val="009555FF"/>
    <w:rsid w:val="00957BB0"/>
    <w:rsid w:val="009607B6"/>
    <w:rsid w:val="009636DB"/>
    <w:rsid w:val="00963AB0"/>
    <w:rsid w:val="00967090"/>
    <w:rsid w:val="00971515"/>
    <w:rsid w:val="00971D02"/>
    <w:rsid w:val="0097441A"/>
    <w:rsid w:val="00974BB9"/>
    <w:rsid w:val="0097768D"/>
    <w:rsid w:val="0098013D"/>
    <w:rsid w:val="0098185B"/>
    <w:rsid w:val="00981CD5"/>
    <w:rsid w:val="009857C4"/>
    <w:rsid w:val="0099372A"/>
    <w:rsid w:val="009A02E4"/>
    <w:rsid w:val="009B1A1C"/>
    <w:rsid w:val="009B28D6"/>
    <w:rsid w:val="009B2E10"/>
    <w:rsid w:val="009B3C07"/>
    <w:rsid w:val="009B4626"/>
    <w:rsid w:val="009C18D9"/>
    <w:rsid w:val="009D3ADD"/>
    <w:rsid w:val="009D416B"/>
    <w:rsid w:val="009D66AC"/>
    <w:rsid w:val="009D7347"/>
    <w:rsid w:val="009E22D8"/>
    <w:rsid w:val="009E315A"/>
    <w:rsid w:val="009E433A"/>
    <w:rsid w:val="009E7FF8"/>
    <w:rsid w:val="009F1F54"/>
    <w:rsid w:val="009F4A2B"/>
    <w:rsid w:val="009F4A57"/>
    <w:rsid w:val="009F4A59"/>
    <w:rsid w:val="00A043F9"/>
    <w:rsid w:val="00A20978"/>
    <w:rsid w:val="00A25568"/>
    <w:rsid w:val="00A271FC"/>
    <w:rsid w:val="00A301BB"/>
    <w:rsid w:val="00A4254A"/>
    <w:rsid w:val="00A476E9"/>
    <w:rsid w:val="00A52257"/>
    <w:rsid w:val="00A5715F"/>
    <w:rsid w:val="00A63125"/>
    <w:rsid w:val="00A6768D"/>
    <w:rsid w:val="00A7502F"/>
    <w:rsid w:val="00A82EF7"/>
    <w:rsid w:val="00A91832"/>
    <w:rsid w:val="00A95334"/>
    <w:rsid w:val="00AA0507"/>
    <w:rsid w:val="00AA1D66"/>
    <w:rsid w:val="00AA3298"/>
    <w:rsid w:val="00AB0378"/>
    <w:rsid w:val="00AB0508"/>
    <w:rsid w:val="00AB1258"/>
    <w:rsid w:val="00AB3285"/>
    <w:rsid w:val="00AC03FD"/>
    <w:rsid w:val="00AC2485"/>
    <w:rsid w:val="00AC3FEF"/>
    <w:rsid w:val="00AC74A4"/>
    <w:rsid w:val="00AD5E50"/>
    <w:rsid w:val="00AE5228"/>
    <w:rsid w:val="00AF200F"/>
    <w:rsid w:val="00AF3EB1"/>
    <w:rsid w:val="00AF4CF1"/>
    <w:rsid w:val="00B00D95"/>
    <w:rsid w:val="00B01C04"/>
    <w:rsid w:val="00B04057"/>
    <w:rsid w:val="00B054F2"/>
    <w:rsid w:val="00B1058D"/>
    <w:rsid w:val="00B11161"/>
    <w:rsid w:val="00B11ED3"/>
    <w:rsid w:val="00B167FE"/>
    <w:rsid w:val="00B17DA8"/>
    <w:rsid w:val="00B21400"/>
    <w:rsid w:val="00B21449"/>
    <w:rsid w:val="00B252E1"/>
    <w:rsid w:val="00B259ED"/>
    <w:rsid w:val="00B30A11"/>
    <w:rsid w:val="00B30AA4"/>
    <w:rsid w:val="00B33DF2"/>
    <w:rsid w:val="00B36FAA"/>
    <w:rsid w:val="00B36FBB"/>
    <w:rsid w:val="00B520C9"/>
    <w:rsid w:val="00B520E2"/>
    <w:rsid w:val="00B54C4F"/>
    <w:rsid w:val="00B57999"/>
    <w:rsid w:val="00B60533"/>
    <w:rsid w:val="00B61B90"/>
    <w:rsid w:val="00B62B09"/>
    <w:rsid w:val="00B62DB2"/>
    <w:rsid w:val="00B63E1B"/>
    <w:rsid w:val="00B76F35"/>
    <w:rsid w:val="00B8076F"/>
    <w:rsid w:val="00B818A4"/>
    <w:rsid w:val="00B829F6"/>
    <w:rsid w:val="00BA1A41"/>
    <w:rsid w:val="00BA5366"/>
    <w:rsid w:val="00BB5FB2"/>
    <w:rsid w:val="00BB6F96"/>
    <w:rsid w:val="00BC0809"/>
    <w:rsid w:val="00BC5A1E"/>
    <w:rsid w:val="00BC7A0E"/>
    <w:rsid w:val="00BD74B0"/>
    <w:rsid w:val="00BE412C"/>
    <w:rsid w:val="00BE44B9"/>
    <w:rsid w:val="00BE5521"/>
    <w:rsid w:val="00BE6E73"/>
    <w:rsid w:val="00BE77D5"/>
    <w:rsid w:val="00BF3D8A"/>
    <w:rsid w:val="00BF40BF"/>
    <w:rsid w:val="00BF7CB0"/>
    <w:rsid w:val="00C05526"/>
    <w:rsid w:val="00C106FB"/>
    <w:rsid w:val="00C12F94"/>
    <w:rsid w:val="00C20696"/>
    <w:rsid w:val="00C23457"/>
    <w:rsid w:val="00C23E14"/>
    <w:rsid w:val="00C24A27"/>
    <w:rsid w:val="00C26B4A"/>
    <w:rsid w:val="00C27927"/>
    <w:rsid w:val="00C30B3E"/>
    <w:rsid w:val="00C30BBD"/>
    <w:rsid w:val="00C377F1"/>
    <w:rsid w:val="00C5252A"/>
    <w:rsid w:val="00C56E22"/>
    <w:rsid w:val="00C625AC"/>
    <w:rsid w:val="00C62FF9"/>
    <w:rsid w:val="00C63C3D"/>
    <w:rsid w:val="00C70BB5"/>
    <w:rsid w:val="00C82F16"/>
    <w:rsid w:val="00C847C7"/>
    <w:rsid w:val="00C856B6"/>
    <w:rsid w:val="00C86D21"/>
    <w:rsid w:val="00C96C9F"/>
    <w:rsid w:val="00C96CAA"/>
    <w:rsid w:val="00CA0B0D"/>
    <w:rsid w:val="00CA7F40"/>
    <w:rsid w:val="00CB62D2"/>
    <w:rsid w:val="00CB7710"/>
    <w:rsid w:val="00CC4772"/>
    <w:rsid w:val="00CC478C"/>
    <w:rsid w:val="00CD4900"/>
    <w:rsid w:val="00CE1B0F"/>
    <w:rsid w:val="00CE6A7D"/>
    <w:rsid w:val="00CF3907"/>
    <w:rsid w:val="00CF608A"/>
    <w:rsid w:val="00D000B2"/>
    <w:rsid w:val="00D0231C"/>
    <w:rsid w:val="00D045D7"/>
    <w:rsid w:val="00D110B7"/>
    <w:rsid w:val="00D1340A"/>
    <w:rsid w:val="00D21B64"/>
    <w:rsid w:val="00D246B5"/>
    <w:rsid w:val="00D406FF"/>
    <w:rsid w:val="00D449AB"/>
    <w:rsid w:val="00D44E20"/>
    <w:rsid w:val="00D474C9"/>
    <w:rsid w:val="00D57235"/>
    <w:rsid w:val="00D572EA"/>
    <w:rsid w:val="00D63267"/>
    <w:rsid w:val="00D70652"/>
    <w:rsid w:val="00D74328"/>
    <w:rsid w:val="00D8424B"/>
    <w:rsid w:val="00D9391B"/>
    <w:rsid w:val="00D96FB3"/>
    <w:rsid w:val="00DA4889"/>
    <w:rsid w:val="00DA4DCF"/>
    <w:rsid w:val="00DA70FB"/>
    <w:rsid w:val="00DB1D4A"/>
    <w:rsid w:val="00DB2644"/>
    <w:rsid w:val="00DB324C"/>
    <w:rsid w:val="00DB3AC3"/>
    <w:rsid w:val="00DB445F"/>
    <w:rsid w:val="00DC1E39"/>
    <w:rsid w:val="00DC3520"/>
    <w:rsid w:val="00DD1B59"/>
    <w:rsid w:val="00DE762D"/>
    <w:rsid w:val="00DF0A33"/>
    <w:rsid w:val="00DF1252"/>
    <w:rsid w:val="00DF38E0"/>
    <w:rsid w:val="00DF70A6"/>
    <w:rsid w:val="00E14D08"/>
    <w:rsid w:val="00E16DB1"/>
    <w:rsid w:val="00E20C3A"/>
    <w:rsid w:val="00E2676F"/>
    <w:rsid w:val="00E4106C"/>
    <w:rsid w:val="00E44F28"/>
    <w:rsid w:val="00E46BC1"/>
    <w:rsid w:val="00E50E03"/>
    <w:rsid w:val="00E513D4"/>
    <w:rsid w:val="00E55117"/>
    <w:rsid w:val="00E57B7F"/>
    <w:rsid w:val="00E6131B"/>
    <w:rsid w:val="00E64262"/>
    <w:rsid w:val="00E642EA"/>
    <w:rsid w:val="00E7258B"/>
    <w:rsid w:val="00E7560F"/>
    <w:rsid w:val="00E76A68"/>
    <w:rsid w:val="00E77BF3"/>
    <w:rsid w:val="00E824A0"/>
    <w:rsid w:val="00E826E7"/>
    <w:rsid w:val="00E852E7"/>
    <w:rsid w:val="00E87CCB"/>
    <w:rsid w:val="00E9106B"/>
    <w:rsid w:val="00E93F34"/>
    <w:rsid w:val="00E9571C"/>
    <w:rsid w:val="00EA041B"/>
    <w:rsid w:val="00EA1072"/>
    <w:rsid w:val="00EA109D"/>
    <w:rsid w:val="00EA4CD8"/>
    <w:rsid w:val="00EA6AC0"/>
    <w:rsid w:val="00EB10F1"/>
    <w:rsid w:val="00EB2789"/>
    <w:rsid w:val="00EB4D5F"/>
    <w:rsid w:val="00EB5401"/>
    <w:rsid w:val="00EB7BCF"/>
    <w:rsid w:val="00EC224E"/>
    <w:rsid w:val="00EC24E9"/>
    <w:rsid w:val="00EC2587"/>
    <w:rsid w:val="00EC3E69"/>
    <w:rsid w:val="00EC71BE"/>
    <w:rsid w:val="00EC7293"/>
    <w:rsid w:val="00ED58D7"/>
    <w:rsid w:val="00ED699E"/>
    <w:rsid w:val="00ED6E36"/>
    <w:rsid w:val="00EE3D6B"/>
    <w:rsid w:val="00EE6D6D"/>
    <w:rsid w:val="00EF188B"/>
    <w:rsid w:val="00EF2EDE"/>
    <w:rsid w:val="00EF4296"/>
    <w:rsid w:val="00EF74A8"/>
    <w:rsid w:val="00F066F1"/>
    <w:rsid w:val="00F11144"/>
    <w:rsid w:val="00F12C41"/>
    <w:rsid w:val="00F22C37"/>
    <w:rsid w:val="00F22E42"/>
    <w:rsid w:val="00F2449D"/>
    <w:rsid w:val="00F245D3"/>
    <w:rsid w:val="00F24CA8"/>
    <w:rsid w:val="00F263A2"/>
    <w:rsid w:val="00F30A09"/>
    <w:rsid w:val="00F3118C"/>
    <w:rsid w:val="00F347D8"/>
    <w:rsid w:val="00F36C73"/>
    <w:rsid w:val="00F36C92"/>
    <w:rsid w:val="00F4398E"/>
    <w:rsid w:val="00F477EA"/>
    <w:rsid w:val="00F505AC"/>
    <w:rsid w:val="00F520C9"/>
    <w:rsid w:val="00F52D38"/>
    <w:rsid w:val="00F5467B"/>
    <w:rsid w:val="00F54F1B"/>
    <w:rsid w:val="00F65136"/>
    <w:rsid w:val="00F75510"/>
    <w:rsid w:val="00F77487"/>
    <w:rsid w:val="00F82DEC"/>
    <w:rsid w:val="00F84119"/>
    <w:rsid w:val="00F85064"/>
    <w:rsid w:val="00F972F9"/>
    <w:rsid w:val="00FA64D9"/>
    <w:rsid w:val="00FA7516"/>
    <w:rsid w:val="00FB2AE1"/>
    <w:rsid w:val="00FC59C9"/>
    <w:rsid w:val="00FC69F2"/>
    <w:rsid w:val="00FD1F92"/>
    <w:rsid w:val="00FD3E68"/>
    <w:rsid w:val="00FD6311"/>
    <w:rsid w:val="00FE042A"/>
    <w:rsid w:val="00FE0DC0"/>
    <w:rsid w:val="00FE1538"/>
    <w:rsid w:val="00FE4B30"/>
    <w:rsid w:val="00FE5AA4"/>
    <w:rsid w:val="00FF06D9"/>
    <w:rsid w:val="00FF0EE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DD1B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1B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64"/>
  </w:style>
  <w:style w:type="character" w:styleId="Hipervnculovisitado">
    <w:name w:val="FollowedHyperlink"/>
    <w:basedOn w:val="Fuentedeprrafopredeter"/>
    <w:uiPriority w:val="99"/>
    <w:semiHidden/>
    <w:unhideWhenUsed/>
    <w:rsid w:val="00E4106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5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6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forma.com/libre/online07/aplicacionei/Pagina.html?seccion=universitarios&amp;fecha=20220327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esultados%20Ranking%20del%20Reforma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esultados%20Ranking%20del%20Reforma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Historicos'!$C$29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Historicos'!$A$30:$A$36</c:f>
              <c:strCache>
                <c:ptCount val="7"/>
                <c:pt idx="0">
                  <c:v>Administración</c:v>
                </c:pt>
                <c:pt idx="1">
                  <c:v>Arquitectura</c:v>
                </c:pt>
                <c:pt idx="2">
                  <c:v>Comunicación o periodismo</c:v>
                </c:pt>
                <c:pt idx="3">
                  <c:v>Contaduría </c:v>
                </c:pt>
                <c:pt idx="4">
                  <c:v>Derecho </c:v>
                </c:pt>
                <c:pt idx="5">
                  <c:v>Diseño gráfico</c:v>
                </c:pt>
                <c:pt idx="6">
                  <c:v>Economía</c:v>
                </c:pt>
              </c:strCache>
            </c:strRef>
          </c:cat>
          <c:val>
            <c:numRef>
              <c:f>'Datos Historicos'!$C$30:$C$36</c:f>
              <c:numCache>
                <c:formatCode>General</c:formatCode>
                <c:ptCount val="7"/>
                <c:pt idx="0" formatCode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D-43FE-88A1-5E5B9228A3B1}"/>
            </c:ext>
          </c:extLst>
        </c:ser>
        <c:ser>
          <c:idx val="1"/>
          <c:order val="1"/>
          <c:tx>
            <c:strRef>
              <c:f>'Datos Historicos'!$D$29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Historicos'!$A$30:$A$36</c:f>
              <c:strCache>
                <c:ptCount val="7"/>
                <c:pt idx="0">
                  <c:v>Administración</c:v>
                </c:pt>
                <c:pt idx="1">
                  <c:v>Arquitectura</c:v>
                </c:pt>
                <c:pt idx="2">
                  <c:v>Comunicación o periodismo</c:v>
                </c:pt>
                <c:pt idx="3">
                  <c:v>Contaduría </c:v>
                </c:pt>
                <c:pt idx="4">
                  <c:v>Derecho </c:v>
                </c:pt>
                <c:pt idx="5">
                  <c:v>Diseño gráfico</c:v>
                </c:pt>
                <c:pt idx="6">
                  <c:v>Economía</c:v>
                </c:pt>
              </c:strCache>
            </c:strRef>
          </c:cat>
          <c:val>
            <c:numRef>
              <c:f>'Datos Historicos'!$D$30:$D$36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AD-43FE-88A1-5E5B9228A3B1}"/>
            </c:ext>
          </c:extLst>
        </c:ser>
        <c:ser>
          <c:idx val="2"/>
          <c:order val="2"/>
          <c:tx>
            <c:strRef>
              <c:f>'Datos Historicos'!$E$29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Historicos'!$A$30:$A$36</c:f>
              <c:strCache>
                <c:ptCount val="7"/>
                <c:pt idx="0">
                  <c:v>Administración</c:v>
                </c:pt>
                <c:pt idx="1">
                  <c:v>Arquitectura</c:v>
                </c:pt>
                <c:pt idx="2">
                  <c:v>Comunicación o periodismo</c:v>
                </c:pt>
                <c:pt idx="3">
                  <c:v>Contaduría </c:v>
                </c:pt>
                <c:pt idx="4">
                  <c:v>Derecho </c:v>
                </c:pt>
                <c:pt idx="5">
                  <c:v>Diseño gráfico</c:v>
                </c:pt>
                <c:pt idx="6">
                  <c:v>Economía</c:v>
                </c:pt>
              </c:strCache>
            </c:strRef>
          </c:cat>
          <c:val>
            <c:numRef>
              <c:f>'Datos Historicos'!$E$30:$E$36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AD-43FE-88A1-5E5B9228A3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5055"/>
        <c:axId val="1285868831"/>
      </c:barChart>
      <c:catAx>
        <c:axId val="1285885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68831"/>
        <c:crosses val="max"/>
        <c:auto val="1"/>
        <c:lblAlgn val="ctr"/>
        <c:lblOffset val="100"/>
        <c:noMultiLvlLbl val="0"/>
      </c:catAx>
      <c:valAx>
        <c:axId val="1285868831"/>
        <c:scaling>
          <c:orientation val="maxMin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5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Historicos'!$C$29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Historicos'!$A$37:$A$43</c:f>
              <c:strCache>
                <c:ptCount val="7"/>
                <c:pt idx="0">
                  <c:v>Ingeniería en electrónica</c:v>
                </c:pt>
                <c:pt idx="1">
                  <c:v>Ingeniería en sistemas</c:v>
                </c:pt>
                <c:pt idx="2">
                  <c:v>Ingeniería industrial</c:v>
                </c:pt>
                <c:pt idx="3">
                  <c:v>Ingeniería mecatrónica</c:v>
                </c:pt>
                <c:pt idx="4">
                  <c:v>Ingeniería química</c:v>
                </c:pt>
                <c:pt idx="5">
                  <c:v>Medicina</c:v>
                </c:pt>
                <c:pt idx="6">
                  <c:v>Psicología</c:v>
                </c:pt>
              </c:strCache>
            </c:strRef>
          </c:cat>
          <c:val>
            <c:numRef>
              <c:f>'Datos Historicos'!$C$37:$C$43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3-4527-9635-6BA7EE44E66A}"/>
            </c:ext>
          </c:extLst>
        </c:ser>
        <c:ser>
          <c:idx val="1"/>
          <c:order val="1"/>
          <c:tx>
            <c:strRef>
              <c:f>'Datos Historicos'!$D$29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Historicos'!$A$37:$A$43</c:f>
              <c:strCache>
                <c:ptCount val="7"/>
                <c:pt idx="0">
                  <c:v>Ingeniería en electrónica</c:v>
                </c:pt>
                <c:pt idx="1">
                  <c:v>Ingeniería en sistemas</c:v>
                </c:pt>
                <c:pt idx="2">
                  <c:v>Ingeniería industrial</c:v>
                </c:pt>
                <c:pt idx="3">
                  <c:v>Ingeniería mecatrónica</c:v>
                </c:pt>
                <c:pt idx="4">
                  <c:v>Ingeniería química</c:v>
                </c:pt>
                <c:pt idx="5">
                  <c:v>Medicina</c:v>
                </c:pt>
                <c:pt idx="6">
                  <c:v>Psicología</c:v>
                </c:pt>
              </c:strCache>
            </c:strRef>
          </c:cat>
          <c:val>
            <c:numRef>
              <c:f>'Datos Historicos'!$D$37:$D$43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83-4527-9635-6BA7EE44E66A}"/>
            </c:ext>
          </c:extLst>
        </c:ser>
        <c:ser>
          <c:idx val="2"/>
          <c:order val="2"/>
          <c:tx>
            <c:strRef>
              <c:f>'Datos Historicos'!$E$29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Historicos'!$A$37:$A$43</c:f>
              <c:strCache>
                <c:ptCount val="7"/>
                <c:pt idx="0">
                  <c:v>Ingeniería en electrónica</c:v>
                </c:pt>
                <c:pt idx="1">
                  <c:v>Ingeniería en sistemas</c:v>
                </c:pt>
                <c:pt idx="2">
                  <c:v>Ingeniería industrial</c:v>
                </c:pt>
                <c:pt idx="3">
                  <c:v>Ingeniería mecatrónica</c:v>
                </c:pt>
                <c:pt idx="4">
                  <c:v>Ingeniería química</c:v>
                </c:pt>
                <c:pt idx="5">
                  <c:v>Medicina</c:v>
                </c:pt>
                <c:pt idx="6">
                  <c:v>Psicología</c:v>
                </c:pt>
              </c:strCache>
            </c:strRef>
          </c:cat>
          <c:val>
            <c:numRef>
              <c:f>'Datos Historicos'!$E$37:$E$43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83-4527-9635-6BA7EE44E6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5055"/>
        <c:axId val="1285868831"/>
      </c:barChart>
      <c:catAx>
        <c:axId val="1285885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68831"/>
        <c:crosses val="max"/>
        <c:auto val="1"/>
        <c:lblAlgn val="ctr"/>
        <c:lblOffset val="100"/>
        <c:noMultiLvlLbl val="0"/>
      </c:catAx>
      <c:valAx>
        <c:axId val="1285868831"/>
        <c:scaling>
          <c:orientation val="maxMin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5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87BE-E87C-4508-B001-A27CC3A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3093</Words>
  <Characters>17015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8</cp:revision>
  <cp:lastPrinted>2022-03-15T17:56:00Z</cp:lastPrinted>
  <dcterms:created xsi:type="dcterms:W3CDTF">2022-04-01T18:12:00Z</dcterms:created>
  <dcterms:modified xsi:type="dcterms:W3CDTF">2022-04-01T18:52:00Z</dcterms:modified>
</cp:coreProperties>
</file>